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4F89F">
      <w:pPr>
        <w:spacing w:line="560" w:lineRule="exact"/>
        <w:rPr>
          <w:rFonts w:ascii="Times New Roman" w:hAnsi="Times New Roman" w:eastAsia="宋体" w:cs="Times New Roman"/>
          <w:b/>
          <w:bCs/>
          <w:sz w:val="44"/>
          <w:szCs w:val="44"/>
        </w:rPr>
      </w:pPr>
    </w:p>
    <w:p w14:paraId="2A4775FC">
      <w:pPr>
        <w:spacing w:line="560" w:lineRule="exact"/>
        <w:rPr>
          <w:rFonts w:ascii="Times New Roman" w:hAnsi="Times New Roman" w:eastAsia="宋体" w:cs="Times New Roman"/>
          <w:b/>
          <w:bCs/>
          <w:sz w:val="44"/>
          <w:szCs w:val="44"/>
        </w:rPr>
      </w:pPr>
    </w:p>
    <w:p w14:paraId="25E5D645">
      <w:pPr>
        <w:spacing w:line="560" w:lineRule="exact"/>
        <w:jc w:val="center"/>
        <w:rPr>
          <w:rFonts w:ascii="宋体" w:hAnsi="宋体" w:eastAsia="宋体"/>
          <w:b/>
          <w:bCs/>
          <w:sz w:val="44"/>
          <w:szCs w:val="44"/>
        </w:rPr>
      </w:pPr>
      <w:r>
        <w:rPr>
          <w:rFonts w:hint="eastAsia" w:ascii="宋体" w:hAnsi="宋体" w:eastAsia="宋体"/>
          <w:b/>
          <w:bCs/>
          <w:sz w:val="44"/>
          <w:szCs w:val="44"/>
        </w:rPr>
        <w:t>黑龙江省推动交通运输领域</w:t>
      </w:r>
    </w:p>
    <w:p w14:paraId="6B98E349">
      <w:pPr>
        <w:spacing w:line="560" w:lineRule="exact"/>
        <w:jc w:val="center"/>
        <w:rPr>
          <w:rFonts w:ascii="宋体" w:hAnsi="宋体" w:eastAsia="宋体"/>
          <w:b/>
          <w:bCs/>
          <w:sz w:val="44"/>
          <w:szCs w:val="44"/>
        </w:rPr>
      </w:pPr>
      <w:r>
        <w:rPr>
          <w:rFonts w:hint="eastAsia" w:ascii="宋体" w:hAnsi="宋体" w:eastAsia="宋体"/>
          <w:b/>
          <w:bCs/>
          <w:sz w:val="44"/>
          <w:szCs w:val="44"/>
          <w:lang w:eastAsia="zh-CN"/>
        </w:rPr>
        <w:t>大规模</w:t>
      </w:r>
      <w:r>
        <w:rPr>
          <w:rFonts w:hint="eastAsia" w:ascii="宋体" w:hAnsi="宋体" w:eastAsia="宋体"/>
          <w:b/>
          <w:bCs/>
          <w:sz w:val="44"/>
          <w:szCs w:val="44"/>
        </w:rPr>
        <w:t>设备更新行动方案</w:t>
      </w:r>
    </w:p>
    <w:p w14:paraId="62C5372F">
      <w:pPr>
        <w:spacing w:line="560" w:lineRule="exact"/>
        <w:rPr>
          <w:rFonts w:ascii="仿宋" w:hAnsi="仿宋" w:eastAsia="仿宋" w:cs="仿宋"/>
          <w:sz w:val="32"/>
          <w:szCs w:val="32"/>
        </w:rPr>
      </w:pPr>
    </w:p>
    <w:p w14:paraId="69620181">
      <w:pPr>
        <w:spacing w:line="560" w:lineRule="exact"/>
        <w:ind w:firstLine="640" w:firstLineChars="200"/>
        <w:rPr>
          <w:rFonts w:ascii="仿宋" w:hAnsi="仿宋" w:eastAsia="仿宋" w:cs="仿宋"/>
          <w:sz w:val="32"/>
          <w:szCs w:val="32"/>
          <w:u w:val="none"/>
        </w:rPr>
      </w:pPr>
      <w:r>
        <w:rPr>
          <w:rFonts w:hint="eastAsia" w:ascii="仿宋" w:hAnsi="仿宋" w:eastAsia="仿宋" w:cs="仿宋"/>
          <w:sz w:val="32"/>
          <w:szCs w:val="32"/>
          <w:u w:val="none"/>
        </w:rPr>
        <w:t>为深入贯彻落实党中央、国务院决策部署，按照《国务院关于印发&lt;推动大规模设备更新和消费品以旧换新行动方案&gt;的通知》（国发〔2024〕7号）、《交通运输部等十三部门关于印发&lt;交通运输大规模设备更新行动方案&gt;的通知》（交规划发〔2024〕62号)和《黑龙江省人民政府关于印发&lt;黑龙江省推动大规模设备更新和消费品以旧换新实施方案&gt;的通知》（黑政发〔2024〕9号）要求，抢抓国家政策机遇，推进交通运输领域设备更新，加速行业绿色低碳转型发展，制定本行动方案。</w:t>
      </w:r>
    </w:p>
    <w:p w14:paraId="562908B9">
      <w:pPr>
        <w:spacing w:line="560" w:lineRule="exact"/>
        <w:ind w:firstLine="640" w:firstLineChars="200"/>
        <w:rPr>
          <w:rFonts w:ascii="黑体" w:hAnsi="黑体" w:eastAsia="黑体" w:cs="黑体"/>
          <w:sz w:val="32"/>
          <w:szCs w:val="32"/>
          <w:u w:val="none"/>
        </w:rPr>
      </w:pPr>
      <w:r>
        <w:rPr>
          <w:rFonts w:hint="eastAsia" w:ascii="黑体" w:hAnsi="黑体" w:eastAsia="黑体" w:cs="黑体"/>
          <w:sz w:val="32"/>
          <w:szCs w:val="32"/>
          <w:u w:val="none"/>
        </w:rPr>
        <w:t>一、总体要求</w:t>
      </w:r>
    </w:p>
    <w:p w14:paraId="57F2C6AF">
      <w:pPr>
        <w:spacing w:line="560" w:lineRule="exact"/>
        <w:ind w:firstLine="640" w:firstLineChars="200"/>
        <w:rPr>
          <w:rFonts w:ascii="仿宋" w:hAnsi="仿宋" w:eastAsia="仿宋" w:cs="仿宋"/>
          <w:sz w:val="32"/>
          <w:szCs w:val="32"/>
          <w:u w:val="none"/>
        </w:rPr>
      </w:pPr>
      <w:r>
        <w:rPr>
          <w:rFonts w:hint="eastAsia" w:ascii="仿宋" w:hAnsi="仿宋" w:eastAsia="仿宋" w:cs="仿宋"/>
          <w:sz w:val="32"/>
          <w:szCs w:val="32"/>
          <w:u w:val="none"/>
        </w:rPr>
        <w:t>以习近平新时代中国特色社会主义思想为指导，全面贯彻落实省委省政府和交通运输部工作部署，按照利当前又利长远、稳增长又促转型、利企业又惠民生的工作原则，坚持市场为主、政府引导，鼓励先进、淘汰落后，标准引领、有序提升，实施城市公交车电动化替代、老旧营运柴油货车淘汰更新、老旧营运船舶报废更新、老旧机车淘汰更新、民航设备更新、邮政快递老旧设备更新、物流设施设备更新改造、标准提升八大行动，大力促进先进设备和北斗终端应用，以交通运输设备更新换代有力促进经济转型升级，有序推进行业绿色低碳转型，为加快推进龙江高质量发展可持续振兴注入新动能。</w:t>
      </w:r>
    </w:p>
    <w:p w14:paraId="4F1CB8C9">
      <w:pPr>
        <w:spacing w:line="560" w:lineRule="exact"/>
        <w:ind w:firstLine="640" w:firstLineChars="200"/>
        <w:rPr>
          <w:rFonts w:ascii="黑体" w:hAnsi="黑体" w:eastAsia="黑体" w:cs="黑体"/>
          <w:sz w:val="32"/>
          <w:szCs w:val="32"/>
          <w:u w:val="none"/>
        </w:rPr>
      </w:pPr>
      <w:r>
        <w:rPr>
          <w:rFonts w:hint="eastAsia" w:ascii="黑体" w:hAnsi="黑体" w:eastAsia="黑体" w:cs="黑体"/>
          <w:sz w:val="32"/>
          <w:szCs w:val="32"/>
          <w:u w:val="none"/>
        </w:rPr>
        <w:t>二、工作任务</w:t>
      </w:r>
    </w:p>
    <w:p w14:paraId="2DF6E708">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（一）城市公交车电动化替代行动</w:t>
      </w:r>
    </w:p>
    <w:p w14:paraId="63436179">
      <w:pPr>
        <w:spacing w:line="560" w:lineRule="exact"/>
        <w:ind w:firstLine="643" w:firstLineChars="200"/>
        <w:rPr>
          <w:rFonts w:hint="eastAsia" w:ascii="仿宋" w:hAnsi="仿宋" w:eastAsia="仿宋" w:cs="仿宋"/>
          <w:sz w:val="32"/>
          <w:szCs w:val="32"/>
          <w:u w:val="none"/>
        </w:rPr>
      </w:pPr>
      <w:r>
        <w:rPr>
          <w:rFonts w:hint="eastAsia" w:ascii="仿宋" w:hAnsi="仿宋" w:eastAsia="仿宋" w:cs="仿宋"/>
          <w:b/>
          <w:bCs/>
          <w:sz w:val="32"/>
          <w:szCs w:val="32"/>
          <w:u w:val="none"/>
        </w:rPr>
        <w:t>1.推进城市公交车电动化更新替代。</w:t>
      </w:r>
      <w:r>
        <w:rPr>
          <w:rFonts w:hint="eastAsia" w:ascii="仿宋" w:hAnsi="仿宋" w:eastAsia="仿宋" w:cs="仿宋"/>
          <w:sz w:val="32"/>
          <w:szCs w:val="32"/>
          <w:u w:val="none"/>
        </w:rPr>
        <w:t>支持城市新能源公交车推广应用，稳步提高新能源公交车比例。严格执行年限满13年的公交车报废更新，鼓励车龄10年以上燃油公交车提前报废更新。优先淘汰不达标、存在安全隐患的公交车。积极推广小型化公交车辆、低地板及低入口城市公交车辆。</w:t>
      </w:r>
    </w:p>
    <w:p w14:paraId="35DCDBEC">
      <w:pPr>
        <w:spacing w:line="560" w:lineRule="exact"/>
        <w:ind w:firstLine="643" w:firstLineChars="200"/>
        <w:rPr>
          <w:rFonts w:hint="eastAsia" w:ascii="仿宋" w:hAnsi="仿宋" w:eastAsia="仿宋" w:cs="仿宋"/>
          <w:sz w:val="32"/>
          <w:szCs w:val="32"/>
          <w:u w:val="none"/>
        </w:rPr>
      </w:pPr>
      <w:r>
        <w:rPr>
          <w:rFonts w:hint="eastAsia" w:ascii="仿宋" w:hAnsi="仿宋" w:eastAsia="仿宋" w:cs="仿宋"/>
          <w:b/>
          <w:bCs/>
          <w:sz w:val="32"/>
          <w:szCs w:val="32"/>
          <w:u w:val="none"/>
        </w:rPr>
        <w:t>2.推动新能源公交车动力电池更新换代。</w:t>
      </w:r>
      <w:r>
        <w:rPr>
          <w:rFonts w:hint="eastAsia" w:ascii="仿宋" w:hAnsi="仿宋" w:eastAsia="仿宋" w:cs="仿宋"/>
          <w:sz w:val="32"/>
          <w:szCs w:val="32"/>
          <w:u w:val="none"/>
        </w:rPr>
        <w:t>鼓励老旧新能源公交车动力电池更新，督促退役动力电池所有方将退役动力电池交售至综合利用企业。支持城市公交企业更换达到质保期限的动力电池，消除城市公交企业安全隐患，有效提升车辆性能和续航里程，实现节能减排目标，促进行业绿色健康发展。</w:t>
      </w:r>
    </w:p>
    <w:p w14:paraId="12DAAE79">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（二）老旧营运柴油货车淘汰更新行动</w:t>
      </w:r>
    </w:p>
    <w:p w14:paraId="21BD590C">
      <w:pPr>
        <w:spacing w:line="560" w:lineRule="exact"/>
        <w:ind w:firstLine="643" w:firstLineChars="200"/>
        <w:rPr>
          <w:rFonts w:hint="eastAsia" w:ascii="仿宋" w:hAnsi="仿宋" w:eastAsia="仿宋" w:cs="仿宋"/>
          <w:sz w:val="32"/>
          <w:szCs w:val="32"/>
          <w:u w:val="none"/>
        </w:rPr>
      </w:pPr>
      <w:r>
        <w:rPr>
          <w:rFonts w:hint="eastAsia" w:ascii="仿宋" w:hAnsi="仿宋" w:eastAsia="仿宋" w:cs="仿宋"/>
          <w:b/>
          <w:bCs/>
          <w:sz w:val="32"/>
          <w:szCs w:val="32"/>
          <w:u w:val="none"/>
        </w:rPr>
        <w:t>1.加快淘汰更新老旧营运柴油货车。</w:t>
      </w:r>
      <w:r>
        <w:rPr>
          <w:rFonts w:hint="eastAsia" w:ascii="仿宋" w:hAnsi="仿宋" w:eastAsia="仿宋" w:cs="仿宋"/>
          <w:sz w:val="32"/>
          <w:szCs w:val="32"/>
          <w:u w:val="none"/>
        </w:rPr>
        <w:t>鼓励引导道路货运经营者加快淘汰国三及以下标准柴油货车，提前淘汰更新国四标准柴油货车。对达到强制报废标准、连续三个检验周期未检验以及经维修或采用污染控制技术仍无法达标排放的车辆，依法予以强制报废。加大柴油货车排放监管力度，视情实施国三及以下柴油货车限行、禁行政策。</w:t>
      </w:r>
    </w:p>
    <w:p w14:paraId="04093E1B">
      <w:pPr>
        <w:spacing w:line="560" w:lineRule="exact"/>
        <w:ind w:firstLine="643" w:firstLineChars="200"/>
        <w:rPr>
          <w:rFonts w:hint="eastAsia" w:ascii="仿宋" w:hAnsi="仿宋" w:eastAsia="仿宋" w:cs="仿宋"/>
          <w:sz w:val="32"/>
          <w:szCs w:val="32"/>
          <w:u w:val="none"/>
          <w:lang w:eastAsia="zh-CN"/>
        </w:rPr>
      </w:pPr>
      <w:r>
        <w:rPr>
          <w:rFonts w:hint="eastAsia" w:ascii="仿宋" w:hAnsi="仿宋" w:eastAsia="仿宋" w:cs="仿宋"/>
          <w:b/>
          <w:bCs/>
          <w:sz w:val="32"/>
          <w:szCs w:val="32"/>
          <w:u w:val="none"/>
        </w:rPr>
        <w:t>2.有序推广新能源营运货车。</w:t>
      </w:r>
      <w:r>
        <w:rPr>
          <w:rFonts w:hint="eastAsia" w:ascii="仿宋" w:hAnsi="仿宋" w:eastAsia="仿宋" w:cs="仿宋"/>
          <w:sz w:val="32"/>
          <w:szCs w:val="32"/>
          <w:u w:val="none"/>
        </w:rPr>
        <w:t>鼓励各地结合道路货运行业发展特点、区域产业环境和新能源供应能力，推广甲醇燃料、氢燃料电池等新能源货车。结合绿色货运配送示范城市创建，鼓励有条件的市（地）出台新能源货车通行、配套基础设施建设等政策，推动新能源货车在城市物流配送等场景应用。适度超前、科学布局建设公路沿线新能源车辆配套基础设施</w:t>
      </w:r>
      <w:r>
        <w:rPr>
          <w:rFonts w:hint="eastAsia" w:ascii="仿宋" w:hAnsi="仿宋" w:eastAsia="仿宋" w:cs="仿宋"/>
          <w:sz w:val="32"/>
          <w:szCs w:val="32"/>
          <w:u w:val="none"/>
          <w:lang w:eastAsia="zh-CN"/>
        </w:rPr>
        <w:t>，鼓励探索超充站、换电站、加氢站等建设。</w:t>
      </w:r>
    </w:p>
    <w:p w14:paraId="32231E60">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（三）老旧营运船舶报废更新行动</w:t>
      </w:r>
    </w:p>
    <w:p w14:paraId="5D77E223">
      <w:pPr>
        <w:spacing w:line="560" w:lineRule="exact"/>
        <w:ind w:firstLine="643" w:firstLineChars="200"/>
        <w:rPr>
          <w:rFonts w:hint="eastAsia" w:ascii="仿宋" w:hAnsi="仿宋" w:eastAsia="仿宋" w:cs="仿宋"/>
          <w:sz w:val="32"/>
          <w:szCs w:val="32"/>
          <w:u w:val="none"/>
        </w:rPr>
      </w:pPr>
      <w:r>
        <w:rPr>
          <w:rFonts w:hint="eastAsia" w:ascii="仿宋" w:hAnsi="仿宋" w:eastAsia="仿宋" w:cs="仿宋"/>
          <w:b/>
          <w:bCs/>
          <w:sz w:val="32"/>
          <w:szCs w:val="32"/>
          <w:u w:val="none"/>
        </w:rPr>
        <w:t>1.加快高能耗高排放老旧</w:t>
      </w:r>
      <w:r>
        <w:rPr>
          <w:rFonts w:hint="eastAsia" w:ascii="仿宋" w:hAnsi="仿宋" w:eastAsia="仿宋" w:cs="仿宋"/>
          <w:b/>
          <w:bCs/>
          <w:sz w:val="32"/>
          <w:szCs w:val="32"/>
          <w:u w:val="none"/>
          <w:lang w:eastAsia="zh-CN"/>
        </w:rPr>
        <w:t>运输</w:t>
      </w:r>
      <w:r>
        <w:rPr>
          <w:rFonts w:hint="eastAsia" w:ascii="仿宋" w:hAnsi="仿宋" w:eastAsia="仿宋" w:cs="仿宋"/>
          <w:b/>
          <w:bCs/>
          <w:sz w:val="32"/>
          <w:szCs w:val="32"/>
          <w:u w:val="none"/>
        </w:rPr>
        <w:t>船舶报废更新。</w:t>
      </w:r>
      <w:r>
        <w:rPr>
          <w:rFonts w:hint="eastAsia" w:ascii="仿宋" w:hAnsi="仿宋" w:eastAsia="仿宋" w:cs="仿宋"/>
          <w:sz w:val="32"/>
          <w:szCs w:val="32"/>
          <w:u w:val="none"/>
        </w:rPr>
        <w:t>推动存在安全隐患、运行效率低下的老旧船舶提前报废更新，支持内河客船10年、货船15年以及沿海货船20年船龄以上老旧船舶加快报废更新</w:t>
      </w:r>
      <w:r>
        <w:rPr>
          <w:rFonts w:hint="eastAsia" w:ascii="仿宋" w:hAnsi="仿宋" w:eastAsia="仿宋" w:cs="仿宋"/>
          <w:sz w:val="32"/>
          <w:szCs w:val="32"/>
          <w:u w:val="none"/>
          <w:lang w:eastAsia="zh-CN"/>
        </w:rPr>
        <w:t>。加强船舶燃油质量监管，鼓励有条件市（地）建立现有燃油动力船舶退出机制。</w:t>
      </w:r>
      <w:r>
        <w:rPr>
          <w:rFonts w:hint="eastAsia" w:ascii="仿宋" w:hAnsi="仿宋" w:eastAsia="仿宋" w:cs="仿宋"/>
          <w:sz w:val="32"/>
          <w:szCs w:val="32"/>
          <w:u w:val="none"/>
        </w:rPr>
        <w:t>支持建造适合“江海联运”、“界江旅游”等新型船舶。</w:t>
      </w:r>
    </w:p>
    <w:p w14:paraId="57C2F00B">
      <w:pPr>
        <w:spacing w:line="560" w:lineRule="exact"/>
        <w:ind w:firstLine="643" w:firstLineChars="200"/>
        <w:rPr>
          <w:rFonts w:hint="eastAsia" w:ascii="仿宋" w:hAnsi="仿宋" w:eastAsia="仿宋" w:cs="仿宋"/>
          <w:sz w:val="32"/>
          <w:szCs w:val="32"/>
          <w:u w:val="none"/>
          <w:lang w:eastAsia="zh-CN"/>
        </w:rPr>
      </w:pPr>
      <w:r>
        <w:rPr>
          <w:rFonts w:hint="eastAsia" w:ascii="仿宋" w:hAnsi="仿宋" w:eastAsia="仿宋" w:cs="仿宋"/>
          <w:b/>
          <w:bCs/>
          <w:sz w:val="32"/>
          <w:szCs w:val="32"/>
          <w:u w:val="none"/>
        </w:rPr>
        <w:t>2.大力支持新能源清洁能源动力运输船舶发展。</w:t>
      </w:r>
      <w:r>
        <w:rPr>
          <w:rFonts w:hint="eastAsia" w:ascii="仿宋" w:hAnsi="仿宋" w:eastAsia="仿宋" w:cs="仿宋"/>
          <w:sz w:val="32"/>
          <w:szCs w:val="32"/>
          <w:u w:val="none"/>
        </w:rPr>
        <w:t>支持新</w:t>
      </w:r>
      <w:r>
        <w:rPr>
          <w:rFonts w:hint="eastAsia" w:ascii="仿宋" w:hAnsi="仿宋" w:eastAsia="仿宋" w:cs="仿宋"/>
          <w:sz w:val="32"/>
          <w:szCs w:val="32"/>
          <w:u w:val="none"/>
          <w:lang w:eastAsia="zh-CN"/>
        </w:rPr>
        <w:t>建新能源清洁能源动力船舶，推动液化天然气（LNG）、生物柴油动力船舶在具备条件的航线应用，支持纯电池动力在中小型、短距离内河船舶试点应用，鼓励船舶探索开展箱式电源等可移动设备换装模式试点应用，扩大绿电、液化天然气（LNG）、生物柴油、绿色甲醇等能源在船舶领域应用，支持新能源清洁能源</w:t>
      </w:r>
      <w:r>
        <w:rPr>
          <w:rFonts w:hint="eastAsia" w:ascii="仿宋" w:hAnsi="仿宋" w:eastAsia="仿宋" w:cs="仿宋"/>
          <w:sz w:val="32"/>
          <w:szCs w:val="32"/>
          <w:u w:val="none"/>
          <w:lang w:val="en-US" w:eastAsia="zh-CN"/>
        </w:rPr>
        <w:t>船舶</w:t>
      </w:r>
      <w:r>
        <w:rPr>
          <w:rFonts w:hint="eastAsia" w:ascii="仿宋" w:hAnsi="仿宋" w:eastAsia="仿宋" w:cs="仿宋"/>
          <w:sz w:val="32"/>
          <w:szCs w:val="32"/>
          <w:u w:val="none"/>
          <w:lang w:eastAsia="zh-CN"/>
        </w:rPr>
        <w:t>优先靠离泊。</w:t>
      </w:r>
    </w:p>
    <w:p w14:paraId="688CE38E">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rPr>
        <w:t>3.完善新能源清洁能源动力运输船舶配套基础设施。</w:t>
      </w:r>
      <w:r>
        <w:rPr>
          <w:rFonts w:hint="eastAsia" w:ascii="仿宋" w:hAnsi="仿宋" w:eastAsia="仿宋" w:cs="仿宋"/>
          <w:sz w:val="32"/>
          <w:szCs w:val="32"/>
          <w:u w:val="none"/>
          <w:lang w:val="en-US" w:eastAsia="zh-CN"/>
        </w:rPr>
        <w:t>加强岸线资源集约高效利用，鼓励液化天然气LNG 、生物柴油、绿醇等加注及充（换）电供应服务保障能力建设，逐步完善新能源清洁能源动力船舶配套基础设施，提升供应服务保障能力。鼓励有条件的市（地）更新提升配套设施综合服务水平，探索建设绿色航运综合服务区，加快构建便捷完善的配套基础设施网络。加强新能源加注作业及动力系统、储运与加注系统等关键船舶配套系统设备的风险评估。</w:t>
      </w:r>
    </w:p>
    <w:p w14:paraId="32B2C20B">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（四）老旧机车淘汰更新行动</w:t>
      </w:r>
    </w:p>
    <w:p w14:paraId="5E664535">
      <w:pPr>
        <w:spacing w:line="560" w:lineRule="exact"/>
        <w:ind w:firstLine="643" w:firstLineChars="200"/>
        <w:rPr>
          <w:rFonts w:ascii="仿宋" w:hAnsi="仿宋" w:eastAsia="仿宋" w:cs="仿宋"/>
          <w:sz w:val="32"/>
          <w:szCs w:val="32"/>
          <w:u w:val="none"/>
        </w:rPr>
      </w:pPr>
      <w:r>
        <w:rPr>
          <w:rFonts w:hint="eastAsia" w:ascii="仿宋" w:hAnsi="仿宋" w:eastAsia="仿宋" w:cs="仿宋"/>
          <w:b/>
          <w:bCs/>
          <w:sz w:val="32"/>
          <w:szCs w:val="32"/>
          <w:u w:val="none"/>
        </w:rPr>
        <w:t>1.加快老旧机车淘汰。</w:t>
      </w:r>
      <w:r>
        <w:rPr>
          <w:rFonts w:hint="eastAsia" w:ascii="仿宋" w:hAnsi="仿宋" w:eastAsia="仿宋" w:cs="仿宋"/>
          <w:sz w:val="32"/>
          <w:szCs w:val="32"/>
          <w:u w:val="none"/>
        </w:rPr>
        <w:t>贯彻落实“双碳”国家战略，推动铁路装备技术创新和绿色发展。支持老旧机车淘汰报废，稳步推进电气化改造，进一步减少内燃机车牵引比例和燃油消耗。明确老旧铁路内燃机车报废运用年限为30年，建设机车排气污染物排放检验体系，加强机车运用状态、排气污染物的动态跟踪管理，鼓励老旧内燃机车提前报废。</w:t>
      </w:r>
    </w:p>
    <w:p w14:paraId="33BE1620">
      <w:pPr>
        <w:spacing w:line="560" w:lineRule="exact"/>
        <w:ind w:firstLine="643" w:firstLineChars="200"/>
        <w:rPr>
          <w:rFonts w:ascii="仿宋" w:hAnsi="仿宋" w:eastAsia="仿宋" w:cs="仿宋"/>
          <w:sz w:val="32"/>
          <w:szCs w:val="32"/>
          <w:u w:val="none"/>
        </w:rPr>
      </w:pPr>
      <w:r>
        <w:rPr>
          <w:rFonts w:hint="eastAsia" w:ascii="仿宋" w:hAnsi="仿宋" w:eastAsia="仿宋" w:cs="仿宋"/>
          <w:b/>
          <w:bCs/>
          <w:sz w:val="32"/>
          <w:szCs w:val="32"/>
          <w:u w:val="none"/>
        </w:rPr>
        <w:t>2.鼓励新能源机车更新。</w:t>
      </w:r>
      <w:r>
        <w:rPr>
          <w:rFonts w:hint="eastAsia" w:ascii="仿宋" w:hAnsi="仿宋" w:eastAsia="仿宋" w:cs="仿宋"/>
          <w:sz w:val="32"/>
          <w:szCs w:val="32"/>
          <w:u w:val="none"/>
        </w:rPr>
        <w:t>采用大功率电池、新一代柴油机、内电双源、氢动力系统、低碳/零碳燃料发动机等技术，推动老旧内燃机车更新升级。</w:t>
      </w:r>
      <w:r>
        <w:rPr>
          <w:rFonts w:hint="eastAsia" w:ascii="仿宋" w:hAnsi="仿宋" w:eastAsia="仿宋" w:cs="仿宋"/>
          <w:sz w:val="32"/>
          <w:szCs w:val="32"/>
          <w:u w:val="none"/>
          <w:lang w:val="en-US" w:eastAsia="zh-CN"/>
        </w:rPr>
        <w:t>鼓励采用混合动力及新能源动力等技术，实现调车机车替代应用；装用新一代低排放低油耗中高速柴油机，实现干线货运机车替代应用；采用柴油机+动力电池集成应用，实现干线客运机车替代及动集系列化；采用高效交流传动技术，实现机车产品技术迭代升级。</w:t>
      </w:r>
    </w:p>
    <w:p w14:paraId="4E5BCC0A">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（五）民航设备更新行动</w:t>
      </w:r>
    </w:p>
    <w:p w14:paraId="132E4EEC">
      <w:pPr>
        <w:spacing w:line="560" w:lineRule="exact"/>
        <w:ind w:firstLine="643" w:firstLineChars="200"/>
        <w:rPr>
          <w:rFonts w:hint="eastAsia" w:ascii="仿宋" w:hAnsi="仿宋" w:eastAsia="仿宋" w:cs="仿宋"/>
          <w:sz w:val="32"/>
          <w:szCs w:val="32"/>
          <w:u w:val="none"/>
        </w:rPr>
      </w:pPr>
      <w:r>
        <w:rPr>
          <w:rFonts w:hint="eastAsia" w:ascii="仿宋" w:hAnsi="仿宋" w:eastAsia="仿宋" w:cs="仿宋"/>
          <w:b/>
          <w:bCs/>
          <w:sz w:val="32"/>
          <w:szCs w:val="32"/>
          <w:u w:val="none"/>
          <w:lang w:val="en-US" w:eastAsia="zh-CN"/>
        </w:rPr>
        <w:t>1</w:t>
      </w:r>
      <w:r>
        <w:rPr>
          <w:rFonts w:hint="eastAsia" w:ascii="仿宋" w:hAnsi="仿宋" w:eastAsia="仿宋" w:cs="仿宋"/>
          <w:b/>
          <w:bCs/>
          <w:sz w:val="32"/>
          <w:szCs w:val="32"/>
          <w:u w:val="none"/>
        </w:rPr>
        <w:t>.支持</w:t>
      </w:r>
      <w:r>
        <w:rPr>
          <w:rFonts w:hint="eastAsia" w:ascii="仿宋" w:hAnsi="仿宋" w:eastAsia="仿宋" w:cs="仿宋"/>
          <w:b/>
          <w:bCs/>
          <w:sz w:val="32"/>
          <w:szCs w:val="32"/>
          <w:u w:val="none"/>
          <w:lang w:eastAsia="zh-CN"/>
        </w:rPr>
        <w:t>机场场内作业</w:t>
      </w:r>
      <w:r>
        <w:rPr>
          <w:rFonts w:hint="eastAsia" w:ascii="仿宋" w:hAnsi="仿宋" w:eastAsia="仿宋" w:cs="仿宋"/>
          <w:b/>
          <w:bCs/>
          <w:sz w:val="32"/>
          <w:szCs w:val="32"/>
          <w:u w:val="none"/>
        </w:rPr>
        <w:t>车辆更新</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充分利用“两重”建设大规模设备更新支持政策，</w:t>
      </w:r>
      <w:r>
        <w:rPr>
          <w:rFonts w:hint="eastAsia" w:ascii="仿宋" w:hAnsi="仿宋" w:eastAsia="仿宋" w:cs="仿宋"/>
          <w:sz w:val="32"/>
          <w:szCs w:val="32"/>
          <w:u w:val="none"/>
        </w:rPr>
        <w:t>推动机场淘汰更新10年以上柴油车辆，配备使用新能源机场场内车辆。</w:t>
      </w:r>
    </w:p>
    <w:p w14:paraId="656565E8">
      <w:pPr>
        <w:spacing w:line="560" w:lineRule="exact"/>
        <w:ind w:firstLine="643" w:firstLineChars="200"/>
        <w:rPr>
          <w:rFonts w:ascii="仿宋" w:hAnsi="仿宋" w:eastAsia="仿宋" w:cs="仿宋"/>
          <w:sz w:val="32"/>
          <w:szCs w:val="32"/>
          <w:u w:val="none"/>
        </w:rPr>
      </w:pPr>
      <w:r>
        <w:rPr>
          <w:rFonts w:hint="eastAsia" w:ascii="仿宋" w:hAnsi="仿宋" w:eastAsia="仿宋" w:cs="仿宋"/>
          <w:b/>
          <w:bCs/>
          <w:sz w:val="32"/>
          <w:szCs w:val="32"/>
          <w:u w:val="none"/>
          <w:lang w:val="en-US" w:eastAsia="zh-CN"/>
        </w:rPr>
        <w:t>2</w:t>
      </w:r>
      <w:r>
        <w:rPr>
          <w:rFonts w:hint="eastAsia" w:ascii="仿宋" w:hAnsi="仿宋" w:eastAsia="仿宋" w:cs="仿宋"/>
          <w:b/>
          <w:bCs/>
          <w:sz w:val="32"/>
          <w:szCs w:val="32"/>
          <w:u w:val="none"/>
        </w:rPr>
        <w:t>.推动机场设备行李系统淘汰更新。</w:t>
      </w:r>
      <w:r>
        <w:rPr>
          <w:rFonts w:hint="eastAsia" w:ascii="仿宋" w:hAnsi="仿宋" w:eastAsia="仿宋" w:cs="仿宋"/>
          <w:sz w:val="32"/>
          <w:szCs w:val="32"/>
          <w:u w:val="none"/>
        </w:rPr>
        <w:t>结合实际制订行李系统等设备更新计划并有序推进，鼓励市</w:t>
      </w:r>
      <w:r>
        <w:rPr>
          <w:rFonts w:hint="eastAsia" w:ascii="仿宋" w:hAnsi="仿宋" w:eastAsia="仿宋" w:cs="仿宋"/>
          <w:sz w:val="32"/>
          <w:szCs w:val="32"/>
          <w:u w:val="none"/>
          <w:lang w:val="en-US" w:eastAsia="zh-CN"/>
        </w:rPr>
        <w:t>（地）</w:t>
      </w:r>
      <w:r>
        <w:rPr>
          <w:rFonts w:hint="eastAsia" w:ascii="仿宋" w:hAnsi="仿宋" w:eastAsia="仿宋" w:cs="仿宋"/>
          <w:sz w:val="32"/>
          <w:szCs w:val="32"/>
          <w:u w:val="none"/>
        </w:rPr>
        <w:t>为更新设备提供政策支持。</w:t>
      </w:r>
    </w:p>
    <w:p w14:paraId="33E84F79">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（六）邮政快递老旧设备更新行动</w:t>
      </w:r>
    </w:p>
    <w:p w14:paraId="11AD6971">
      <w:pPr>
        <w:spacing w:line="560" w:lineRule="exact"/>
        <w:ind w:firstLine="643" w:firstLineChars="200"/>
        <w:rPr>
          <w:rFonts w:hint="eastAsia" w:ascii="仿宋" w:hAnsi="仿宋" w:eastAsia="仿宋" w:cs="仿宋"/>
          <w:sz w:val="32"/>
          <w:szCs w:val="32"/>
          <w:u w:val="none"/>
        </w:rPr>
      </w:pPr>
      <w:r>
        <w:rPr>
          <w:rFonts w:hint="eastAsia" w:ascii="仿宋" w:hAnsi="仿宋" w:eastAsia="仿宋" w:cs="仿宋"/>
          <w:b/>
          <w:bCs/>
          <w:sz w:val="32"/>
          <w:szCs w:val="32"/>
          <w:u w:val="none"/>
        </w:rPr>
        <w:t>1.支持老旧安检设备更新。</w:t>
      </w:r>
      <w:r>
        <w:rPr>
          <w:rFonts w:hint="eastAsia" w:ascii="仿宋" w:hAnsi="仿宋" w:eastAsia="仿宋" w:cs="仿宋"/>
          <w:sz w:val="32"/>
          <w:szCs w:val="32"/>
          <w:u w:val="none"/>
        </w:rPr>
        <w:t>推动邮政快递企业淘汰老旧、失效的微剂量X射线安全检查设备，配置使用邮件快件智能X射线安全检查设备。鼓励企业加强安检信息化建设，推广在安检领域应用互联网、大数据、云计算、人工智能、区块链等现代化信息技术，推动安检工作信息化、智能化。</w:t>
      </w:r>
    </w:p>
    <w:p w14:paraId="0B2F4B50">
      <w:pPr>
        <w:spacing w:line="560" w:lineRule="exact"/>
        <w:ind w:firstLine="643" w:firstLineChars="200"/>
        <w:rPr>
          <w:rFonts w:hint="eastAsia" w:ascii="仿宋" w:hAnsi="仿宋" w:eastAsia="仿宋" w:cs="仿宋"/>
          <w:sz w:val="32"/>
          <w:szCs w:val="32"/>
          <w:u w:val="none"/>
          <w:lang w:eastAsia="zh-CN"/>
        </w:rPr>
      </w:pPr>
      <w:r>
        <w:rPr>
          <w:rFonts w:hint="eastAsia" w:ascii="仿宋" w:hAnsi="仿宋" w:eastAsia="仿宋" w:cs="仿宋"/>
          <w:b/>
          <w:bCs/>
          <w:sz w:val="32"/>
          <w:szCs w:val="32"/>
          <w:u w:val="none"/>
        </w:rPr>
        <w:t>2.推动邮政快递末端配送车辆更新。</w:t>
      </w:r>
      <w:r>
        <w:rPr>
          <w:rFonts w:hint="eastAsia" w:ascii="仿宋" w:hAnsi="仿宋" w:eastAsia="仿宋" w:cs="仿宋"/>
          <w:sz w:val="32"/>
          <w:szCs w:val="32"/>
          <w:u w:val="none"/>
        </w:rPr>
        <w:t>指导邮政快递企业结合实际制定新能源车辆更新计划并有序推进，支持企业淘汰不符合道路运输标准的运输和末端配送车辆，鼓励更新新能源车辆。鼓励邮政快递企业探索合法使用新能源无人配送车，提升邮件快件转投效率。</w:t>
      </w:r>
    </w:p>
    <w:p w14:paraId="52E1FC89">
      <w:pPr>
        <w:spacing w:line="560" w:lineRule="exact"/>
        <w:ind w:firstLine="643" w:firstLineChars="200"/>
        <w:rPr>
          <w:rFonts w:ascii="仿宋" w:hAnsi="仿宋" w:eastAsia="仿宋" w:cs="仿宋"/>
          <w:sz w:val="32"/>
          <w:szCs w:val="32"/>
          <w:u w:val="none"/>
        </w:rPr>
      </w:pPr>
      <w:r>
        <w:rPr>
          <w:rFonts w:hint="eastAsia" w:ascii="仿宋" w:hAnsi="仿宋" w:eastAsia="仿宋" w:cs="仿宋"/>
          <w:b/>
          <w:bCs/>
          <w:sz w:val="32"/>
          <w:szCs w:val="32"/>
          <w:u w:val="none"/>
        </w:rPr>
        <w:t>3.支持老旧分拣设备更新。</w:t>
      </w:r>
      <w:r>
        <w:rPr>
          <w:rFonts w:hint="eastAsia" w:ascii="仿宋" w:hAnsi="仿宋" w:eastAsia="仿宋" w:cs="仿宋"/>
          <w:sz w:val="32"/>
          <w:szCs w:val="32"/>
          <w:u w:val="none"/>
        </w:rPr>
        <w:t>支持企业淘汰无法通过维修、改造、升级等方式达到相关安全要求的分拣设备，支持替换老化老旧设备或人工拣选，配置使用全自动智能分拣成套设备。指导企业按实际需求制定分拣设备更新计划，落实处理场所用地等基础条件，鼓励</w:t>
      </w:r>
      <w:r>
        <w:rPr>
          <w:rFonts w:hint="eastAsia" w:ascii="仿宋" w:hAnsi="仿宋" w:eastAsia="仿宋" w:cs="仿宋"/>
          <w:sz w:val="32"/>
          <w:szCs w:val="32"/>
          <w:u w:val="none"/>
          <w:lang w:eastAsia="zh-CN"/>
        </w:rPr>
        <w:t>市（地）</w:t>
      </w:r>
      <w:r>
        <w:rPr>
          <w:rFonts w:hint="eastAsia" w:ascii="仿宋" w:hAnsi="仿宋" w:eastAsia="仿宋" w:cs="仿宋"/>
          <w:sz w:val="32"/>
          <w:szCs w:val="32"/>
          <w:u w:val="none"/>
        </w:rPr>
        <w:t>为分拣设备更新提供政策支持。</w:t>
      </w:r>
    </w:p>
    <w:p w14:paraId="035191BB">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（七）物流设施设备更新改造行动</w:t>
      </w:r>
    </w:p>
    <w:p w14:paraId="00E50815">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鼓励国家物流枢纽、国家骨干冷链物流基地、国家级示范物流园区、城郊大仓基地范围内的多式联运场站和转运设施设备升级改造。加快推进智慧物流枢纽、物流园区智能化改造。支持高标准仓库、边境口岸铁路换装设施设备及应用自动分拣系统、堆垛机、电动叉车等设施设备的智慧立体仓储设施升级改造。积极推广升级标准化托盘、周转箱等物流装载器具循环共用系统。支持冷藏车等运输设备、制冷系统等冷链设施设备智能化绿色化升级改造。</w:t>
      </w:r>
    </w:p>
    <w:p w14:paraId="110DA968">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（八）标准提升行动</w:t>
      </w:r>
    </w:p>
    <w:p w14:paraId="548DBF2C">
      <w:pPr>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做好国家标准、行业标准宣传解读和实施应用，积极参与国家标准、行业标准修订，对标国际先进水平，加快提升营运车船等载运工具安全绿色发展水平。按照营运车船等载运工具安装北斗终端相关标准要求，同步配备北斗规模应用终端。探索新能源机车运用及配套工程的一体化综合服务能力建设，</w:t>
      </w:r>
      <w:r>
        <w:rPr>
          <w:rFonts w:hint="eastAsia" w:ascii="仿宋" w:hAnsi="仿宋" w:eastAsia="仿宋" w:cs="仿宋"/>
          <w:sz w:val="32"/>
          <w:szCs w:val="32"/>
          <w:u w:val="none"/>
          <w:lang w:eastAsia="zh-CN"/>
        </w:rPr>
        <w:t>鼓励</w:t>
      </w:r>
      <w:r>
        <w:rPr>
          <w:rFonts w:hint="eastAsia" w:ascii="仿宋" w:hAnsi="仿宋" w:eastAsia="仿宋" w:cs="仿宋"/>
          <w:sz w:val="32"/>
          <w:szCs w:val="32"/>
          <w:u w:val="none"/>
        </w:rPr>
        <w:t>构建机车全寿命周期运用体系。</w:t>
      </w:r>
    </w:p>
    <w:p w14:paraId="75214B30">
      <w:pPr>
        <w:spacing w:line="560" w:lineRule="exact"/>
        <w:ind w:firstLine="640" w:firstLineChars="200"/>
        <w:rPr>
          <w:rFonts w:ascii="黑体" w:hAnsi="黑体" w:eastAsia="黑体" w:cs="黑体"/>
          <w:sz w:val="32"/>
          <w:szCs w:val="32"/>
          <w:u w:val="none"/>
        </w:rPr>
      </w:pPr>
      <w:r>
        <w:rPr>
          <w:rFonts w:hint="eastAsia" w:ascii="黑体" w:hAnsi="黑体" w:eastAsia="黑体" w:cs="黑体"/>
          <w:sz w:val="32"/>
          <w:szCs w:val="32"/>
          <w:u w:val="none"/>
        </w:rPr>
        <w:t>三、保障措施</w:t>
      </w:r>
    </w:p>
    <w:p w14:paraId="41F0B9FB">
      <w:pPr>
        <w:spacing w:line="560" w:lineRule="exact"/>
        <w:ind w:firstLine="640" w:firstLineChars="200"/>
        <w:rPr>
          <w:rFonts w:ascii="仿宋" w:hAnsi="仿宋" w:eastAsia="仿宋" w:cs="仿宋"/>
          <w:sz w:val="32"/>
          <w:szCs w:val="32"/>
          <w:u w:val="none"/>
        </w:rPr>
      </w:pPr>
      <w:r>
        <w:rPr>
          <w:rFonts w:hint="eastAsia" w:ascii="楷体" w:hAnsi="楷体" w:eastAsia="楷体" w:cs="楷体"/>
          <w:sz w:val="32"/>
          <w:szCs w:val="32"/>
          <w:u w:val="none"/>
        </w:rPr>
        <w:t>（一）加强组织领导。</w:t>
      </w:r>
      <w:r>
        <w:rPr>
          <w:rFonts w:hint="eastAsia" w:ascii="仿宋" w:hAnsi="仿宋" w:eastAsia="仿宋" w:cs="仿宋"/>
          <w:sz w:val="32"/>
          <w:szCs w:val="32"/>
          <w:u w:val="none"/>
        </w:rPr>
        <w:t>要提高政治站位，加强统筹推进，聚焦重点任务，层层压实责任，深入推进交通运输领域设备更新。各市（地）要落实主体责任，增强责任感、紧迫感，因地制宜明确工作目标，加快制定具体实施方案及配套政策实施细则，细化季度目标和完成时限，抓紧抓实抓好交通运输领域设备更新各项工作。加强监督考核，强化风险防范，严防违规骗补等行为。按照交通运输部部署，开展行业绿色低碳发展评估工作。</w:t>
      </w:r>
    </w:p>
    <w:p w14:paraId="23421A40">
      <w:pPr>
        <w:spacing w:line="560" w:lineRule="exact"/>
        <w:ind w:firstLine="640" w:firstLineChars="200"/>
        <w:rPr>
          <w:rFonts w:ascii="楷体" w:hAnsi="楷体" w:eastAsia="楷体" w:cs="楷体"/>
          <w:sz w:val="32"/>
          <w:szCs w:val="32"/>
          <w:u w:val="none"/>
        </w:rPr>
      </w:pPr>
      <w:r>
        <w:rPr>
          <w:rFonts w:hint="eastAsia" w:ascii="楷体" w:hAnsi="楷体" w:eastAsia="楷体" w:cs="楷体"/>
          <w:sz w:val="32"/>
          <w:szCs w:val="32"/>
          <w:u w:val="none"/>
        </w:rPr>
        <w:t>（二）完善工作机制。</w:t>
      </w:r>
      <w:r>
        <w:rPr>
          <w:rFonts w:hint="eastAsia" w:ascii="仿宋" w:hAnsi="仿宋" w:eastAsia="仿宋" w:cs="仿宋"/>
          <w:sz w:val="32"/>
          <w:szCs w:val="32"/>
          <w:u w:val="none"/>
        </w:rPr>
        <w:t>成立交通运输领域设备更新专项小组，加强统筹协调和督办落实，抓好行动方案组织实施和落地见效，及时掌握、定期通报设备更新工作进展，总结推广经验做法，确保专项行动落实落地。</w:t>
      </w:r>
    </w:p>
    <w:p w14:paraId="11E9035D">
      <w:pPr>
        <w:spacing w:line="560" w:lineRule="exact"/>
        <w:ind w:firstLine="640" w:firstLineChars="200"/>
        <w:rPr>
          <w:rFonts w:ascii="仿宋" w:hAnsi="仿宋" w:eastAsia="仿宋" w:cs="仿宋"/>
          <w:sz w:val="32"/>
          <w:szCs w:val="32"/>
          <w:u w:val="none"/>
        </w:rPr>
      </w:pPr>
      <w:r>
        <w:rPr>
          <w:rFonts w:hint="eastAsia" w:ascii="楷体" w:hAnsi="楷体" w:eastAsia="楷体" w:cs="楷体"/>
          <w:sz w:val="32"/>
          <w:szCs w:val="32"/>
          <w:u w:val="none"/>
        </w:rPr>
        <w:t>（三）加大财税政策支持。</w:t>
      </w:r>
      <w:r>
        <w:rPr>
          <w:rFonts w:hint="eastAsia" w:ascii="仿宋" w:hAnsi="仿宋" w:eastAsia="仿宋" w:cs="仿宋"/>
          <w:sz w:val="32"/>
          <w:szCs w:val="32"/>
          <w:u w:val="none"/>
        </w:rPr>
        <w:t>要打好政策组合拳，多方发力加大政策支持，最大限度发挥政策叠加效应。落实国家对交通运输领域设备更新支持政策，</w:t>
      </w:r>
      <w:r>
        <w:rPr>
          <w:rFonts w:hint="eastAsia" w:ascii="仿宋" w:hAnsi="仿宋" w:eastAsia="仿宋" w:cs="仿宋"/>
          <w:sz w:val="32"/>
          <w:szCs w:val="32"/>
          <w:u w:val="none"/>
          <w:lang w:val="en-US" w:eastAsia="zh-CN"/>
        </w:rPr>
        <w:t>鼓励有条件的市县</w:t>
      </w:r>
      <w:r>
        <w:rPr>
          <w:rFonts w:hint="eastAsia" w:ascii="仿宋" w:hAnsi="仿宋" w:eastAsia="仿宋" w:cs="仿宋"/>
          <w:sz w:val="32"/>
          <w:szCs w:val="32"/>
          <w:u w:val="none"/>
        </w:rPr>
        <w:t>统筹利用中央财政安排的城市交通发展奖励资金，支持新能源公交车及动力电池更新；积极争取使用超长期特别国债，支持老旧营运货车、老旧营运船舶更新，铁路领域老旧型内燃机车更新改造，城市轨道交通老旧设施设备更新改造，老旧机场设备更新，物流设备改造升级。统筹利用省级物流降本提质增效奖励政策，支持符合条件的物流企业更新智慧物流设备。要利用现有税收政策，持续用好公共汽电车辆免征车辆购置税、新能源车船免征车船税等支持政策。</w:t>
      </w:r>
    </w:p>
    <w:p w14:paraId="304D8C7C">
      <w:pPr>
        <w:spacing w:line="560" w:lineRule="exact"/>
        <w:ind w:firstLine="640" w:firstLineChars="200"/>
        <w:rPr>
          <w:rFonts w:hint="eastAsia" w:ascii="仿宋" w:hAnsi="仿宋" w:eastAsia="仿宋" w:cs="仿宋"/>
          <w:sz w:val="32"/>
          <w:szCs w:val="32"/>
          <w:u w:val="none"/>
        </w:rPr>
      </w:pPr>
      <w:r>
        <w:rPr>
          <w:rFonts w:hint="eastAsia" w:ascii="楷体" w:hAnsi="楷体" w:eastAsia="楷体" w:cs="楷体"/>
          <w:sz w:val="32"/>
          <w:szCs w:val="32"/>
          <w:u w:val="none"/>
        </w:rPr>
        <w:t>（四）加强金融保险支持。</w:t>
      </w:r>
      <w:r>
        <w:rPr>
          <w:rFonts w:hint="eastAsia" w:ascii="仿宋" w:hAnsi="仿宋" w:eastAsia="仿宋" w:cs="仿宋"/>
          <w:sz w:val="32"/>
          <w:szCs w:val="32"/>
          <w:u w:val="none"/>
        </w:rPr>
        <w:t>加大金融支持力度，发挥科技创新和技术改造再贷款政策工具的激励作用，引导金融机构强化对交通运输技术改造和设备更新的支持。鼓励银行保险机构提供多样化金融服务，提高融资便利度和保险保障水平。</w:t>
      </w:r>
    </w:p>
    <w:p w14:paraId="51D67451">
      <w:pPr>
        <w:spacing w:line="560" w:lineRule="exact"/>
        <w:ind w:firstLine="640" w:firstLineChars="200"/>
        <w:rPr>
          <w:rFonts w:hint="eastAsia" w:ascii="仿宋" w:hAnsi="仿宋" w:eastAsia="仿宋" w:cs="仿宋"/>
          <w:sz w:val="32"/>
          <w:szCs w:val="32"/>
          <w:u w:val="none"/>
        </w:rPr>
      </w:pPr>
      <w:r>
        <w:rPr>
          <w:rFonts w:hint="eastAsia" w:ascii="楷体" w:hAnsi="楷体" w:eastAsia="楷体" w:cs="楷体"/>
          <w:sz w:val="32"/>
          <w:szCs w:val="32"/>
          <w:u w:val="none"/>
          <w:lang w:val="en-US" w:eastAsia="zh-CN"/>
        </w:rPr>
        <w:t>（五）加强创新支撑。</w:t>
      </w:r>
      <w:r>
        <w:rPr>
          <w:rFonts w:hint="eastAsia" w:ascii="仿宋" w:hAnsi="仿宋" w:eastAsia="仿宋" w:cs="仿宋"/>
          <w:sz w:val="32"/>
          <w:szCs w:val="32"/>
          <w:u w:val="none"/>
          <w:lang w:val="en-US" w:eastAsia="zh-CN"/>
        </w:rPr>
        <w:t>鼓励省内科研院所企业开展新能源清洁能源载运装备技术研发，鼓励行业各类绿色交通创新主体建立创新联盟，支持应用智能化绿色化交通运输装备，加快节能环保关键技术推广应用。</w:t>
      </w:r>
    </w:p>
    <w:p w14:paraId="59F4DCDF">
      <w:pPr>
        <w:spacing w:line="560" w:lineRule="exact"/>
        <w:ind w:firstLine="640" w:firstLineChars="200"/>
        <w:rPr>
          <w:rFonts w:hint="eastAsia" w:ascii="仿宋" w:hAnsi="仿宋" w:eastAsia="仿宋" w:cs="仿宋"/>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eastAsia="zh-CN"/>
        </w:rPr>
        <w:t>六</w:t>
      </w:r>
      <w:r>
        <w:rPr>
          <w:rFonts w:hint="eastAsia" w:ascii="楷体" w:hAnsi="楷体" w:eastAsia="楷体" w:cs="楷体"/>
          <w:sz w:val="32"/>
          <w:szCs w:val="32"/>
          <w:u w:val="none"/>
        </w:rPr>
        <w:t>）做好宣传引导。</w:t>
      </w:r>
      <w:r>
        <w:rPr>
          <w:rFonts w:hint="eastAsia" w:ascii="仿宋" w:hAnsi="仿宋" w:eastAsia="仿宋" w:cs="仿宋"/>
          <w:sz w:val="32"/>
          <w:szCs w:val="32"/>
          <w:u w:val="none"/>
        </w:rPr>
        <w:t>各市（地）要加强交通运输领域设备更新的舆论宣传引导，各相关部门要利用新媒体宣传、推广相关政策和标准。开展“进企业、送政策、送服务”活动，调动企业和经营者积极性、主动性，提升政策公众知晓度，推动政策直达企业和经营者。</w:t>
      </w:r>
    </w:p>
    <w:p w14:paraId="5823B9BB">
      <w:pPr>
        <w:spacing w:line="560" w:lineRule="exact"/>
        <w:ind w:firstLine="640" w:firstLineChars="200"/>
        <w:rPr>
          <w:rFonts w:hint="eastAsia" w:ascii="仿宋" w:hAnsi="仿宋" w:eastAsia="仿宋" w:cs="仿宋"/>
          <w:sz w:val="32"/>
          <w:szCs w:val="32"/>
          <w:u w:val="none"/>
          <w:lang w:eastAsia="zh-CN"/>
        </w:rPr>
      </w:pPr>
      <w:bookmarkStart w:id="0" w:name="_GoBack"/>
      <w:bookmarkEnd w:id="0"/>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本文有删减</w:t>
      </w:r>
      <w:r>
        <w:rPr>
          <w:rFonts w:hint="eastAsia" w:ascii="仿宋" w:hAnsi="仿宋" w:eastAsia="仿宋" w:cs="仿宋"/>
          <w:sz w:val="32"/>
          <w:szCs w:val="32"/>
          <w:u w:val="none"/>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1C72D0-C0E5-4A92-854F-208D2E8626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0B85BF44-8CCB-4DFD-AC9C-1DD3D9DF5789}"/>
  </w:font>
  <w:font w:name="楷体">
    <w:panose1 w:val="02010609060101010101"/>
    <w:charset w:val="86"/>
    <w:family w:val="modern"/>
    <w:pitch w:val="default"/>
    <w:sig w:usb0="800002BF" w:usb1="38CF7CFA" w:usb2="00000016" w:usb3="00000000" w:csb0="00040001" w:csb1="00000000"/>
    <w:embedRegular r:id="rId3" w:fontKey="{36A38E03-2415-453E-BCC2-C240A1A45C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283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7466CE">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7466CE">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zllOGU4NjBiNDk3NTBmNjFkNGQ2MzdmNGJjODUifQ=="/>
  </w:docVars>
  <w:rsids>
    <w:rsidRoot w:val="00B62530"/>
    <w:rsid w:val="0045391F"/>
    <w:rsid w:val="00485C03"/>
    <w:rsid w:val="00961C4A"/>
    <w:rsid w:val="00A12EE7"/>
    <w:rsid w:val="00A1510F"/>
    <w:rsid w:val="00B62530"/>
    <w:rsid w:val="00EB27D7"/>
    <w:rsid w:val="011D40DA"/>
    <w:rsid w:val="01520363"/>
    <w:rsid w:val="017B3AE9"/>
    <w:rsid w:val="02647ECA"/>
    <w:rsid w:val="02AA1E2A"/>
    <w:rsid w:val="03367AB9"/>
    <w:rsid w:val="034B3925"/>
    <w:rsid w:val="048C40B9"/>
    <w:rsid w:val="056B77C2"/>
    <w:rsid w:val="05742A39"/>
    <w:rsid w:val="063F6C84"/>
    <w:rsid w:val="06606BFB"/>
    <w:rsid w:val="06AD2931"/>
    <w:rsid w:val="06DB3C35"/>
    <w:rsid w:val="07950B26"/>
    <w:rsid w:val="07E64320"/>
    <w:rsid w:val="084078D0"/>
    <w:rsid w:val="08421B6F"/>
    <w:rsid w:val="084B4AF6"/>
    <w:rsid w:val="08A6123D"/>
    <w:rsid w:val="0A56422F"/>
    <w:rsid w:val="0B755910"/>
    <w:rsid w:val="0BAB6B6A"/>
    <w:rsid w:val="0C174EAA"/>
    <w:rsid w:val="0C4F5CA0"/>
    <w:rsid w:val="0CB922FE"/>
    <w:rsid w:val="0CF278B9"/>
    <w:rsid w:val="0D0522AA"/>
    <w:rsid w:val="0D4D6007"/>
    <w:rsid w:val="0D8870BB"/>
    <w:rsid w:val="0E9B4C74"/>
    <w:rsid w:val="0F262659"/>
    <w:rsid w:val="119B4B72"/>
    <w:rsid w:val="11FB198E"/>
    <w:rsid w:val="124F46F3"/>
    <w:rsid w:val="12F1588B"/>
    <w:rsid w:val="13FA243C"/>
    <w:rsid w:val="152D7BFE"/>
    <w:rsid w:val="15325C06"/>
    <w:rsid w:val="15E769F0"/>
    <w:rsid w:val="16DE7DF3"/>
    <w:rsid w:val="16F33F95"/>
    <w:rsid w:val="18022FC3"/>
    <w:rsid w:val="1851381F"/>
    <w:rsid w:val="19D35C0A"/>
    <w:rsid w:val="19FB0CBC"/>
    <w:rsid w:val="1A2C70C8"/>
    <w:rsid w:val="1A693559"/>
    <w:rsid w:val="1AC24B2E"/>
    <w:rsid w:val="1BEB484A"/>
    <w:rsid w:val="1BFE4DCF"/>
    <w:rsid w:val="1C927D8E"/>
    <w:rsid w:val="1D7E06B8"/>
    <w:rsid w:val="1D9E3976"/>
    <w:rsid w:val="1E8659C5"/>
    <w:rsid w:val="1F43738D"/>
    <w:rsid w:val="1FEB3581"/>
    <w:rsid w:val="219A57D9"/>
    <w:rsid w:val="21FC1A76"/>
    <w:rsid w:val="22433200"/>
    <w:rsid w:val="22871192"/>
    <w:rsid w:val="22BD49AC"/>
    <w:rsid w:val="23241284"/>
    <w:rsid w:val="232C2955"/>
    <w:rsid w:val="236C0C88"/>
    <w:rsid w:val="237276BF"/>
    <w:rsid w:val="23AB7050"/>
    <w:rsid w:val="24264A60"/>
    <w:rsid w:val="248F097F"/>
    <w:rsid w:val="268838D8"/>
    <w:rsid w:val="26A658FE"/>
    <w:rsid w:val="27364B08"/>
    <w:rsid w:val="27693709"/>
    <w:rsid w:val="28305FD5"/>
    <w:rsid w:val="29581C87"/>
    <w:rsid w:val="295E7109"/>
    <w:rsid w:val="29D07A70"/>
    <w:rsid w:val="29FA0F90"/>
    <w:rsid w:val="2BD9586C"/>
    <w:rsid w:val="2E57625B"/>
    <w:rsid w:val="2F78360E"/>
    <w:rsid w:val="2FE82383"/>
    <w:rsid w:val="30997E82"/>
    <w:rsid w:val="310E7707"/>
    <w:rsid w:val="321F53C3"/>
    <w:rsid w:val="3284589B"/>
    <w:rsid w:val="32996EF4"/>
    <w:rsid w:val="32E350AF"/>
    <w:rsid w:val="34330C0F"/>
    <w:rsid w:val="346D3BA5"/>
    <w:rsid w:val="34824AF3"/>
    <w:rsid w:val="35637F9E"/>
    <w:rsid w:val="361D5100"/>
    <w:rsid w:val="36955415"/>
    <w:rsid w:val="370A5BD1"/>
    <w:rsid w:val="379E0C32"/>
    <w:rsid w:val="37E02246"/>
    <w:rsid w:val="38064FA4"/>
    <w:rsid w:val="38F85F83"/>
    <w:rsid w:val="38FE3794"/>
    <w:rsid w:val="3A627B6C"/>
    <w:rsid w:val="3BAC19BF"/>
    <w:rsid w:val="3BC71477"/>
    <w:rsid w:val="3C0E61D6"/>
    <w:rsid w:val="3DB053AA"/>
    <w:rsid w:val="3EDD108F"/>
    <w:rsid w:val="3F0A4A3C"/>
    <w:rsid w:val="401D2E8B"/>
    <w:rsid w:val="40C833DC"/>
    <w:rsid w:val="414A2F2A"/>
    <w:rsid w:val="4171348E"/>
    <w:rsid w:val="41736037"/>
    <w:rsid w:val="419807C2"/>
    <w:rsid w:val="41C72E85"/>
    <w:rsid w:val="41D86402"/>
    <w:rsid w:val="422953A0"/>
    <w:rsid w:val="43394075"/>
    <w:rsid w:val="43635059"/>
    <w:rsid w:val="440830BE"/>
    <w:rsid w:val="4409692B"/>
    <w:rsid w:val="44380293"/>
    <w:rsid w:val="4488746D"/>
    <w:rsid w:val="44C71617"/>
    <w:rsid w:val="45EF59C8"/>
    <w:rsid w:val="460976FD"/>
    <w:rsid w:val="462D6C1B"/>
    <w:rsid w:val="46417839"/>
    <w:rsid w:val="46951E27"/>
    <w:rsid w:val="47615D53"/>
    <w:rsid w:val="47840427"/>
    <w:rsid w:val="47F40975"/>
    <w:rsid w:val="48EA74CD"/>
    <w:rsid w:val="4A2E02DC"/>
    <w:rsid w:val="4A32668B"/>
    <w:rsid w:val="4A687857"/>
    <w:rsid w:val="4A7D4C52"/>
    <w:rsid w:val="4A881849"/>
    <w:rsid w:val="4AC83865"/>
    <w:rsid w:val="4AE72A13"/>
    <w:rsid w:val="4D2802D4"/>
    <w:rsid w:val="4D855107"/>
    <w:rsid w:val="4DA12616"/>
    <w:rsid w:val="4EEF00E8"/>
    <w:rsid w:val="4F6B65D7"/>
    <w:rsid w:val="508C2093"/>
    <w:rsid w:val="509D0BE2"/>
    <w:rsid w:val="50DD2246"/>
    <w:rsid w:val="50EC48E0"/>
    <w:rsid w:val="529214B7"/>
    <w:rsid w:val="530729D3"/>
    <w:rsid w:val="53D76C62"/>
    <w:rsid w:val="55264138"/>
    <w:rsid w:val="56970192"/>
    <w:rsid w:val="57D8796C"/>
    <w:rsid w:val="582901C7"/>
    <w:rsid w:val="5885113D"/>
    <w:rsid w:val="58DA60F2"/>
    <w:rsid w:val="59BD1A0D"/>
    <w:rsid w:val="5B4D0590"/>
    <w:rsid w:val="5B5A2D8E"/>
    <w:rsid w:val="5E6C4D3D"/>
    <w:rsid w:val="5F1C0CF6"/>
    <w:rsid w:val="5FC23040"/>
    <w:rsid w:val="5FF21CF5"/>
    <w:rsid w:val="60F82E2D"/>
    <w:rsid w:val="622B7242"/>
    <w:rsid w:val="63133F4E"/>
    <w:rsid w:val="63F2026A"/>
    <w:rsid w:val="646A5DEF"/>
    <w:rsid w:val="650D51DF"/>
    <w:rsid w:val="65DD6A95"/>
    <w:rsid w:val="65E676F8"/>
    <w:rsid w:val="65F00576"/>
    <w:rsid w:val="66876CE5"/>
    <w:rsid w:val="669C425A"/>
    <w:rsid w:val="66B23A7E"/>
    <w:rsid w:val="66D20A17"/>
    <w:rsid w:val="66D25B39"/>
    <w:rsid w:val="676D5D3F"/>
    <w:rsid w:val="68F42334"/>
    <w:rsid w:val="69076303"/>
    <w:rsid w:val="69904A61"/>
    <w:rsid w:val="6A8757A9"/>
    <w:rsid w:val="6AF67A92"/>
    <w:rsid w:val="6B8D6867"/>
    <w:rsid w:val="6BC229B5"/>
    <w:rsid w:val="6DBD2D54"/>
    <w:rsid w:val="6EEB0907"/>
    <w:rsid w:val="6F20011E"/>
    <w:rsid w:val="6F4A519B"/>
    <w:rsid w:val="703F45D4"/>
    <w:rsid w:val="70EC44C4"/>
    <w:rsid w:val="71420975"/>
    <w:rsid w:val="715A058E"/>
    <w:rsid w:val="715E5980"/>
    <w:rsid w:val="72237CEA"/>
    <w:rsid w:val="72987FCC"/>
    <w:rsid w:val="72E476B5"/>
    <w:rsid w:val="73183876"/>
    <w:rsid w:val="73187318"/>
    <w:rsid w:val="73B773AE"/>
    <w:rsid w:val="74220495"/>
    <w:rsid w:val="742F4960"/>
    <w:rsid w:val="745A4D79"/>
    <w:rsid w:val="74B41340"/>
    <w:rsid w:val="74D6302D"/>
    <w:rsid w:val="758D193E"/>
    <w:rsid w:val="75E664A3"/>
    <w:rsid w:val="75F0011F"/>
    <w:rsid w:val="760F2C9B"/>
    <w:rsid w:val="774A4CE6"/>
    <w:rsid w:val="7789082B"/>
    <w:rsid w:val="77F113EF"/>
    <w:rsid w:val="78A77C77"/>
    <w:rsid w:val="7A0A0769"/>
    <w:rsid w:val="7A7E03EF"/>
    <w:rsid w:val="7A8178DB"/>
    <w:rsid w:val="7C0861C2"/>
    <w:rsid w:val="7C7005BC"/>
    <w:rsid w:val="7CC4559F"/>
    <w:rsid w:val="7CD35329"/>
    <w:rsid w:val="7CEE67EE"/>
    <w:rsid w:val="7CF60710"/>
    <w:rsid w:val="7D241A6C"/>
    <w:rsid w:val="7D2F0B7D"/>
    <w:rsid w:val="7EB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paragraph" w:styleId="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100" w:beforeAutospacing="1" w:after="100"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3772</Words>
  <Characters>3809</Characters>
  <Lines>30</Lines>
  <Paragraphs>8</Paragraphs>
  <TotalTime>37</TotalTime>
  <ScaleCrop>false</ScaleCrop>
  <LinksUpToDate>false</LinksUpToDate>
  <CharactersWithSpaces>3810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2024-06-11T01:06:00Z</dcterms:created>
  <dc:creator>yb Tong</dc:creator>
  <cp:lastModifiedBy>心淡如菊</cp:lastModifiedBy>
  <cp:lastPrinted>2024-06-14T13:07:00Z</cp:lastPrinted>
  <dcterms:modified xsi:type="dcterms:W3CDTF">2024-09-05T06:24:47Z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5E2E7F9F40434008A88314D7CCEF74D3_13</vt:lpwstr>
  </property>
</Properties>
</file>