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7A07C">
      <w:pPr>
        <w:spacing w:line="560" w:lineRule="exact"/>
        <w:jc w:val="center"/>
        <w:rPr>
          <w:rFonts w:ascii="黑体" w:hAnsi="黑体" w:eastAsia="黑体"/>
          <w:b/>
          <w:bCs/>
          <w:sz w:val="32"/>
          <w:szCs w:val="32"/>
        </w:rPr>
      </w:pPr>
      <w:r>
        <w:rPr>
          <w:rFonts w:ascii="汉仪大宋简" w:hAnsi="汉仪大宋简"/>
          <w:b/>
          <w:bCs/>
          <w:kern w:val="44"/>
          <w:sz w:val="36"/>
          <w:szCs w:val="36"/>
        </w:rPr>
        <w:t>招标公告</w:t>
      </w:r>
    </w:p>
    <w:p w14:paraId="28893D87">
      <w:pPr>
        <w:spacing w:line="240" w:lineRule="exact"/>
        <w:rPr>
          <w:kern w:val="0"/>
        </w:rPr>
      </w:pPr>
      <w:r>
        <w:rPr>
          <w:sz w:val="32"/>
          <w:szCs w:val="32"/>
        </w:rPr>
        <w:t xml:space="preserve"> </w:t>
      </w:r>
      <w:r>
        <w:rPr>
          <w:rFonts w:ascii="宋体" w:hAnsi="宋体"/>
          <w:b/>
          <w:bCs/>
          <w:kern w:val="0"/>
        </w:rPr>
        <w:t>一、招标条件</w:t>
      </w:r>
    </w:p>
    <w:p w14:paraId="1D349CF8">
      <w:pPr>
        <w:autoSpaceDE w:val="0"/>
        <w:spacing w:line="420" w:lineRule="exact"/>
        <w:ind w:firstLine="420" w:firstLineChars="200"/>
        <w:rPr>
          <w:kern w:val="0"/>
        </w:rPr>
      </w:pPr>
      <w:r>
        <w:rPr>
          <w:rFonts w:hint="eastAsia" w:ascii="宋体" w:hAnsi="宋体"/>
          <w:kern w:val="0"/>
        </w:rPr>
        <w:t>黑龙江省</w:t>
      </w:r>
      <w:r>
        <w:rPr>
          <w:rFonts w:hint="eastAsia"/>
          <w:kern w:val="0"/>
        </w:rPr>
        <w:t>2024</w:t>
      </w:r>
      <w:r>
        <w:rPr>
          <w:rFonts w:hint="eastAsia" w:ascii="宋体" w:hAnsi="宋体"/>
          <w:kern w:val="0"/>
        </w:rPr>
        <w:t>年普通国省干线公路危旧桥梁改造项目省道三石公路口岸国境桥施工项目已由黑龙江省交通运输厅以黑交发【</w:t>
      </w:r>
      <w:r>
        <w:rPr>
          <w:rFonts w:hint="eastAsia"/>
          <w:kern w:val="0"/>
        </w:rPr>
        <w:t>2024</w:t>
      </w:r>
      <w:r>
        <w:rPr>
          <w:rFonts w:hint="eastAsia" w:ascii="宋体" w:hAnsi="宋体"/>
          <w:kern w:val="0"/>
        </w:rPr>
        <w:t>】</w:t>
      </w:r>
      <w:r>
        <w:rPr>
          <w:rFonts w:hint="eastAsia"/>
          <w:kern w:val="0"/>
        </w:rPr>
        <w:t>265</w:t>
      </w:r>
      <w:r>
        <w:rPr>
          <w:rFonts w:hint="eastAsia" w:ascii="宋体" w:hAnsi="宋体"/>
          <w:kern w:val="0"/>
        </w:rPr>
        <w:t>号《黑龙江省交通运输厅关于黑龙江省</w:t>
      </w:r>
      <w:r>
        <w:rPr>
          <w:rFonts w:hint="eastAsia"/>
          <w:kern w:val="0"/>
        </w:rPr>
        <w:t>2024</w:t>
      </w:r>
      <w:r>
        <w:rPr>
          <w:rFonts w:hint="eastAsia" w:ascii="宋体" w:hAnsi="宋体"/>
          <w:kern w:val="0"/>
        </w:rPr>
        <w:t>年普通国省干线公路危旧桥梁改造项目省道三石公路口岸国境桥一阶段施工图设计的批复》文件和黑龙江省财政厅以黑财指（建）【</w:t>
      </w:r>
      <w:r>
        <w:rPr>
          <w:rFonts w:hint="eastAsia"/>
          <w:kern w:val="0"/>
        </w:rPr>
        <w:t>2022</w:t>
      </w:r>
      <w:r>
        <w:rPr>
          <w:rFonts w:hint="eastAsia" w:ascii="宋体" w:hAnsi="宋体"/>
          <w:kern w:val="0"/>
        </w:rPr>
        <w:t>】</w:t>
      </w:r>
      <w:r>
        <w:rPr>
          <w:rFonts w:hint="eastAsia"/>
          <w:kern w:val="0"/>
        </w:rPr>
        <w:t>57</w:t>
      </w:r>
      <w:r>
        <w:rPr>
          <w:rFonts w:hint="eastAsia" w:ascii="宋体" w:hAnsi="宋体"/>
          <w:kern w:val="0"/>
        </w:rPr>
        <w:t>号</w:t>
      </w:r>
      <w:r>
        <w:rPr>
          <w:rFonts w:ascii="宋体" w:hAnsi="宋体"/>
          <w:kern w:val="0"/>
        </w:rPr>
        <w:t>《</w:t>
      </w:r>
      <w:r>
        <w:rPr>
          <w:rFonts w:hint="eastAsia" w:ascii="宋体" w:hAnsi="宋体"/>
          <w:kern w:val="0"/>
        </w:rPr>
        <w:t>黑龙江省财政厅关于提前下达</w:t>
      </w:r>
      <w:r>
        <w:rPr>
          <w:rFonts w:hint="eastAsia"/>
          <w:kern w:val="0"/>
        </w:rPr>
        <w:t>2022</w:t>
      </w:r>
      <w:r>
        <w:rPr>
          <w:rFonts w:hint="eastAsia" w:ascii="宋体" w:hAnsi="宋体"/>
          <w:kern w:val="0"/>
        </w:rPr>
        <w:t>年界河维护经费的通知</w:t>
      </w:r>
      <w:r>
        <w:rPr>
          <w:rFonts w:ascii="宋体" w:hAnsi="宋体"/>
          <w:kern w:val="0"/>
        </w:rPr>
        <w:t>》</w:t>
      </w:r>
      <w:r>
        <w:rPr>
          <w:rFonts w:hint="eastAsia" w:ascii="宋体" w:hAnsi="宋体"/>
          <w:kern w:val="0"/>
        </w:rPr>
        <w:t>文件批准建设，资金来源为国家投资和地方配套</w:t>
      </w:r>
      <w:r>
        <w:rPr>
          <w:rFonts w:hint="eastAsia"/>
          <w:kern w:val="0"/>
        </w:rPr>
        <w:t>,</w:t>
      </w:r>
      <w:r>
        <w:rPr>
          <w:rFonts w:hint="eastAsia" w:ascii="宋体" w:hAnsi="宋体"/>
          <w:kern w:val="0"/>
        </w:rPr>
        <w:t>招标人为东宁市交通运输局，招标代理机构为黑龙江业杰招标代理有限公司。项目已具备招标条件，现对该项目的施工进行公开招标。</w:t>
      </w:r>
    </w:p>
    <w:p w14:paraId="7B8AD370">
      <w:pPr>
        <w:autoSpaceDE w:val="0"/>
        <w:spacing w:line="420" w:lineRule="exact"/>
        <w:ind w:firstLine="422" w:firstLineChars="200"/>
        <w:rPr>
          <w:rFonts w:hint="eastAsia"/>
          <w:kern w:val="0"/>
        </w:rPr>
      </w:pPr>
      <w:r>
        <w:rPr>
          <w:rFonts w:ascii="宋体" w:hAnsi="宋体"/>
          <w:b/>
          <w:bCs/>
          <w:kern w:val="0"/>
        </w:rPr>
        <w:t>二、项目概况与招标范围</w:t>
      </w:r>
    </w:p>
    <w:p w14:paraId="2AAD575F">
      <w:pPr>
        <w:autoSpaceDE w:val="0"/>
        <w:spacing w:line="420" w:lineRule="exact"/>
        <w:ind w:firstLine="420" w:firstLineChars="200"/>
        <w:rPr>
          <w:kern w:val="0"/>
        </w:rPr>
      </w:pPr>
      <w:r>
        <w:rPr>
          <w:rFonts w:hint="eastAsia"/>
          <w:kern w:val="0"/>
        </w:rPr>
        <w:t>2.1</w:t>
      </w:r>
      <w:r>
        <w:rPr>
          <w:rFonts w:hint="eastAsia" w:ascii="宋体" w:hAnsi="宋体"/>
          <w:kern w:val="0"/>
        </w:rPr>
        <w:t>项目名称：黑龙江省</w:t>
      </w:r>
      <w:r>
        <w:rPr>
          <w:rFonts w:hint="eastAsia"/>
          <w:kern w:val="0"/>
        </w:rPr>
        <w:t>2024</w:t>
      </w:r>
      <w:r>
        <w:rPr>
          <w:rFonts w:hint="eastAsia" w:ascii="宋体" w:hAnsi="宋体"/>
          <w:kern w:val="0"/>
        </w:rPr>
        <w:t>年普通国省干线公路危旧桥梁改造项目省道三石公路口岸国境桥施工项目</w:t>
      </w:r>
    </w:p>
    <w:p w14:paraId="14378E92">
      <w:pPr>
        <w:autoSpaceDE w:val="0"/>
        <w:spacing w:line="420" w:lineRule="exact"/>
        <w:ind w:firstLine="420" w:firstLineChars="200"/>
        <w:rPr>
          <w:rFonts w:hint="eastAsia"/>
          <w:color w:val="000000"/>
          <w:kern w:val="0"/>
        </w:rPr>
      </w:pPr>
      <w:r>
        <w:rPr>
          <w:rFonts w:hint="eastAsia"/>
          <w:color w:val="000000"/>
          <w:kern w:val="0"/>
        </w:rPr>
        <w:t>2.2</w:t>
      </w:r>
      <w:r>
        <w:rPr>
          <w:rFonts w:hint="eastAsia" w:ascii="宋体" w:hAnsi="宋体"/>
          <w:color w:val="000000"/>
          <w:kern w:val="0"/>
        </w:rPr>
        <w:t>工程概况：口岸国境桥位于省道三岔口至石岩镇公路（</w:t>
      </w:r>
      <w:r>
        <w:rPr>
          <w:rFonts w:hint="eastAsia"/>
          <w:color w:val="000000"/>
          <w:kern w:val="0"/>
        </w:rPr>
        <w:t>S317</w:t>
      </w:r>
      <w:r>
        <w:rPr>
          <w:rFonts w:hint="eastAsia" w:ascii="宋体" w:hAnsi="宋体"/>
          <w:color w:val="000000"/>
          <w:kern w:val="0"/>
        </w:rPr>
        <w:t>）东宁段东宁口岸内（跨越中俄界河），中心桩号为</w:t>
      </w:r>
      <w:r>
        <w:rPr>
          <w:rFonts w:hint="eastAsia"/>
          <w:color w:val="000000"/>
          <w:kern w:val="0"/>
        </w:rPr>
        <w:t>KO+023.52</w:t>
      </w:r>
      <w:r>
        <w:rPr>
          <w:rFonts w:hint="eastAsia" w:ascii="宋体" w:hAnsi="宋体"/>
          <w:color w:val="000000"/>
          <w:kern w:val="0"/>
        </w:rPr>
        <w:t>，上部结构</w:t>
      </w:r>
      <w:r>
        <w:rPr>
          <w:rFonts w:hint="eastAsia"/>
          <w:color w:val="000000"/>
          <w:kern w:val="0"/>
        </w:rPr>
        <w:t>5-9</w:t>
      </w:r>
      <w:r>
        <w:rPr>
          <w:rFonts w:hint="eastAsia" w:ascii="宋体" w:hAnsi="宋体"/>
          <w:color w:val="000000"/>
          <w:kern w:val="0"/>
        </w:rPr>
        <w:t>米组合式钢筋混凝土π型梁，下部结构为柱式桥台、柱式桥墩，基础为打入钢管桩</w:t>
      </w:r>
      <w:r>
        <w:rPr>
          <w:rFonts w:hint="eastAsia"/>
          <w:color w:val="000000"/>
          <w:kern w:val="0"/>
        </w:rPr>
        <w:t>+</w:t>
      </w:r>
      <w:r>
        <w:rPr>
          <w:rFonts w:hint="eastAsia" w:ascii="宋体" w:hAnsi="宋体"/>
          <w:color w:val="000000"/>
          <w:kern w:val="0"/>
        </w:rPr>
        <w:t>中心钢管混凝土方形桩（采取灌填混凝土方式将钢管和预制方桩形成为整体的组合桩体），桥梁全长</w:t>
      </w:r>
      <w:r>
        <w:rPr>
          <w:rFonts w:hint="eastAsia"/>
          <w:color w:val="000000"/>
          <w:kern w:val="0"/>
        </w:rPr>
        <w:t>45.04</w:t>
      </w:r>
      <w:r>
        <w:rPr>
          <w:rFonts w:hint="eastAsia" w:ascii="宋体" w:hAnsi="宋体"/>
          <w:color w:val="000000"/>
          <w:kern w:val="0"/>
        </w:rPr>
        <w:t>米，公路等级：二级公路。</w:t>
      </w:r>
    </w:p>
    <w:p w14:paraId="2D856AAB">
      <w:pPr>
        <w:autoSpaceDE w:val="0"/>
        <w:spacing w:line="420" w:lineRule="exact"/>
        <w:ind w:firstLine="420" w:firstLineChars="200"/>
        <w:rPr>
          <w:kern w:val="0"/>
        </w:rPr>
      </w:pPr>
      <w:r>
        <w:rPr>
          <w:rFonts w:hint="eastAsia"/>
          <w:kern w:val="0"/>
        </w:rPr>
        <w:t>2.3</w:t>
      </w:r>
      <w:r>
        <w:rPr>
          <w:rFonts w:hint="eastAsia" w:ascii="宋体" w:hAnsi="宋体"/>
          <w:kern w:val="0"/>
        </w:rPr>
        <w:t>建设地点：位于省道三岔口至石岩镇公路（</w:t>
      </w:r>
      <w:r>
        <w:rPr>
          <w:rFonts w:hint="eastAsia"/>
          <w:kern w:val="0"/>
        </w:rPr>
        <w:t>S317</w:t>
      </w:r>
      <w:r>
        <w:rPr>
          <w:rFonts w:hint="eastAsia" w:ascii="宋体" w:hAnsi="宋体"/>
          <w:kern w:val="0"/>
        </w:rPr>
        <w:t>）东宁段东宁口岸内（跨越中俄界河）</w:t>
      </w:r>
    </w:p>
    <w:p w14:paraId="357E10CB">
      <w:pPr>
        <w:autoSpaceDE w:val="0"/>
        <w:spacing w:line="420" w:lineRule="exact"/>
        <w:ind w:firstLine="420" w:firstLineChars="200"/>
        <w:rPr>
          <w:rFonts w:hint="eastAsia"/>
          <w:color w:val="000000"/>
          <w:kern w:val="0"/>
        </w:rPr>
      </w:pPr>
      <w:r>
        <w:rPr>
          <w:rFonts w:hint="eastAsia"/>
          <w:kern w:val="0"/>
        </w:rPr>
        <w:t>2.4</w:t>
      </w:r>
      <w:r>
        <w:rPr>
          <w:rFonts w:hint="eastAsia" w:ascii="宋体" w:hAnsi="宋体"/>
          <w:kern w:val="0"/>
        </w:rPr>
        <w:t>招标范围：</w:t>
      </w:r>
      <w:r>
        <w:rPr>
          <w:rFonts w:hint="eastAsia" w:ascii="宋体" w:hAnsi="宋体"/>
          <w:color w:val="000000"/>
          <w:kern w:val="0"/>
        </w:rPr>
        <w:t>本项目工程量清单及施工图纸包含的</w:t>
      </w:r>
      <w:r>
        <w:rPr>
          <w:rFonts w:hint="eastAsia" w:ascii="宋体" w:hAnsi="宋体"/>
          <w:kern w:val="0"/>
        </w:rPr>
        <w:t>全部内容及缺陷责任期修复。</w:t>
      </w:r>
    </w:p>
    <w:p w14:paraId="1557F68B">
      <w:pPr>
        <w:autoSpaceDE w:val="0"/>
        <w:spacing w:line="420" w:lineRule="exact"/>
        <w:ind w:firstLine="420" w:firstLineChars="200"/>
        <w:rPr>
          <w:kern w:val="0"/>
        </w:rPr>
      </w:pPr>
      <w:r>
        <w:rPr>
          <w:rFonts w:hint="eastAsia"/>
          <w:kern w:val="0"/>
        </w:rPr>
        <w:t>2.5</w:t>
      </w:r>
      <w:r>
        <w:rPr>
          <w:rFonts w:hint="eastAsia" w:ascii="宋体" w:hAnsi="宋体"/>
          <w:kern w:val="0"/>
        </w:rPr>
        <w:t>招标控制价：</w:t>
      </w:r>
      <w:r>
        <w:rPr>
          <w:rFonts w:hint="eastAsia"/>
          <w:kern w:val="0"/>
        </w:rPr>
        <w:t>2530409</w:t>
      </w:r>
      <w:r>
        <w:rPr>
          <w:rFonts w:hint="eastAsia" w:ascii="宋体" w:hAnsi="宋体"/>
          <w:kern w:val="0"/>
        </w:rPr>
        <w:t>元</w:t>
      </w:r>
    </w:p>
    <w:p w14:paraId="36A5A0A7">
      <w:pPr>
        <w:autoSpaceDE w:val="0"/>
        <w:spacing w:line="420" w:lineRule="exact"/>
        <w:ind w:firstLine="420" w:firstLineChars="200"/>
        <w:rPr>
          <w:rFonts w:hint="eastAsia"/>
          <w:kern w:val="0"/>
        </w:rPr>
      </w:pPr>
      <w:r>
        <w:rPr>
          <w:rFonts w:hint="eastAsia"/>
          <w:kern w:val="0"/>
        </w:rPr>
        <w:t>2.6</w:t>
      </w:r>
      <w:r>
        <w:rPr>
          <w:rFonts w:hint="eastAsia" w:ascii="宋体" w:hAnsi="宋体"/>
          <w:kern w:val="0"/>
        </w:rPr>
        <w:t>计划工期：计划开工日期</w:t>
      </w:r>
      <w:r>
        <w:rPr>
          <w:rFonts w:hint="eastAsia"/>
          <w:kern w:val="0"/>
        </w:rPr>
        <w:t>2024</w:t>
      </w:r>
      <w:r>
        <w:rPr>
          <w:rFonts w:hint="eastAsia" w:ascii="宋体" w:hAnsi="宋体"/>
          <w:kern w:val="0"/>
        </w:rPr>
        <w:t>年</w:t>
      </w:r>
      <w:r>
        <w:rPr>
          <w:rFonts w:hint="eastAsia"/>
          <w:kern w:val="0"/>
        </w:rPr>
        <w:t>09</w:t>
      </w:r>
      <w:r>
        <w:rPr>
          <w:rFonts w:hint="eastAsia" w:ascii="宋体" w:hAnsi="宋体"/>
          <w:kern w:val="0"/>
        </w:rPr>
        <w:t>月</w:t>
      </w:r>
      <w:r>
        <w:rPr>
          <w:rFonts w:hint="eastAsia"/>
          <w:kern w:val="0"/>
        </w:rPr>
        <w:t>30</w:t>
      </w:r>
      <w:r>
        <w:rPr>
          <w:rFonts w:hint="eastAsia" w:ascii="宋体" w:hAnsi="宋体"/>
          <w:kern w:val="0"/>
        </w:rPr>
        <w:t>日，计划交工日期</w:t>
      </w:r>
      <w:r>
        <w:rPr>
          <w:rFonts w:hint="eastAsia"/>
          <w:kern w:val="0"/>
        </w:rPr>
        <w:t>2024</w:t>
      </w:r>
      <w:r>
        <w:rPr>
          <w:rFonts w:hint="eastAsia" w:ascii="宋体" w:hAnsi="宋体"/>
          <w:kern w:val="0"/>
        </w:rPr>
        <w:t>年</w:t>
      </w:r>
      <w:r>
        <w:rPr>
          <w:rFonts w:hint="eastAsia"/>
          <w:kern w:val="0"/>
        </w:rPr>
        <w:t>10</w:t>
      </w:r>
      <w:r>
        <w:rPr>
          <w:rFonts w:hint="eastAsia" w:ascii="宋体" w:hAnsi="宋体"/>
          <w:kern w:val="0"/>
        </w:rPr>
        <w:t>月</w:t>
      </w:r>
      <w:r>
        <w:rPr>
          <w:rFonts w:hint="eastAsia"/>
          <w:kern w:val="0"/>
        </w:rPr>
        <w:t>31</w:t>
      </w:r>
      <w:r>
        <w:rPr>
          <w:rFonts w:hint="eastAsia" w:ascii="宋体" w:hAnsi="宋体"/>
          <w:kern w:val="0"/>
        </w:rPr>
        <w:t>日，计划工期：</w:t>
      </w:r>
      <w:r>
        <w:rPr>
          <w:rFonts w:hint="eastAsia"/>
          <w:kern w:val="0"/>
        </w:rPr>
        <w:t>31</w:t>
      </w:r>
      <w:r>
        <w:rPr>
          <w:rFonts w:hint="eastAsia" w:ascii="宋体" w:hAnsi="宋体"/>
          <w:kern w:val="0"/>
        </w:rPr>
        <w:t>日历天。</w:t>
      </w:r>
    </w:p>
    <w:p w14:paraId="3B00C270">
      <w:pPr>
        <w:autoSpaceDE w:val="0"/>
        <w:spacing w:line="420" w:lineRule="exact"/>
        <w:ind w:firstLine="420" w:firstLineChars="200"/>
        <w:rPr>
          <w:rFonts w:hint="eastAsia"/>
          <w:kern w:val="0"/>
        </w:rPr>
      </w:pPr>
      <w:r>
        <w:rPr>
          <w:rFonts w:hint="eastAsia"/>
          <w:kern w:val="0"/>
        </w:rPr>
        <w:t>2.7</w:t>
      </w:r>
      <w:r>
        <w:rPr>
          <w:rFonts w:hint="eastAsia" w:ascii="宋体" w:hAnsi="宋体"/>
          <w:kern w:val="0"/>
        </w:rPr>
        <w:t>标段划分：本项目划分</w:t>
      </w:r>
      <w:r>
        <w:rPr>
          <w:rFonts w:hint="eastAsia"/>
          <w:kern w:val="0"/>
        </w:rPr>
        <w:t>1</w:t>
      </w:r>
      <w:r>
        <w:rPr>
          <w:rFonts w:hint="eastAsia" w:ascii="宋体" w:hAnsi="宋体"/>
          <w:kern w:val="0"/>
        </w:rPr>
        <w:t>个标段</w:t>
      </w:r>
    </w:p>
    <w:p w14:paraId="09867AC3">
      <w:pPr>
        <w:autoSpaceDE w:val="0"/>
        <w:spacing w:line="420" w:lineRule="exact"/>
        <w:ind w:firstLine="420" w:firstLineChars="200"/>
        <w:rPr>
          <w:kern w:val="0"/>
        </w:rPr>
      </w:pPr>
      <w:r>
        <w:rPr>
          <w:rFonts w:hint="eastAsia"/>
          <w:kern w:val="0"/>
        </w:rPr>
        <w:t>2.8</w:t>
      </w:r>
      <w:r>
        <w:rPr>
          <w:rFonts w:hint="eastAsia" w:ascii="宋体" w:hAnsi="宋体"/>
          <w:kern w:val="0"/>
        </w:rPr>
        <w:t>安全目标：工程施工安全技术应满足国家、交通运输部及黑龙江省相关规定，安全生产无责任事故。</w:t>
      </w:r>
    </w:p>
    <w:p w14:paraId="45D359A6">
      <w:pPr>
        <w:autoSpaceDE w:val="0"/>
        <w:spacing w:line="420" w:lineRule="exact"/>
        <w:ind w:firstLine="420" w:firstLineChars="200"/>
        <w:rPr>
          <w:spacing w:val="-6"/>
          <w:kern w:val="0"/>
        </w:rPr>
      </w:pPr>
      <w:r>
        <w:rPr>
          <w:rFonts w:hint="eastAsia"/>
          <w:kern w:val="0"/>
        </w:rPr>
        <w:t>2.9</w:t>
      </w:r>
      <w:r>
        <w:rPr>
          <w:rFonts w:hint="eastAsia" w:ascii="宋体" w:hAnsi="宋体"/>
          <w:kern w:val="0"/>
        </w:rPr>
        <w:t>质量要求：</w:t>
      </w:r>
      <w:r>
        <w:rPr>
          <w:rFonts w:hint="eastAsia" w:ascii="宋体" w:hAnsi="宋体"/>
          <w:color w:val="000000"/>
          <w:spacing w:val="-6"/>
          <w:kern w:val="0"/>
        </w:rPr>
        <w:t>工程质量应符合《公路工程质量检验评定标准》（</w:t>
      </w:r>
      <w:r>
        <w:rPr>
          <w:rFonts w:hint="eastAsia"/>
          <w:color w:val="000000"/>
          <w:spacing w:val="-6"/>
          <w:kern w:val="0"/>
        </w:rPr>
        <w:t>JTG F80/1-2017</w:t>
      </w:r>
      <w:r>
        <w:rPr>
          <w:rFonts w:hint="eastAsia" w:ascii="宋体" w:hAnsi="宋体"/>
          <w:color w:val="000000"/>
          <w:spacing w:val="-6"/>
          <w:kern w:val="0"/>
        </w:rPr>
        <w:t>），《公路养护工程管理办法》（交公路发〔</w:t>
      </w:r>
      <w:r>
        <w:rPr>
          <w:rFonts w:hint="eastAsia"/>
          <w:color w:val="000000"/>
          <w:spacing w:val="-6"/>
          <w:kern w:val="0"/>
        </w:rPr>
        <w:t>2018</w:t>
      </w:r>
      <w:r>
        <w:rPr>
          <w:rFonts w:hint="eastAsia" w:ascii="宋体" w:hAnsi="宋体"/>
          <w:color w:val="000000"/>
          <w:spacing w:val="-6"/>
          <w:kern w:val="0"/>
        </w:rPr>
        <w:t>〕</w:t>
      </w:r>
      <w:r>
        <w:rPr>
          <w:rFonts w:hint="eastAsia"/>
          <w:color w:val="000000"/>
          <w:spacing w:val="-6"/>
          <w:kern w:val="0"/>
        </w:rPr>
        <w:t>33</w:t>
      </w:r>
      <w:r>
        <w:rPr>
          <w:rFonts w:hint="eastAsia" w:ascii="宋体" w:hAnsi="宋体"/>
          <w:color w:val="000000"/>
          <w:spacing w:val="-6"/>
          <w:kern w:val="0"/>
        </w:rPr>
        <w:t>号）《公路养护工程质量检验评定标准》，竣（交）工验收依据《公路工程竣（交）工验收办法实施细则》（交公路发〔</w:t>
      </w:r>
      <w:r>
        <w:rPr>
          <w:rFonts w:hint="eastAsia"/>
          <w:color w:val="000000"/>
          <w:spacing w:val="-6"/>
          <w:kern w:val="0"/>
        </w:rPr>
        <w:t>2010</w:t>
      </w:r>
      <w:r>
        <w:rPr>
          <w:rFonts w:hint="eastAsia" w:ascii="宋体" w:hAnsi="宋体"/>
          <w:color w:val="000000"/>
          <w:spacing w:val="-6"/>
          <w:kern w:val="0"/>
        </w:rPr>
        <w:t>〕</w:t>
      </w:r>
      <w:r>
        <w:rPr>
          <w:rFonts w:hint="eastAsia"/>
          <w:color w:val="000000"/>
          <w:spacing w:val="-6"/>
          <w:kern w:val="0"/>
        </w:rPr>
        <w:t>65</w:t>
      </w:r>
      <w:r>
        <w:rPr>
          <w:rFonts w:hint="eastAsia" w:ascii="宋体" w:hAnsi="宋体"/>
          <w:color w:val="000000"/>
          <w:spacing w:val="-6"/>
          <w:kern w:val="0"/>
        </w:rPr>
        <w:t>号）规定，</w:t>
      </w:r>
      <w:r>
        <w:rPr>
          <w:rFonts w:hint="eastAsia" w:ascii="宋体" w:hAnsi="宋体"/>
          <w:spacing w:val="-6"/>
          <w:kern w:val="0"/>
        </w:rPr>
        <w:t>标段交工验收质量评定为合格；竣工验收质量评定为优良。</w:t>
      </w:r>
    </w:p>
    <w:p w14:paraId="3503A13C">
      <w:pPr>
        <w:autoSpaceDE w:val="0"/>
        <w:spacing w:line="420" w:lineRule="exact"/>
        <w:ind w:firstLine="422" w:firstLineChars="200"/>
        <w:rPr>
          <w:kern w:val="0"/>
        </w:rPr>
      </w:pPr>
      <w:r>
        <w:rPr>
          <w:rFonts w:hint="eastAsia" w:ascii="宋体" w:hAnsi="宋体"/>
          <w:b/>
          <w:bCs/>
          <w:kern w:val="0"/>
        </w:rPr>
        <w:t>三、投标人资格要求</w:t>
      </w:r>
    </w:p>
    <w:p w14:paraId="6E99A605">
      <w:pPr>
        <w:autoSpaceDE w:val="0"/>
        <w:spacing w:line="420" w:lineRule="exact"/>
        <w:ind w:firstLine="420" w:firstLineChars="200"/>
        <w:rPr>
          <w:kern w:val="0"/>
        </w:rPr>
      </w:pPr>
      <w:r>
        <w:rPr>
          <w:rFonts w:hint="eastAsia" w:ascii="宋体" w:hAnsi="宋体"/>
          <w:kern w:val="0"/>
        </w:rPr>
        <w:t>本</w:t>
      </w:r>
      <w:r>
        <w:rPr>
          <w:rFonts w:ascii="宋体" w:hAnsi="宋体"/>
          <w:kern w:val="0"/>
        </w:rPr>
        <w:t>次招标要求投标人须具备国内独立法人资格，持有</w:t>
      </w:r>
      <w:r>
        <w:rPr>
          <w:rFonts w:hint="eastAsia" w:ascii="宋体" w:hAnsi="宋体"/>
          <w:kern w:val="0"/>
        </w:rPr>
        <w:t>市场监督管理部门</w:t>
      </w:r>
      <w:r>
        <w:rPr>
          <w:rFonts w:ascii="宋体" w:hAnsi="宋体"/>
          <w:kern w:val="0"/>
        </w:rPr>
        <w:t>核发的企业法人营业执照，具有有</w:t>
      </w:r>
      <w:r>
        <w:rPr>
          <w:rFonts w:ascii="宋体" w:hAnsi="宋体"/>
          <w:spacing w:val="-6"/>
          <w:kern w:val="0"/>
        </w:rPr>
        <w:t>效的安全生产许可证，并在人员、设备、资金等方面具有相应的施工能力，且同时满</w:t>
      </w:r>
      <w:r>
        <w:rPr>
          <w:rFonts w:ascii="宋体" w:hAnsi="宋体"/>
          <w:kern w:val="0"/>
        </w:rPr>
        <w:t>足下列要求：</w:t>
      </w:r>
      <w:r>
        <w:rPr>
          <w:kern w:val="0"/>
        </w:rPr>
        <w:t xml:space="preserve"> </w:t>
      </w:r>
    </w:p>
    <w:p w14:paraId="55FC5E9D">
      <w:pPr>
        <w:autoSpaceDE w:val="0"/>
        <w:spacing w:line="420" w:lineRule="exact"/>
        <w:ind w:firstLine="420" w:firstLineChars="200"/>
        <w:rPr>
          <w:kern w:val="0"/>
        </w:rPr>
      </w:pPr>
      <w:r>
        <w:rPr>
          <w:rFonts w:hint="eastAsia"/>
          <w:kern w:val="0"/>
        </w:rPr>
        <w:t>3.1</w:t>
      </w:r>
      <w:r>
        <w:rPr>
          <w:rFonts w:ascii="宋体" w:hAnsi="宋体"/>
          <w:kern w:val="0"/>
        </w:rPr>
        <w:t>资质最低要求</w:t>
      </w:r>
      <w:r>
        <w:rPr>
          <w:kern w:val="0"/>
        </w:rPr>
        <w:t>:</w:t>
      </w:r>
    </w:p>
    <w:p w14:paraId="41FD37FD">
      <w:pPr>
        <w:autoSpaceDE w:val="0"/>
        <w:spacing w:line="420" w:lineRule="exact"/>
        <w:ind w:firstLine="420" w:firstLineChars="200"/>
        <w:rPr>
          <w:kern w:val="0"/>
        </w:rPr>
      </w:pPr>
      <w:r>
        <w:rPr>
          <w:rFonts w:hint="eastAsia" w:ascii="宋体" w:hAnsi="宋体"/>
          <w:kern w:val="0"/>
        </w:rPr>
        <w:t>投标人须具备建设行政主管部门颁发的公路工程施工总承包叁级及以上资质或桥梁养护乙级及以上资质或桥梁工程专业承包叁级及以上资质，否则其投标将被否决。</w:t>
      </w:r>
    </w:p>
    <w:p w14:paraId="357D5354">
      <w:pPr>
        <w:autoSpaceDE w:val="0"/>
        <w:spacing w:line="420" w:lineRule="exact"/>
        <w:ind w:firstLine="420" w:firstLineChars="200"/>
        <w:rPr>
          <w:rFonts w:hint="eastAsia"/>
          <w:color w:val="000000"/>
          <w:kern w:val="0"/>
        </w:rPr>
      </w:pPr>
      <w:r>
        <w:rPr>
          <w:rFonts w:ascii="宋体" w:hAnsi="宋体"/>
          <w:color w:val="000000"/>
        </w:rPr>
        <w:t>属于《关于发布公路工程从业企业资质名录的通知》（厅公路字</w:t>
      </w:r>
      <w:r>
        <w:rPr>
          <w:color w:val="000000"/>
        </w:rPr>
        <w:t>[2011]114</w:t>
      </w:r>
      <w:r>
        <w:rPr>
          <w:rFonts w:ascii="宋体" w:hAnsi="宋体"/>
          <w:color w:val="000000"/>
        </w:rPr>
        <w:t>号）中名录范围内的投标人，应进入交通运输部</w:t>
      </w:r>
      <w:r>
        <w:rPr>
          <w:color w:val="000000"/>
        </w:rPr>
        <w:t>“</w:t>
      </w:r>
      <w:r>
        <w:rPr>
          <w:rFonts w:ascii="宋体" w:hAnsi="宋体"/>
          <w:color w:val="000000"/>
        </w:rPr>
        <w:t>全国公路建设市场信用信息管理系统（</w:t>
      </w:r>
      <w:r>
        <w:rPr>
          <w:color w:val="000000"/>
        </w:rPr>
        <w:t>http://glxy.mot.gov.cn</w:t>
      </w:r>
      <w:r>
        <w:rPr>
          <w:rFonts w:ascii="宋体" w:hAnsi="宋体"/>
          <w:color w:val="000000"/>
        </w:rPr>
        <w:t>）</w:t>
      </w:r>
      <w:r>
        <w:rPr>
          <w:color w:val="000000"/>
        </w:rPr>
        <w:t>”</w:t>
      </w:r>
      <w:r>
        <w:rPr>
          <w:rFonts w:ascii="宋体" w:hAnsi="宋体"/>
          <w:color w:val="000000"/>
        </w:rPr>
        <w:t>中的公路工程施工资质企业名录，且投标人名称和资质与该名录中的相应企业名称和资质完全一致。</w:t>
      </w:r>
    </w:p>
    <w:p w14:paraId="5ADBBF81">
      <w:pPr>
        <w:autoSpaceDE w:val="0"/>
        <w:spacing w:line="420" w:lineRule="exact"/>
        <w:ind w:firstLine="420" w:firstLineChars="200"/>
        <w:rPr>
          <w:rFonts w:hint="eastAsia"/>
          <w:kern w:val="0"/>
        </w:rPr>
      </w:pPr>
      <w:r>
        <w:rPr>
          <w:rFonts w:hint="eastAsia"/>
          <w:kern w:val="0"/>
        </w:rPr>
        <w:t>3.2</w:t>
      </w:r>
      <w:r>
        <w:rPr>
          <w:rFonts w:ascii="宋体" w:hAnsi="宋体"/>
          <w:kern w:val="0"/>
        </w:rPr>
        <w:t>业绩最低要求：</w:t>
      </w:r>
    </w:p>
    <w:p w14:paraId="0DC8ABD8">
      <w:pPr>
        <w:autoSpaceDE w:val="0"/>
        <w:spacing w:line="420" w:lineRule="exact"/>
        <w:ind w:firstLine="420" w:firstLineChars="200"/>
        <w:rPr>
          <w:kern w:val="0"/>
        </w:rPr>
      </w:pPr>
      <w:r>
        <w:rPr>
          <w:rFonts w:ascii="宋体" w:hAnsi="宋体"/>
          <w:kern w:val="0"/>
        </w:rPr>
        <w:t>业绩要求：在交通运输部</w:t>
      </w:r>
      <w:r>
        <w:rPr>
          <w:kern w:val="0"/>
        </w:rPr>
        <w:t>“</w:t>
      </w:r>
      <w:r>
        <w:rPr>
          <w:rFonts w:ascii="宋体" w:hAnsi="宋体"/>
          <w:kern w:val="0"/>
        </w:rPr>
        <w:t>全国公路建设市场信用信息管理系统</w:t>
      </w:r>
      <w:r>
        <w:rPr>
          <w:kern w:val="0"/>
        </w:rPr>
        <w:t>”</w:t>
      </w:r>
      <w:r>
        <w:rPr>
          <w:rFonts w:ascii="宋体" w:hAnsi="宋体"/>
          <w:kern w:val="0"/>
        </w:rPr>
        <w:t>中能够查询，如果查询不到该业绩的信息或查询的信息与投标人提供的信息不一致，业绩审查时将被否定。</w:t>
      </w:r>
    </w:p>
    <w:p w14:paraId="5BE27D87">
      <w:pPr>
        <w:autoSpaceDE w:val="0"/>
        <w:spacing w:line="420" w:lineRule="exact"/>
        <w:ind w:firstLine="420" w:firstLineChars="200"/>
        <w:rPr>
          <w:kern w:val="0"/>
        </w:rPr>
      </w:pPr>
      <w:r>
        <w:rPr>
          <w:rFonts w:hint="eastAsia" w:ascii="宋体" w:hAnsi="宋体"/>
          <w:color w:val="000000"/>
          <w:kern w:val="0"/>
        </w:rPr>
        <w:t>近五年（</w:t>
      </w:r>
      <w:r>
        <w:rPr>
          <w:rFonts w:hint="eastAsia"/>
          <w:color w:val="000000"/>
          <w:kern w:val="0"/>
        </w:rPr>
        <w:t>2019</w:t>
      </w:r>
      <w:r>
        <w:rPr>
          <w:rFonts w:hint="eastAsia" w:ascii="宋体" w:hAnsi="宋体"/>
          <w:color w:val="000000"/>
          <w:kern w:val="0"/>
        </w:rPr>
        <w:t>年</w:t>
      </w:r>
      <w:r>
        <w:rPr>
          <w:rFonts w:hint="eastAsia"/>
          <w:color w:val="000000"/>
          <w:kern w:val="0"/>
        </w:rPr>
        <w:t>08</w:t>
      </w:r>
      <w:r>
        <w:rPr>
          <w:rFonts w:hint="eastAsia" w:ascii="宋体" w:hAnsi="宋体"/>
          <w:color w:val="000000"/>
          <w:kern w:val="0"/>
        </w:rPr>
        <w:t>月</w:t>
      </w:r>
      <w:r>
        <w:rPr>
          <w:rFonts w:hint="eastAsia"/>
          <w:color w:val="000000"/>
          <w:kern w:val="0"/>
        </w:rPr>
        <w:t>01</w:t>
      </w:r>
      <w:r>
        <w:rPr>
          <w:rFonts w:hint="eastAsia" w:ascii="宋体" w:hAnsi="宋体"/>
          <w:color w:val="000000"/>
          <w:kern w:val="0"/>
        </w:rPr>
        <w:t>日～投标文件递交截止时间止，以实际交</w:t>
      </w:r>
      <w:r>
        <w:rPr>
          <w:rFonts w:hint="eastAsia"/>
          <w:color w:val="000000"/>
          <w:kern w:val="0"/>
        </w:rPr>
        <w:t>/</w:t>
      </w:r>
      <w:r>
        <w:rPr>
          <w:rFonts w:hint="eastAsia" w:ascii="宋体" w:hAnsi="宋体"/>
          <w:color w:val="000000"/>
          <w:kern w:val="0"/>
        </w:rPr>
        <w:t>竣工日期为准，完成且交</w:t>
      </w:r>
      <w:r>
        <w:rPr>
          <w:rFonts w:hint="eastAsia"/>
          <w:color w:val="000000"/>
          <w:kern w:val="0"/>
        </w:rPr>
        <w:t>/</w:t>
      </w:r>
      <w:r>
        <w:rPr>
          <w:rFonts w:hint="eastAsia" w:ascii="宋体" w:hAnsi="宋体"/>
          <w:color w:val="000000"/>
          <w:kern w:val="0"/>
        </w:rPr>
        <w:t>竣工验收达到合格标准的项目）：独立完成过</w:t>
      </w:r>
      <w:r>
        <w:rPr>
          <w:rFonts w:hint="eastAsia"/>
          <w:color w:val="000000"/>
          <w:kern w:val="0"/>
        </w:rPr>
        <w:t>1</w:t>
      </w:r>
      <w:r>
        <w:rPr>
          <w:rFonts w:hint="eastAsia" w:ascii="宋体" w:hAnsi="宋体"/>
          <w:color w:val="000000"/>
          <w:kern w:val="0"/>
        </w:rPr>
        <w:t>个合同金额不少于本次招标</w:t>
      </w:r>
      <w:r>
        <w:rPr>
          <w:rFonts w:hint="eastAsia" w:ascii="宋体" w:hAnsi="宋体"/>
          <w:kern w:val="0"/>
        </w:rPr>
        <w:t>控制价的旧桥加固、维修工程、危桥改造项目。</w:t>
      </w:r>
    </w:p>
    <w:p w14:paraId="717FCDDF">
      <w:pPr>
        <w:autoSpaceDE w:val="0"/>
        <w:spacing w:line="420" w:lineRule="exact"/>
        <w:ind w:firstLine="420" w:firstLineChars="200"/>
        <w:rPr>
          <w:rFonts w:hint="eastAsia"/>
          <w:kern w:val="0"/>
        </w:rPr>
      </w:pPr>
      <w:r>
        <w:rPr>
          <w:rFonts w:hint="eastAsia" w:ascii="宋体" w:hAnsi="宋体"/>
          <w:kern w:val="0"/>
        </w:rPr>
        <w:t>业绩要求：以上业绩只需提供在交通运输部网站“全国公路建设市场信用信息管理系统”中的查询截图即可。网页截图中的内容不能明确体现业绩包含的内容时，除网页截图复印件外，投标人还可以提供合同等业绩证明材料，如果查询不到该业绩的信息或查询的信息与投标人提供的信息不一致，业绩审查时将被否定。</w:t>
      </w:r>
    </w:p>
    <w:p w14:paraId="696D1B7B">
      <w:pPr>
        <w:autoSpaceDE w:val="0"/>
        <w:spacing w:line="420" w:lineRule="exact"/>
        <w:ind w:firstLine="420" w:firstLineChars="200"/>
        <w:rPr>
          <w:kern w:val="0"/>
        </w:rPr>
      </w:pPr>
      <w:r>
        <w:rPr>
          <w:rFonts w:hint="eastAsia"/>
          <w:kern w:val="0"/>
        </w:rPr>
        <w:t>3.3</w:t>
      </w:r>
      <w:r>
        <w:rPr>
          <w:rFonts w:ascii="宋体" w:hAnsi="宋体"/>
          <w:kern w:val="0"/>
        </w:rPr>
        <w:t>人员最低要求：</w:t>
      </w:r>
    </w:p>
    <w:p w14:paraId="0C905406">
      <w:pPr>
        <w:autoSpaceDE w:val="0"/>
        <w:spacing w:line="420" w:lineRule="exact"/>
        <w:ind w:firstLine="420" w:firstLineChars="200"/>
        <w:rPr>
          <w:rFonts w:hint="eastAsia"/>
          <w:color w:val="000000"/>
          <w:kern w:val="0"/>
        </w:rPr>
      </w:pPr>
      <w:r>
        <w:rPr>
          <w:rFonts w:ascii="宋体" w:hAnsi="宋体"/>
          <w:color w:val="000000"/>
          <w:kern w:val="0"/>
        </w:rPr>
        <w:t>项目经理：公路工程相关专业</w:t>
      </w:r>
      <w:r>
        <w:rPr>
          <w:rFonts w:hint="eastAsia" w:ascii="宋体" w:hAnsi="宋体"/>
          <w:color w:val="000000"/>
          <w:kern w:val="0"/>
        </w:rPr>
        <w:t>中级及以上职称</w:t>
      </w:r>
      <w:r>
        <w:rPr>
          <w:rFonts w:ascii="宋体" w:hAnsi="宋体"/>
          <w:color w:val="000000"/>
          <w:kern w:val="0"/>
        </w:rPr>
        <w:t>，持有公路工程专业</w:t>
      </w:r>
      <w:r>
        <w:rPr>
          <w:rFonts w:hint="eastAsia" w:ascii="宋体" w:hAnsi="宋体"/>
          <w:color w:val="000000"/>
          <w:kern w:val="0"/>
        </w:rPr>
        <w:t>二</w:t>
      </w:r>
      <w:r>
        <w:rPr>
          <w:rFonts w:ascii="宋体" w:hAnsi="宋体"/>
          <w:color w:val="000000"/>
          <w:kern w:val="0"/>
        </w:rPr>
        <w:t>级建造师注册证书（注册单位名称必须与投标人名称一致），并持有交通运输主管部门颁发的有效</w:t>
      </w:r>
      <w:r>
        <w:rPr>
          <w:color w:val="000000"/>
          <w:kern w:val="0"/>
        </w:rPr>
        <w:t>B</w:t>
      </w:r>
      <w:r>
        <w:rPr>
          <w:rFonts w:ascii="宋体" w:hAnsi="宋体"/>
          <w:color w:val="000000"/>
          <w:kern w:val="0"/>
        </w:rPr>
        <w:t>类安全生产考核合格证。</w:t>
      </w:r>
    </w:p>
    <w:p w14:paraId="7CCC2D0A">
      <w:pPr>
        <w:autoSpaceDE w:val="0"/>
        <w:spacing w:line="420" w:lineRule="exact"/>
        <w:ind w:firstLine="420" w:firstLineChars="200"/>
        <w:rPr>
          <w:color w:val="000000"/>
          <w:kern w:val="0"/>
        </w:rPr>
      </w:pPr>
      <w:r>
        <w:rPr>
          <w:rFonts w:ascii="宋体" w:hAnsi="宋体"/>
          <w:color w:val="000000"/>
          <w:kern w:val="0"/>
        </w:rPr>
        <w:t>项目总工：</w:t>
      </w:r>
      <w:r>
        <w:rPr>
          <w:rFonts w:ascii="宋体" w:hAnsi="宋体"/>
          <w:kern w:val="0"/>
        </w:rPr>
        <w:t>公路工程相关专业</w:t>
      </w:r>
      <w:r>
        <w:rPr>
          <w:rFonts w:hint="eastAsia" w:ascii="宋体" w:hAnsi="宋体"/>
          <w:kern w:val="0"/>
        </w:rPr>
        <w:t>中级及以上职称</w:t>
      </w:r>
      <w:r>
        <w:rPr>
          <w:rFonts w:ascii="宋体" w:hAnsi="宋体"/>
          <w:kern w:val="0"/>
        </w:rPr>
        <w:t>，并持有</w:t>
      </w:r>
      <w:r>
        <w:rPr>
          <w:rFonts w:ascii="宋体" w:hAnsi="宋体"/>
          <w:color w:val="000000"/>
          <w:kern w:val="0"/>
        </w:rPr>
        <w:t>交通运输主管部门颁发的有效</w:t>
      </w:r>
      <w:r>
        <w:rPr>
          <w:color w:val="000000"/>
          <w:kern w:val="0"/>
        </w:rPr>
        <w:t>B</w:t>
      </w:r>
      <w:r>
        <w:rPr>
          <w:rFonts w:ascii="宋体" w:hAnsi="宋体"/>
          <w:color w:val="000000"/>
          <w:kern w:val="0"/>
        </w:rPr>
        <w:t>类安全生产考核合格证。</w:t>
      </w:r>
    </w:p>
    <w:p w14:paraId="67DBF679">
      <w:pPr>
        <w:autoSpaceDE w:val="0"/>
        <w:spacing w:line="420" w:lineRule="exact"/>
        <w:ind w:firstLine="420" w:firstLineChars="200"/>
        <w:rPr>
          <w:color w:val="000000"/>
          <w:kern w:val="0"/>
        </w:rPr>
      </w:pPr>
      <w:r>
        <w:rPr>
          <w:rFonts w:hint="eastAsia" w:ascii="宋体" w:hAnsi="宋体"/>
          <w:color w:val="000000"/>
          <w:kern w:val="0"/>
        </w:rPr>
        <w:t>项目经理和</w:t>
      </w:r>
      <w:r>
        <w:rPr>
          <w:rFonts w:ascii="宋体" w:hAnsi="宋体"/>
          <w:color w:val="000000"/>
          <w:kern w:val="0"/>
        </w:rPr>
        <w:t>项目总工为本企业在职人员，并提供</w:t>
      </w:r>
      <w:r>
        <w:rPr>
          <w:rFonts w:hint="eastAsia"/>
          <w:color w:val="000000"/>
          <w:kern w:val="0"/>
        </w:rPr>
        <w:t>2024</w:t>
      </w:r>
      <w:r>
        <w:rPr>
          <w:rFonts w:hint="eastAsia" w:ascii="宋体" w:hAnsi="宋体"/>
          <w:color w:val="000000"/>
          <w:kern w:val="0"/>
        </w:rPr>
        <w:t>年</w:t>
      </w:r>
      <w:r>
        <w:rPr>
          <w:rFonts w:hint="eastAsia"/>
          <w:color w:val="000000"/>
          <w:kern w:val="0"/>
        </w:rPr>
        <w:t>06</w:t>
      </w:r>
      <w:r>
        <w:rPr>
          <w:rFonts w:hint="eastAsia" w:ascii="宋体" w:hAnsi="宋体"/>
          <w:color w:val="000000"/>
          <w:kern w:val="0"/>
        </w:rPr>
        <w:t>月至</w:t>
      </w:r>
      <w:r>
        <w:rPr>
          <w:rFonts w:hint="eastAsia"/>
          <w:color w:val="000000"/>
          <w:kern w:val="0"/>
        </w:rPr>
        <w:t>2024</w:t>
      </w:r>
      <w:r>
        <w:rPr>
          <w:rFonts w:hint="eastAsia" w:ascii="宋体" w:hAnsi="宋体"/>
          <w:color w:val="000000"/>
          <w:kern w:val="0"/>
        </w:rPr>
        <w:t>年</w:t>
      </w:r>
      <w:r>
        <w:rPr>
          <w:rFonts w:hint="eastAsia"/>
          <w:color w:val="000000"/>
          <w:kern w:val="0"/>
        </w:rPr>
        <w:t>08</w:t>
      </w:r>
      <w:r>
        <w:rPr>
          <w:rFonts w:hint="eastAsia" w:ascii="宋体" w:hAnsi="宋体"/>
          <w:color w:val="000000"/>
          <w:kern w:val="0"/>
        </w:rPr>
        <w:t>月</w:t>
      </w:r>
      <w:r>
        <w:rPr>
          <w:rFonts w:ascii="宋体" w:hAnsi="宋体"/>
          <w:color w:val="000000"/>
          <w:kern w:val="0"/>
        </w:rPr>
        <w:t>企业为其连续</w:t>
      </w:r>
      <w:r>
        <w:rPr>
          <w:color w:val="000000"/>
          <w:kern w:val="0"/>
        </w:rPr>
        <w:t>3</w:t>
      </w:r>
      <w:r>
        <w:rPr>
          <w:rFonts w:ascii="宋体" w:hAnsi="宋体"/>
          <w:color w:val="000000"/>
          <w:kern w:val="0"/>
        </w:rPr>
        <w:t>个月缴纳社会保险的有效证明（投标企业必须提供查询网址及相关信息，包括社保号、身份证号、密码等。如查询不到相关信息，其投标将被否决）。</w:t>
      </w:r>
    </w:p>
    <w:p w14:paraId="2D799425">
      <w:pPr>
        <w:autoSpaceDE w:val="0"/>
        <w:spacing w:line="420" w:lineRule="exact"/>
        <w:ind w:firstLine="420" w:firstLineChars="200"/>
        <w:rPr>
          <w:color w:val="000000"/>
          <w:kern w:val="0"/>
        </w:rPr>
      </w:pPr>
      <w:r>
        <w:rPr>
          <w:rFonts w:hint="eastAsia"/>
          <w:color w:val="000000"/>
          <w:kern w:val="0"/>
        </w:rPr>
        <w:t>3.4</w:t>
      </w:r>
      <w:r>
        <w:rPr>
          <w:rFonts w:ascii="宋体" w:hAnsi="宋体"/>
          <w:color w:val="000000"/>
          <w:kern w:val="0"/>
        </w:rPr>
        <w:t>财务要求：</w:t>
      </w:r>
    </w:p>
    <w:p w14:paraId="1F57E364">
      <w:pPr>
        <w:autoSpaceDE w:val="0"/>
        <w:adjustRightInd w:val="0"/>
        <w:snapToGrid w:val="0"/>
        <w:spacing w:line="420" w:lineRule="exact"/>
        <w:ind w:firstLine="420" w:firstLineChars="200"/>
        <w:rPr>
          <w:color w:val="000000"/>
        </w:rPr>
      </w:pPr>
      <w:r>
        <w:rPr>
          <w:rFonts w:ascii="宋体" w:hAnsi="宋体"/>
          <w:color w:val="000000"/>
        </w:rPr>
        <w:t>（</w:t>
      </w:r>
      <w:r>
        <w:rPr>
          <w:color w:val="000000"/>
        </w:rPr>
        <w:t>1</w:t>
      </w:r>
      <w:r>
        <w:rPr>
          <w:rFonts w:ascii="宋体" w:hAnsi="宋体"/>
          <w:color w:val="000000"/>
        </w:rPr>
        <w:t>）</w:t>
      </w:r>
      <w:r>
        <w:rPr>
          <w:color w:val="000000"/>
        </w:rPr>
        <w:t>202</w:t>
      </w:r>
      <w:r>
        <w:rPr>
          <w:rFonts w:hint="eastAsia"/>
          <w:color w:val="000000"/>
        </w:rPr>
        <w:t>3</w:t>
      </w:r>
      <w:r>
        <w:rPr>
          <w:rFonts w:ascii="宋体" w:hAnsi="宋体"/>
          <w:color w:val="000000"/>
        </w:rPr>
        <w:t>年度的流动资产与流动负债比大于</w:t>
      </w:r>
      <w:r>
        <w:rPr>
          <w:color w:val="000000"/>
        </w:rPr>
        <w:t>1</w:t>
      </w:r>
      <w:r>
        <w:rPr>
          <w:rFonts w:ascii="宋体" w:hAnsi="宋体"/>
          <w:color w:val="000000"/>
        </w:rPr>
        <w:t>；</w:t>
      </w:r>
    </w:p>
    <w:p w14:paraId="6D4EDC47">
      <w:pPr>
        <w:autoSpaceDE w:val="0"/>
        <w:adjustRightInd w:val="0"/>
        <w:snapToGrid w:val="0"/>
        <w:spacing w:line="420" w:lineRule="exact"/>
        <w:ind w:firstLine="420" w:firstLineChars="200"/>
        <w:rPr>
          <w:color w:val="000000"/>
          <w:kern w:val="0"/>
        </w:rPr>
      </w:pPr>
      <w:r>
        <w:rPr>
          <w:rFonts w:ascii="宋体" w:hAnsi="宋体"/>
          <w:color w:val="000000"/>
        </w:rPr>
        <w:t>（</w:t>
      </w:r>
      <w:r>
        <w:rPr>
          <w:color w:val="000000"/>
        </w:rPr>
        <w:t>2</w:t>
      </w:r>
      <w:r>
        <w:rPr>
          <w:rFonts w:ascii="宋体" w:hAnsi="宋体"/>
          <w:color w:val="000000"/>
        </w:rPr>
        <w:t>）营运资金（</w:t>
      </w:r>
      <w:r>
        <w:rPr>
          <w:color w:val="000000"/>
        </w:rPr>
        <w:t>202</w:t>
      </w:r>
      <w:r>
        <w:rPr>
          <w:rFonts w:hint="eastAsia"/>
          <w:color w:val="000000"/>
        </w:rPr>
        <w:t>3</w:t>
      </w:r>
      <w:r>
        <w:rPr>
          <w:rFonts w:ascii="宋体" w:hAnsi="宋体"/>
          <w:color w:val="000000"/>
        </w:rPr>
        <w:t>年度流动资产</w:t>
      </w:r>
      <w:r>
        <w:rPr>
          <w:color w:val="000000"/>
        </w:rPr>
        <w:t>-202</w:t>
      </w:r>
      <w:r>
        <w:rPr>
          <w:rFonts w:hint="eastAsia"/>
          <w:color w:val="000000"/>
        </w:rPr>
        <w:t>3</w:t>
      </w:r>
      <w:r>
        <w:rPr>
          <w:rFonts w:ascii="宋体" w:hAnsi="宋体"/>
          <w:color w:val="000000"/>
        </w:rPr>
        <w:t>年度流动负债</w:t>
      </w:r>
      <w:r>
        <w:rPr>
          <w:color w:val="000000"/>
        </w:rPr>
        <w:t>+</w:t>
      </w:r>
      <w:r>
        <w:rPr>
          <w:rFonts w:ascii="宋体" w:hAnsi="宋体"/>
          <w:color w:val="000000"/>
        </w:rPr>
        <w:t>专为本标段提供的银行信贷）不得少于投标人所申请标段最高投标限价的</w:t>
      </w:r>
      <w:r>
        <w:rPr>
          <w:color w:val="000000"/>
        </w:rPr>
        <w:t>15%</w:t>
      </w:r>
      <w:r>
        <w:rPr>
          <w:rFonts w:ascii="宋体" w:hAnsi="宋体"/>
          <w:color w:val="000000"/>
        </w:rPr>
        <w:t>。</w:t>
      </w:r>
    </w:p>
    <w:p w14:paraId="7CC62867">
      <w:pPr>
        <w:autoSpaceDE w:val="0"/>
        <w:spacing w:line="420" w:lineRule="exact"/>
        <w:ind w:firstLine="420" w:firstLineChars="200"/>
        <w:rPr>
          <w:kern w:val="0"/>
        </w:rPr>
      </w:pPr>
      <w:r>
        <w:rPr>
          <w:rFonts w:hint="eastAsia"/>
          <w:kern w:val="0"/>
        </w:rPr>
        <w:t>3.5</w:t>
      </w:r>
      <w:r>
        <w:rPr>
          <w:rFonts w:ascii="宋体" w:hAnsi="宋体"/>
          <w:kern w:val="0"/>
        </w:rPr>
        <w:t>信誉最低要求：</w:t>
      </w:r>
    </w:p>
    <w:p w14:paraId="035DA524">
      <w:pPr>
        <w:autoSpaceDE w:val="0"/>
        <w:spacing w:line="420" w:lineRule="exact"/>
        <w:ind w:firstLine="420" w:firstLineChars="200"/>
        <w:rPr>
          <w:color w:val="000000"/>
        </w:rPr>
      </w:pPr>
      <w:r>
        <w:rPr>
          <w:rFonts w:ascii="宋体" w:hAnsi="宋体"/>
          <w:color w:val="000000"/>
        </w:rPr>
        <w:t>（</w:t>
      </w:r>
      <w:r>
        <w:rPr>
          <w:color w:val="000000"/>
        </w:rPr>
        <w:t>1</w:t>
      </w:r>
      <w:r>
        <w:rPr>
          <w:rFonts w:ascii="宋体" w:hAnsi="宋体"/>
          <w:color w:val="000000"/>
        </w:rPr>
        <w:t>）投标人在近三年中不得在合同中违约且被驱逐出现场；</w:t>
      </w:r>
    </w:p>
    <w:p w14:paraId="069109CD">
      <w:pPr>
        <w:autoSpaceDE w:val="0"/>
        <w:spacing w:line="420" w:lineRule="exact"/>
        <w:ind w:firstLine="420" w:firstLineChars="200"/>
        <w:rPr>
          <w:color w:val="000000"/>
        </w:rPr>
      </w:pPr>
      <w:r>
        <w:rPr>
          <w:rFonts w:ascii="宋体" w:hAnsi="宋体"/>
          <w:color w:val="000000"/>
        </w:rPr>
        <w:t>（</w:t>
      </w:r>
      <w:r>
        <w:rPr>
          <w:color w:val="000000"/>
        </w:rPr>
        <w:t>2</w:t>
      </w:r>
      <w:r>
        <w:rPr>
          <w:rFonts w:ascii="宋体" w:hAnsi="宋体"/>
          <w:color w:val="000000"/>
        </w:rPr>
        <w:t>）投标人在近三年中不得有重大质量、安全事故被有关部门处罚；</w:t>
      </w:r>
    </w:p>
    <w:p w14:paraId="6F51C43A">
      <w:pPr>
        <w:autoSpaceDE w:val="0"/>
        <w:spacing w:line="420" w:lineRule="exact"/>
        <w:ind w:firstLine="420" w:firstLineChars="200"/>
        <w:rPr>
          <w:color w:val="000000"/>
        </w:rPr>
      </w:pPr>
      <w:r>
        <w:rPr>
          <w:rFonts w:ascii="宋体" w:hAnsi="宋体"/>
          <w:color w:val="000000"/>
        </w:rPr>
        <w:t>（</w:t>
      </w:r>
      <w:r>
        <w:rPr>
          <w:color w:val="000000"/>
        </w:rPr>
        <w:t>3</w:t>
      </w:r>
      <w:r>
        <w:rPr>
          <w:rFonts w:ascii="宋体" w:hAnsi="宋体"/>
          <w:color w:val="000000"/>
        </w:rPr>
        <w:t>）投标人在近三年中不得存在拖欠农民工工资情况；</w:t>
      </w:r>
    </w:p>
    <w:p w14:paraId="09E10945">
      <w:pPr>
        <w:autoSpaceDE w:val="0"/>
        <w:spacing w:line="420" w:lineRule="exact"/>
        <w:ind w:firstLine="420" w:firstLineChars="200"/>
        <w:rPr>
          <w:color w:val="000000"/>
          <w:kern w:val="0"/>
        </w:rPr>
      </w:pPr>
      <w:r>
        <w:rPr>
          <w:rFonts w:ascii="宋体" w:hAnsi="宋体"/>
          <w:color w:val="000000"/>
        </w:rPr>
        <w:t>（</w:t>
      </w:r>
      <w:r>
        <w:rPr>
          <w:color w:val="000000"/>
        </w:rPr>
        <w:t>4</w:t>
      </w:r>
      <w:r>
        <w:rPr>
          <w:rFonts w:ascii="宋体" w:hAnsi="宋体"/>
          <w:color w:val="000000"/>
        </w:rPr>
        <w:t>）本次招标不接受在</w:t>
      </w:r>
      <w:r>
        <w:rPr>
          <w:color w:val="000000"/>
        </w:rPr>
        <w:t>202</w:t>
      </w:r>
      <w:r>
        <w:rPr>
          <w:rFonts w:hint="eastAsia"/>
          <w:color w:val="000000"/>
        </w:rPr>
        <w:t>2</w:t>
      </w:r>
      <w:r>
        <w:rPr>
          <w:rFonts w:ascii="宋体" w:hAnsi="宋体"/>
          <w:color w:val="000000"/>
        </w:rPr>
        <w:t>年度黑龙江省交通运输厅公路施工企业信用评价或</w:t>
      </w:r>
      <w:r>
        <w:rPr>
          <w:color w:val="000000"/>
        </w:rPr>
        <w:t>202</w:t>
      </w:r>
      <w:r>
        <w:rPr>
          <w:rFonts w:hint="eastAsia"/>
          <w:color w:val="000000"/>
        </w:rPr>
        <w:t>2</w:t>
      </w:r>
      <w:r>
        <w:rPr>
          <w:rFonts w:ascii="宋体" w:hAnsi="宋体"/>
          <w:color w:val="000000"/>
        </w:rPr>
        <w:t>年交通运输部公路施工企业全国综合信用评价中被认定为</w:t>
      </w:r>
      <w:r>
        <w:rPr>
          <w:color w:val="000000"/>
        </w:rPr>
        <w:t>D</w:t>
      </w:r>
      <w:r>
        <w:rPr>
          <w:rFonts w:ascii="宋体" w:hAnsi="宋体"/>
          <w:color w:val="000000"/>
        </w:rPr>
        <w:t>级的投标人参加本项目投标。</w:t>
      </w:r>
    </w:p>
    <w:p w14:paraId="5FD07CDD">
      <w:pPr>
        <w:autoSpaceDE w:val="0"/>
        <w:spacing w:line="420" w:lineRule="exact"/>
        <w:ind w:firstLine="420" w:firstLineChars="200"/>
        <w:rPr>
          <w:color w:val="000000"/>
          <w:kern w:val="0"/>
        </w:rPr>
      </w:pPr>
      <w:r>
        <w:rPr>
          <w:rFonts w:hint="eastAsia"/>
          <w:color w:val="000000"/>
          <w:kern w:val="0"/>
        </w:rPr>
        <w:t>3.6</w:t>
      </w:r>
      <w:r>
        <w:rPr>
          <w:rFonts w:ascii="宋体" w:hAnsi="宋体"/>
          <w:color w:val="000000"/>
          <w:kern w:val="0"/>
        </w:rPr>
        <w:t>与招标人存在利害关系可能影响招标公正性的单位，不得参加投标。单位负责人为同一人或存在控股、管理关系的不同单位，不得参加同一标段投标，否则，相关投标均将被否决。</w:t>
      </w:r>
    </w:p>
    <w:p w14:paraId="47FBB801">
      <w:pPr>
        <w:autoSpaceDE w:val="0"/>
        <w:spacing w:line="420" w:lineRule="exact"/>
        <w:ind w:firstLine="420" w:firstLineChars="200"/>
        <w:rPr>
          <w:color w:val="000000"/>
        </w:rPr>
      </w:pPr>
      <w:r>
        <w:rPr>
          <w:color w:val="000000"/>
        </w:rPr>
        <w:t>3.</w:t>
      </w:r>
      <w:r>
        <w:rPr>
          <w:rFonts w:hint="eastAsia"/>
          <w:color w:val="000000"/>
        </w:rPr>
        <w:t>7</w:t>
      </w:r>
      <w:r>
        <w:rPr>
          <w:rFonts w:ascii="宋体" w:hAnsi="宋体"/>
          <w:bCs/>
          <w:color w:val="000000"/>
          <w:spacing w:val="-2"/>
        </w:rPr>
        <w:t>在国家企业信用信息公示系统（</w:t>
      </w:r>
      <w:r>
        <w:rPr>
          <w:bCs/>
          <w:color w:val="000000"/>
          <w:spacing w:val="-2"/>
        </w:rPr>
        <w:t>http://www.gsxt.gov.cn/</w:t>
      </w:r>
      <w:r>
        <w:rPr>
          <w:rFonts w:ascii="宋体" w:hAnsi="宋体"/>
          <w:bCs/>
          <w:color w:val="000000"/>
          <w:spacing w:val="-2"/>
        </w:rPr>
        <w:t>）中被列入严重违法失信企业名</w:t>
      </w:r>
      <w:r>
        <w:rPr>
          <w:rFonts w:ascii="宋体" w:hAnsi="宋体"/>
          <w:color w:val="000000"/>
        </w:rPr>
        <w:t>单的投标人（包括联合体各成员），不得参加本项目投标。</w:t>
      </w:r>
    </w:p>
    <w:p w14:paraId="273D5F2B">
      <w:pPr>
        <w:autoSpaceDE w:val="0"/>
        <w:spacing w:line="420" w:lineRule="exact"/>
        <w:ind w:firstLine="420" w:firstLineChars="200"/>
        <w:rPr>
          <w:color w:val="000000"/>
        </w:rPr>
      </w:pPr>
      <w:r>
        <w:rPr>
          <w:color w:val="000000"/>
        </w:rPr>
        <w:t>3.</w:t>
      </w:r>
      <w:r>
        <w:rPr>
          <w:rFonts w:hint="eastAsia"/>
          <w:color w:val="000000"/>
        </w:rPr>
        <w:t>8</w:t>
      </w:r>
      <w:r>
        <w:rPr>
          <w:rFonts w:ascii="宋体" w:hAnsi="宋体"/>
          <w:color w:val="000000"/>
        </w:rPr>
        <w:t>在</w:t>
      </w:r>
      <w:r>
        <w:rPr>
          <w:color w:val="000000"/>
        </w:rPr>
        <w:t>“</w:t>
      </w:r>
      <w:r>
        <w:rPr>
          <w:rFonts w:ascii="宋体" w:hAnsi="宋体"/>
          <w:color w:val="000000"/>
        </w:rPr>
        <w:t>信用中国</w:t>
      </w:r>
      <w:r>
        <w:rPr>
          <w:color w:val="000000"/>
        </w:rPr>
        <w:t>”</w:t>
      </w:r>
      <w:r>
        <w:rPr>
          <w:rFonts w:ascii="宋体" w:hAnsi="宋体"/>
          <w:color w:val="000000"/>
        </w:rPr>
        <w:t>网站（</w:t>
      </w:r>
      <w:r>
        <w:rPr>
          <w:color w:val="000000"/>
        </w:rPr>
        <w:t>http://www.creditchina.gov.cn</w:t>
      </w:r>
      <w:r>
        <w:rPr>
          <w:rFonts w:ascii="宋体" w:hAnsi="宋体"/>
          <w:color w:val="000000"/>
        </w:rPr>
        <w:t>）中投标人（包括联合体各成员）被列入失信被执行人名单不得参加本项目投标。</w:t>
      </w:r>
    </w:p>
    <w:p w14:paraId="6B8A8A79">
      <w:pPr>
        <w:autoSpaceDE w:val="0"/>
        <w:spacing w:line="420" w:lineRule="exact"/>
        <w:ind w:firstLine="420" w:firstLineChars="200"/>
        <w:rPr>
          <w:color w:val="000000"/>
          <w:kern w:val="0"/>
        </w:rPr>
      </w:pPr>
      <w:r>
        <w:rPr>
          <w:rFonts w:hint="eastAsia"/>
          <w:color w:val="000000"/>
          <w:kern w:val="0"/>
        </w:rPr>
        <w:t>3.9</w:t>
      </w:r>
      <w:r>
        <w:rPr>
          <w:rFonts w:ascii="宋体" w:hAnsi="宋体"/>
          <w:color w:val="000000"/>
        </w:rPr>
        <w:t>本次招标评标采用技术评分最低标价法，对投标人的资格审查采用资格后审的方式。</w:t>
      </w:r>
    </w:p>
    <w:p w14:paraId="1438FEC3">
      <w:pPr>
        <w:autoSpaceDE w:val="0"/>
        <w:spacing w:line="420" w:lineRule="exact"/>
        <w:ind w:firstLine="420" w:firstLineChars="200"/>
        <w:rPr>
          <w:kern w:val="0"/>
        </w:rPr>
      </w:pPr>
      <w:r>
        <w:rPr>
          <w:rFonts w:hint="eastAsia"/>
          <w:kern w:val="0"/>
        </w:rPr>
        <w:t>3.10</w:t>
      </w:r>
      <w:r>
        <w:rPr>
          <w:rFonts w:ascii="宋体" w:hAnsi="宋体"/>
          <w:kern w:val="0"/>
        </w:rPr>
        <w:t>本次招标不接受联合体投标。</w:t>
      </w:r>
    </w:p>
    <w:p w14:paraId="6FC6DD8F">
      <w:pPr>
        <w:autoSpaceDE w:val="0"/>
        <w:spacing w:line="420" w:lineRule="exact"/>
        <w:ind w:firstLine="422" w:firstLineChars="200"/>
        <w:rPr>
          <w:kern w:val="0"/>
        </w:rPr>
      </w:pPr>
      <w:r>
        <w:rPr>
          <w:rFonts w:hint="eastAsia" w:ascii="宋体" w:hAnsi="宋体"/>
          <w:b/>
          <w:bCs/>
          <w:kern w:val="0"/>
        </w:rPr>
        <w:t>四、招标文件的获取</w:t>
      </w:r>
    </w:p>
    <w:p w14:paraId="17C48270">
      <w:pPr>
        <w:autoSpaceDE w:val="0"/>
        <w:spacing w:line="420" w:lineRule="exact"/>
        <w:ind w:firstLine="424" w:firstLineChars="202"/>
        <w:rPr>
          <w:bCs/>
        </w:rPr>
      </w:pPr>
      <w:r>
        <w:rPr>
          <w:bCs/>
        </w:rPr>
        <w:t>4.1</w:t>
      </w:r>
      <w:r>
        <w:rPr>
          <w:rFonts w:ascii="宋体" w:hAnsi="宋体"/>
          <w:bCs/>
        </w:rPr>
        <w:t>凡有意参加投标者，请在</w:t>
      </w:r>
      <w:r>
        <w:rPr>
          <w:bCs/>
        </w:rPr>
        <w:t>“</w:t>
      </w:r>
      <w:r>
        <w:rPr>
          <w:rFonts w:ascii="宋体" w:hAnsi="宋体"/>
          <w:bCs/>
        </w:rPr>
        <w:t>黑龙江省公共资源交易网</w:t>
      </w:r>
      <w:r>
        <w:rPr>
          <w:bCs/>
        </w:rPr>
        <w:t>”(</w:t>
      </w:r>
      <w:r>
        <w:rPr>
          <w:rFonts w:hint="eastAsia"/>
          <w:kern w:val="0"/>
        </w:rPr>
        <w:t>http://ggzyjyw.hlj.gov.cn/</w:t>
      </w:r>
      <w:r>
        <w:rPr>
          <w:bCs/>
        </w:rPr>
        <w:t>)</w:t>
      </w:r>
      <w:r>
        <w:rPr>
          <w:rFonts w:ascii="宋体" w:hAnsi="宋体"/>
          <w:bCs/>
        </w:rPr>
        <w:t>进行用户注册、办理数字证书，使用数字证书登录</w:t>
      </w:r>
      <w:r>
        <w:rPr>
          <w:bCs/>
        </w:rPr>
        <w:t>“</w:t>
      </w:r>
      <w:r>
        <w:rPr>
          <w:rFonts w:ascii="宋体" w:hAnsi="宋体"/>
          <w:bCs/>
        </w:rPr>
        <w:t>黑龙江省公共资源交易网</w:t>
      </w:r>
      <w:r>
        <w:rPr>
          <w:bCs/>
        </w:rPr>
        <w:t>”</w:t>
      </w:r>
      <w:r>
        <w:rPr>
          <w:rFonts w:ascii="宋体" w:hAnsi="宋体"/>
          <w:bCs/>
        </w:rPr>
        <w:t>，选择相应项目，明确所投标段，下载招标文件等资料。下载时间为</w:t>
      </w:r>
      <w:r>
        <w:rPr>
          <w:rFonts w:hint="eastAsia"/>
          <w:kern w:val="0"/>
        </w:rPr>
        <w:t>2024</w:t>
      </w:r>
      <w:r>
        <w:rPr>
          <w:rFonts w:hint="eastAsia" w:ascii="宋体" w:hAnsi="宋体"/>
          <w:kern w:val="0"/>
        </w:rPr>
        <w:t>年</w:t>
      </w:r>
      <w:r>
        <w:rPr>
          <w:rFonts w:hint="eastAsia"/>
          <w:kern w:val="0"/>
        </w:rPr>
        <w:t>09</w:t>
      </w:r>
      <w:r>
        <w:rPr>
          <w:rFonts w:hint="eastAsia" w:ascii="宋体" w:hAnsi="宋体"/>
          <w:kern w:val="0"/>
        </w:rPr>
        <w:t>月</w:t>
      </w:r>
      <w:r>
        <w:rPr>
          <w:rFonts w:hint="eastAsia"/>
          <w:kern w:val="0"/>
        </w:rPr>
        <w:t>04</w:t>
      </w:r>
      <w:r>
        <w:rPr>
          <w:rFonts w:hint="eastAsia" w:ascii="宋体" w:hAnsi="宋体"/>
          <w:kern w:val="0"/>
        </w:rPr>
        <w:t>日</w:t>
      </w:r>
      <w:r>
        <w:rPr>
          <w:rFonts w:hint="eastAsia"/>
          <w:kern w:val="0"/>
        </w:rPr>
        <w:t>16</w:t>
      </w:r>
      <w:r>
        <w:rPr>
          <w:rFonts w:hint="eastAsia" w:ascii="宋体" w:hAnsi="宋体"/>
          <w:kern w:val="0"/>
        </w:rPr>
        <w:t>时</w:t>
      </w:r>
      <w:r>
        <w:rPr>
          <w:rFonts w:hint="eastAsia"/>
          <w:kern w:val="0"/>
        </w:rPr>
        <w:t>00</w:t>
      </w:r>
      <w:r>
        <w:rPr>
          <w:rFonts w:hint="eastAsia" w:ascii="宋体" w:hAnsi="宋体"/>
          <w:kern w:val="0"/>
        </w:rPr>
        <w:t>分至</w:t>
      </w:r>
      <w:r>
        <w:rPr>
          <w:rFonts w:hint="eastAsia"/>
          <w:kern w:val="0"/>
        </w:rPr>
        <w:t>2024</w:t>
      </w:r>
      <w:r>
        <w:rPr>
          <w:rFonts w:hint="eastAsia" w:ascii="宋体" w:hAnsi="宋体"/>
          <w:kern w:val="0"/>
        </w:rPr>
        <w:t>年</w:t>
      </w:r>
      <w:r>
        <w:rPr>
          <w:rFonts w:hint="eastAsia"/>
          <w:kern w:val="0"/>
        </w:rPr>
        <w:t>09</w:t>
      </w:r>
      <w:r>
        <w:rPr>
          <w:rFonts w:hint="eastAsia" w:ascii="宋体" w:hAnsi="宋体"/>
          <w:kern w:val="0"/>
        </w:rPr>
        <w:t>月</w:t>
      </w:r>
      <w:r>
        <w:rPr>
          <w:rFonts w:hint="eastAsia"/>
          <w:kern w:val="0"/>
        </w:rPr>
        <w:t>11</w:t>
      </w:r>
      <w:r>
        <w:rPr>
          <w:rFonts w:hint="eastAsia" w:ascii="宋体" w:hAnsi="宋体"/>
          <w:kern w:val="0"/>
        </w:rPr>
        <w:t>日</w:t>
      </w:r>
      <w:r>
        <w:rPr>
          <w:rFonts w:hint="eastAsia"/>
          <w:kern w:val="0"/>
        </w:rPr>
        <w:t>16</w:t>
      </w:r>
      <w:r>
        <w:rPr>
          <w:rFonts w:hint="eastAsia" w:ascii="宋体" w:hAnsi="宋体"/>
          <w:kern w:val="0"/>
        </w:rPr>
        <w:t>时</w:t>
      </w:r>
      <w:r>
        <w:rPr>
          <w:rFonts w:hint="eastAsia"/>
          <w:kern w:val="0"/>
        </w:rPr>
        <w:t>00</w:t>
      </w:r>
      <w:r>
        <w:rPr>
          <w:rFonts w:hint="eastAsia" w:ascii="宋体" w:hAnsi="宋体"/>
          <w:kern w:val="0"/>
        </w:rPr>
        <w:t>分</w:t>
      </w:r>
      <w:r>
        <w:rPr>
          <w:rFonts w:ascii="宋体" w:hAnsi="宋体"/>
          <w:bCs/>
        </w:rPr>
        <w:t>（北京时间）。</w:t>
      </w:r>
    </w:p>
    <w:p w14:paraId="42900584">
      <w:pPr>
        <w:autoSpaceDE w:val="0"/>
        <w:spacing w:line="420" w:lineRule="exact"/>
        <w:ind w:firstLine="426" w:firstLineChars="202"/>
        <w:rPr>
          <w:b/>
        </w:rPr>
      </w:pPr>
      <w:r>
        <w:rPr>
          <w:rFonts w:ascii="宋体" w:hAnsi="宋体"/>
          <w:b/>
        </w:rPr>
        <w:t>注：在下载截止时间内至少下载一次招标文件，下载一次后可不受时间限制进行下载招标文件或答疑文件。如在下载时间截止前未下载招标文件，投标人自行承担相应责任。</w:t>
      </w:r>
    </w:p>
    <w:p w14:paraId="038D7C96">
      <w:pPr>
        <w:autoSpaceDE w:val="0"/>
        <w:spacing w:line="420" w:lineRule="exact"/>
        <w:ind w:firstLine="424" w:firstLineChars="202"/>
        <w:rPr>
          <w:bCs/>
        </w:rPr>
      </w:pPr>
      <w:r>
        <w:rPr>
          <w:rFonts w:ascii="宋体" w:hAnsi="宋体"/>
          <w:bCs/>
        </w:rPr>
        <w:t>有关手续请查看</w:t>
      </w:r>
      <w:r>
        <w:rPr>
          <w:bCs/>
        </w:rPr>
        <w:t>"</w:t>
      </w:r>
      <w:r>
        <w:rPr>
          <w:rFonts w:ascii="宋体" w:hAnsi="宋体"/>
          <w:bCs/>
        </w:rPr>
        <w:t>黑龙江省公共资源交易网</w:t>
      </w:r>
      <w:r>
        <w:rPr>
          <w:bCs/>
        </w:rPr>
        <w:t>"</w:t>
      </w:r>
      <w:r>
        <w:rPr>
          <w:rFonts w:ascii="宋体" w:hAnsi="宋体"/>
          <w:bCs/>
        </w:rPr>
        <w:t>中的《服务指南》黑龙江省公共资源交易平台投标文件制作操作手册、黑龙江省公共资源交易平台工程建设投标人操作视频、黑龙江省公共资源交易平台会员注册入库操作视频，技术支持咨询联系电话：</w:t>
      </w:r>
      <w:r>
        <w:rPr>
          <w:bCs/>
        </w:rPr>
        <w:t>4009980000</w:t>
      </w:r>
      <w:r>
        <w:rPr>
          <w:rFonts w:ascii="宋体" w:hAnsi="宋体"/>
          <w:bCs/>
        </w:rPr>
        <w:t>。</w:t>
      </w:r>
    </w:p>
    <w:p w14:paraId="3262BFE9">
      <w:pPr>
        <w:autoSpaceDE w:val="0"/>
        <w:spacing w:line="420" w:lineRule="exact"/>
        <w:ind w:firstLine="420" w:firstLineChars="200"/>
        <w:rPr>
          <w:kern w:val="0"/>
        </w:rPr>
      </w:pPr>
      <w:r>
        <w:rPr>
          <w:bCs/>
        </w:rPr>
        <w:t>4.2</w:t>
      </w:r>
      <w:r>
        <w:rPr>
          <w:rFonts w:ascii="宋体" w:hAnsi="宋体"/>
          <w:bCs/>
        </w:rPr>
        <w:t>投标人未按</w:t>
      </w:r>
      <w:r>
        <w:rPr>
          <w:bCs/>
        </w:rPr>
        <w:t>“</w:t>
      </w:r>
      <w:r>
        <w:rPr>
          <w:rFonts w:ascii="宋体" w:hAnsi="宋体"/>
          <w:bCs/>
        </w:rPr>
        <w:t>黑龙江省公共资源交易网</w:t>
      </w:r>
      <w:r>
        <w:rPr>
          <w:bCs/>
        </w:rPr>
        <w:t>”</w:t>
      </w:r>
      <w:r>
        <w:rPr>
          <w:rFonts w:ascii="宋体" w:hAnsi="宋体"/>
          <w:bCs/>
        </w:rPr>
        <w:t>的流程要求完成全部操作的，自行承担相应责任。</w:t>
      </w:r>
    </w:p>
    <w:p w14:paraId="3B0D101E">
      <w:pPr>
        <w:autoSpaceDE w:val="0"/>
        <w:spacing w:line="420" w:lineRule="exact"/>
        <w:ind w:firstLine="422" w:firstLineChars="200"/>
        <w:rPr>
          <w:rFonts w:hint="eastAsia"/>
          <w:kern w:val="0"/>
        </w:rPr>
      </w:pPr>
      <w:r>
        <w:rPr>
          <w:rFonts w:hint="eastAsia" w:ascii="宋体" w:hAnsi="宋体"/>
          <w:b/>
          <w:bCs/>
          <w:kern w:val="0"/>
        </w:rPr>
        <w:t>五、投标文件的递交</w:t>
      </w:r>
    </w:p>
    <w:p w14:paraId="64ACD184">
      <w:pPr>
        <w:autoSpaceDE w:val="0"/>
        <w:spacing w:line="420" w:lineRule="exact"/>
        <w:ind w:firstLine="420" w:firstLineChars="200"/>
        <w:rPr>
          <w:kern w:val="0"/>
        </w:rPr>
      </w:pPr>
      <w:r>
        <w:rPr>
          <w:rFonts w:hint="eastAsia"/>
          <w:kern w:val="0"/>
        </w:rPr>
        <w:t xml:space="preserve">5. 1 </w:t>
      </w:r>
      <w:r>
        <w:rPr>
          <w:rFonts w:hint="eastAsia" w:ascii="宋体" w:hAnsi="宋体"/>
          <w:kern w:val="0"/>
        </w:rPr>
        <w:t>招标人不组织踏勘现场，由潜在投标人自行前往踏勘。不召开投标预备会。招标人对招标文件的澄清、补遗均通过黑龙江公共资源交易平台进行。</w:t>
      </w:r>
    </w:p>
    <w:p w14:paraId="37DE5E64">
      <w:pPr>
        <w:autoSpaceDE w:val="0"/>
        <w:spacing w:line="420" w:lineRule="exact"/>
        <w:ind w:firstLine="420" w:firstLineChars="200"/>
        <w:rPr>
          <w:kern w:val="0"/>
        </w:rPr>
      </w:pPr>
      <w:r>
        <w:rPr>
          <w:rFonts w:hint="eastAsia"/>
          <w:kern w:val="0"/>
        </w:rPr>
        <w:t xml:space="preserve">5.2 </w:t>
      </w:r>
      <w:r>
        <w:rPr>
          <w:rFonts w:hint="eastAsia" w:ascii="宋体" w:hAnsi="宋体"/>
          <w:kern w:val="0"/>
        </w:rPr>
        <w:t>本项目为线上开标。开标时，投标人应在线上对其投标文件进行解密。各投标人须在开标时间前安装好数字证书驱动程序，提前登录“交易平台</w:t>
      </w:r>
      <w:r>
        <w:rPr>
          <w:rFonts w:hint="eastAsia"/>
          <w:kern w:val="0"/>
        </w:rPr>
        <w:t>-</w:t>
      </w:r>
      <w:r>
        <w:rPr>
          <w:rFonts w:hint="eastAsia" w:ascii="宋体" w:hAnsi="宋体"/>
          <w:kern w:val="0"/>
        </w:rPr>
        <w:t>不见面开标大厅 ”，按照“黑龙江省公共资源交易网</w:t>
      </w:r>
      <w:r>
        <w:rPr>
          <w:rFonts w:hint="eastAsia"/>
          <w:kern w:val="0"/>
        </w:rPr>
        <w:t>-</w:t>
      </w:r>
      <w:r>
        <w:rPr>
          <w:rFonts w:hint="eastAsia" w:ascii="宋体" w:hAnsi="宋体"/>
          <w:kern w:val="0"/>
        </w:rPr>
        <w:t>服务指南 ”中的操作手册完成开标程序。</w:t>
      </w:r>
    </w:p>
    <w:p w14:paraId="754FCB55">
      <w:pPr>
        <w:autoSpaceDE w:val="0"/>
        <w:spacing w:line="420" w:lineRule="exact"/>
        <w:ind w:firstLine="420" w:firstLineChars="200"/>
        <w:rPr>
          <w:kern w:val="0"/>
        </w:rPr>
      </w:pPr>
      <w:r>
        <w:rPr>
          <w:rFonts w:hint="eastAsia"/>
          <w:kern w:val="0"/>
        </w:rPr>
        <w:t xml:space="preserve">5.3 </w:t>
      </w:r>
      <w:r>
        <w:rPr>
          <w:rFonts w:hint="eastAsia" w:ascii="宋体" w:hAnsi="宋体"/>
          <w:kern w:val="0"/>
        </w:rPr>
        <w:t>电子投标文件递交截止时间为</w:t>
      </w:r>
      <w:r>
        <w:rPr>
          <w:rFonts w:hint="eastAsia"/>
          <w:kern w:val="0"/>
        </w:rPr>
        <w:t xml:space="preserve"> 2024</w:t>
      </w:r>
      <w:r>
        <w:rPr>
          <w:rFonts w:hint="eastAsia" w:ascii="宋体" w:hAnsi="宋体"/>
          <w:kern w:val="0"/>
        </w:rPr>
        <w:t>年</w:t>
      </w:r>
      <w:r>
        <w:rPr>
          <w:rFonts w:hint="eastAsia"/>
          <w:kern w:val="0"/>
        </w:rPr>
        <w:t>09</w:t>
      </w:r>
      <w:r>
        <w:rPr>
          <w:rFonts w:hint="eastAsia" w:ascii="宋体" w:hAnsi="宋体"/>
          <w:kern w:val="0"/>
        </w:rPr>
        <w:t>月</w:t>
      </w:r>
      <w:r>
        <w:rPr>
          <w:rFonts w:hint="eastAsia"/>
          <w:kern w:val="0"/>
        </w:rPr>
        <w:t>25</w:t>
      </w:r>
      <w:r>
        <w:rPr>
          <w:rFonts w:hint="eastAsia" w:ascii="宋体" w:hAnsi="宋体"/>
          <w:kern w:val="0"/>
        </w:rPr>
        <w:t>日</w:t>
      </w:r>
      <w:r>
        <w:rPr>
          <w:rFonts w:hint="eastAsia"/>
          <w:kern w:val="0"/>
        </w:rPr>
        <w:t>09</w:t>
      </w:r>
      <w:r>
        <w:rPr>
          <w:rFonts w:hint="eastAsia" w:ascii="宋体" w:hAnsi="宋体"/>
          <w:kern w:val="0"/>
        </w:rPr>
        <w:t>时</w:t>
      </w:r>
      <w:r>
        <w:rPr>
          <w:rFonts w:hint="eastAsia"/>
          <w:kern w:val="0"/>
        </w:rPr>
        <w:t>00</w:t>
      </w:r>
      <w:r>
        <w:rPr>
          <w:rFonts w:hint="eastAsia" w:ascii="宋体" w:hAnsi="宋体"/>
          <w:kern w:val="0"/>
        </w:rPr>
        <w:t>分（即开标时间），投标人应于该截止时间前将加密的投标文件第一个信封（商务及技术文件）、第二个信封（报价文件）上传至“黑龙江公共资源交易网 ”上的“交易平台 ”进行网上投标。未在电子投标文件递交截止时间前递交电子投标文件的，电子交易平台将予以拒收。</w:t>
      </w:r>
    </w:p>
    <w:p w14:paraId="617F7875">
      <w:pPr>
        <w:autoSpaceDE w:val="0"/>
        <w:spacing w:line="420" w:lineRule="exact"/>
        <w:ind w:firstLine="420" w:firstLineChars="200"/>
        <w:rPr>
          <w:kern w:val="0"/>
        </w:rPr>
      </w:pPr>
      <w:r>
        <w:rPr>
          <w:rFonts w:hint="eastAsia" w:ascii="宋体" w:hAnsi="宋体"/>
          <w:kern w:val="0"/>
        </w:rPr>
        <w:t>第一信封开标时间：</w:t>
      </w:r>
      <w:r>
        <w:rPr>
          <w:rFonts w:hint="eastAsia"/>
          <w:kern w:val="0"/>
        </w:rPr>
        <w:t xml:space="preserve"> 2024</w:t>
      </w:r>
      <w:r>
        <w:rPr>
          <w:rFonts w:hint="eastAsia" w:ascii="宋体" w:hAnsi="宋体"/>
          <w:kern w:val="0"/>
        </w:rPr>
        <w:t>年</w:t>
      </w:r>
      <w:r>
        <w:rPr>
          <w:rFonts w:hint="eastAsia"/>
          <w:kern w:val="0"/>
        </w:rPr>
        <w:t>09</w:t>
      </w:r>
      <w:r>
        <w:rPr>
          <w:rFonts w:hint="eastAsia" w:ascii="宋体" w:hAnsi="宋体"/>
          <w:kern w:val="0"/>
        </w:rPr>
        <w:t>月</w:t>
      </w:r>
      <w:r>
        <w:rPr>
          <w:rFonts w:hint="eastAsia"/>
          <w:kern w:val="0"/>
        </w:rPr>
        <w:t>25</w:t>
      </w:r>
      <w:r>
        <w:rPr>
          <w:rFonts w:hint="eastAsia" w:ascii="宋体" w:hAnsi="宋体"/>
          <w:kern w:val="0"/>
        </w:rPr>
        <w:t>日</w:t>
      </w:r>
      <w:r>
        <w:rPr>
          <w:rFonts w:hint="eastAsia"/>
          <w:kern w:val="0"/>
        </w:rPr>
        <w:t>09</w:t>
      </w:r>
      <w:r>
        <w:rPr>
          <w:rFonts w:hint="eastAsia" w:ascii="宋体" w:hAnsi="宋体"/>
          <w:kern w:val="0"/>
        </w:rPr>
        <w:t>时</w:t>
      </w:r>
      <w:r>
        <w:rPr>
          <w:rFonts w:hint="eastAsia"/>
          <w:kern w:val="0"/>
        </w:rPr>
        <w:t>00</w:t>
      </w:r>
      <w:r>
        <w:rPr>
          <w:rFonts w:hint="eastAsia" w:ascii="宋体" w:hAnsi="宋体"/>
          <w:kern w:val="0"/>
        </w:rPr>
        <w:t>分。投标人按照交易平台提示对上传至交易平台的投标文件第一信封商务和技术文件进行解密等操作。由于投标人自身原因导致第一信解密失败等情况，投标人自行承担责任。</w:t>
      </w:r>
    </w:p>
    <w:p w14:paraId="735F9920">
      <w:pPr>
        <w:autoSpaceDE w:val="0"/>
        <w:spacing w:line="420" w:lineRule="exact"/>
        <w:ind w:firstLine="420" w:firstLineChars="200"/>
        <w:rPr>
          <w:kern w:val="0"/>
        </w:rPr>
      </w:pPr>
      <w:r>
        <w:rPr>
          <w:rFonts w:hint="eastAsia" w:ascii="宋体" w:hAnsi="宋体"/>
          <w:kern w:val="0"/>
        </w:rPr>
        <w:t>第二信封开标时间：具体开标时间以第一个信封评审结束时间为准，招标人将于第一个信封（商务及技术文件）评审结束后在交易平台上通知第二信封开标时间，请各投标人在开评标阶段持续关注交易平台开标页面，如因投标人原因导致未能在规定时间内进行第二信封的解密等操作，投标人自行承担责任。</w:t>
      </w:r>
    </w:p>
    <w:p w14:paraId="664ABA1C">
      <w:pPr>
        <w:autoSpaceDE w:val="0"/>
        <w:spacing w:line="420" w:lineRule="exact"/>
        <w:ind w:firstLine="420" w:firstLineChars="200"/>
        <w:rPr>
          <w:kern w:val="0"/>
        </w:rPr>
      </w:pPr>
      <w:r>
        <w:rPr>
          <w:rFonts w:hint="eastAsia"/>
          <w:kern w:val="0"/>
        </w:rPr>
        <w:t>5.4</w:t>
      </w:r>
      <w:r>
        <w:rPr>
          <w:rFonts w:hint="eastAsia" w:ascii="宋体" w:hAnsi="宋体"/>
          <w:kern w:val="0"/>
        </w:rPr>
        <w:t>开标时间为：</w:t>
      </w:r>
      <w:r>
        <w:rPr>
          <w:rFonts w:hint="eastAsia"/>
          <w:kern w:val="0"/>
        </w:rPr>
        <w:t xml:space="preserve"> 2024</w:t>
      </w:r>
      <w:r>
        <w:rPr>
          <w:rFonts w:hint="eastAsia" w:ascii="宋体" w:hAnsi="宋体"/>
          <w:kern w:val="0"/>
        </w:rPr>
        <w:t>年</w:t>
      </w:r>
      <w:r>
        <w:rPr>
          <w:rFonts w:hint="eastAsia"/>
          <w:kern w:val="0"/>
        </w:rPr>
        <w:t>09</w:t>
      </w:r>
      <w:r>
        <w:rPr>
          <w:rFonts w:hint="eastAsia" w:ascii="宋体" w:hAnsi="宋体"/>
          <w:kern w:val="0"/>
        </w:rPr>
        <w:t>月</w:t>
      </w:r>
      <w:r>
        <w:rPr>
          <w:rFonts w:hint="eastAsia"/>
          <w:kern w:val="0"/>
        </w:rPr>
        <w:t>25</w:t>
      </w:r>
      <w:r>
        <w:rPr>
          <w:rFonts w:hint="eastAsia" w:ascii="宋体" w:hAnsi="宋体"/>
          <w:kern w:val="0"/>
        </w:rPr>
        <w:t>日</w:t>
      </w:r>
      <w:r>
        <w:rPr>
          <w:rFonts w:hint="eastAsia"/>
          <w:kern w:val="0"/>
        </w:rPr>
        <w:t>09</w:t>
      </w:r>
      <w:r>
        <w:rPr>
          <w:rFonts w:hint="eastAsia" w:ascii="宋体" w:hAnsi="宋体"/>
          <w:kern w:val="0"/>
        </w:rPr>
        <w:t>时</w:t>
      </w:r>
      <w:r>
        <w:rPr>
          <w:rFonts w:hint="eastAsia"/>
          <w:kern w:val="0"/>
        </w:rPr>
        <w:t>00</w:t>
      </w:r>
      <w:r>
        <w:rPr>
          <w:rFonts w:hint="eastAsia" w:ascii="宋体" w:hAnsi="宋体"/>
          <w:kern w:val="0"/>
        </w:rPr>
        <w:t>分（北京时间）</w:t>
      </w:r>
      <w:r>
        <w:rPr>
          <w:rFonts w:hint="eastAsia"/>
          <w:kern w:val="0"/>
        </w:rPr>
        <w:t xml:space="preserve"> </w:t>
      </w:r>
      <w:r>
        <w:rPr>
          <w:rFonts w:hint="eastAsia"/>
          <w:kern w:val="0"/>
        </w:rPr>
        <w:tab/>
      </w:r>
    </w:p>
    <w:p w14:paraId="362D65B7">
      <w:pPr>
        <w:autoSpaceDE w:val="0"/>
        <w:spacing w:line="420" w:lineRule="exact"/>
        <w:ind w:firstLine="420" w:firstLineChars="200"/>
        <w:rPr>
          <w:rFonts w:hint="eastAsia"/>
          <w:kern w:val="0"/>
        </w:rPr>
      </w:pPr>
      <w:r>
        <w:rPr>
          <w:rFonts w:hint="eastAsia" w:ascii="宋体" w:hAnsi="宋体"/>
          <w:kern w:val="0"/>
        </w:rPr>
        <w:t>评标地点：黑龙江省公共资源交易中心（哈尔滨市南岗区长江路</w:t>
      </w:r>
      <w:r>
        <w:rPr>
          <w:rFonts w:hint="eastAsia"/>
          <w:kern w:val="0"/>
        </w:rPr>
        <w:t>130</w:t>
      </w:r>
      <w:r>
        <w:rPr>
          <w:rFonts w:hint="eastAsia" w:ascii="宋体" w:hAnsi="宋体"/>
          <w:kern w:val="0"/>
        </w:rPr>
        <w:t>号）</w:t>
      </w:r>
    </w:p>
    <w:p w14:paraId="3687ADCA">
      <w:pPr>
        <w:autoSpaceDE w:val="0"/>
        <w:spacing w:line="420" w:lineRule="exact"/>
        <w:ind w:firstLine="420" w:firstLineChars="200"/>
        <w:rPr>
          <w:kern w:val="0"/>
        </w:rPr>
      </w:pPr>
      <w:r>
        <w:rPr>
          <w:rFonts w:hint="eastAsia"/>
          <w:kern w:val="0"/>
        </w:rPr>
        <w:t xml:space="preserve">5.5 </w:t>
      </w:r>
      <w:r>
        <w:rPr>
          <w:rFonts w:hint="eastAsia" w:ascii="宋体" w:hAnsi="宋体"/>
          <w:kern w:val="0"/>
        </w:rPr>
        <w:t>本项目投标保证金的金额：贰万元。投标保证金递交截止时间</w:t>
      </w:r>
      <w:r>
        <w:rPr>
          <w:rFonts w:hint="eastAsia"/>
          <w:kern w:val="0"/>
        </w:rPr>
        <w:t>:  2024</w:t>
      </w:r>
      <w:r>
        <w:rPr>
          <w:rFonts w:hint="eastAsia" w:ascii="宋体" w:hAnsi="宋体"/>
          <w:kern w:val="0"/>
        </w:rPr>
        <w:t>年</w:t>
      </w:r>
      <w:r>
        <w:rPr>
          <w:rFonts w:hint="eastAsia"/>
          <w:kern w:val="0"/>
        </w:rPr>
        <w:t>09</w:t>
      </w:r>
      <w:r>
        <w:rPr>
          <w:rFonts w:hint="eastAsia" w:ascii="宋体" w:hAnsi="宋体"/>
          <w:kern w:val="0"/>
        </w:rPr>
        <w:t>月</w:t>
      </w:r>
      <w:r>
        <w:rPr>
          <w:rFonts w:hint="eastAsia"/>
          <w:kern w:val="0"/>
        </w:rPr>
        <w:t>24</w:t>
      </w:r>
      <w:r>
        <w:rPr>
          <w:rFonts w:hint="eastAsia" w:ascii="宋体" w:hAnsi="宋体"/>
          <w:kern w:val="0"/>
        </w:rPr>
        <w:t>日</w:t>
      </w:r>
      <w:r>
        <w:rPr>
          <w:rFonts w:hint="eastAsia"/>
          <w:kern w:val="0"/>
        </w:rPr>
        <w:t>09</w:t>
      </w:r>
      <w:r>
        <w:rPr>
          <w:rFonts w:hint="eastAsia" w:ascii="宋体" w:hAnsi="宋体"/>
          <w:kern w:val="0"/>
        </w:rPr>
        <w:t>时</w:t>
      </w:r>
      <w:r>
        <w:rPr>
          <w:rFonts w:hint="eastAsia"/>
          <w:kern w:val="0"/>
        </w:rPr>
        <w:t>00</w:t>
      </w:r>
      <w:r>
        <w:rPr>
          <w:rFonts w:hint="eastAsia" w:ascii="宋体" w:hAnsi="宋体"/>
          <w:kern w:val="0"/>
        </w:rPr>
        <w:t>分（北京时间）。（如因投标人未在规定的截止时间前递交投标保证金，投标人自行承担相应责任）。投标保证金应采用网银转账、电汇或工程投标保证保险形式：①采用网银转账、电汇形式递交投标保证金的，投标保证金必须由中国人民银行核准的投标人基本存款账户汇出，汇入与黑龙江公共资源交易平台对接的银行。②采用工程投标保证保险方式递交投标保证金的，投标人按《黑龙江省公共资源交易网》相关规定执行。</w:t>
      </w:r>
    </w:p>
    <w:p w14:paraId="42AAAC04">
      <w:pPr>
        <w:autoSpaceDE w:val="0"/>
        <w:spacing w:line="420" w:lineRule="exact"/>
        <w:ind w:firstLine="422" w:firstLineChars="200"/>
        <w:rPr>
          <w:kern w:val="0"/>
        </w:rPr>
      </w:pPr>
      <w:r>
        <w:rPr>
          <w:rFonts w:ascii="宋体" w:hAnsi="宋体"/>
          <w:b/>
          <w:bCs/>
          <w:kern w:val="0"/>
        </w:rPr>
        <w:t>六、发布公告的媒介</w:t>
      </w:r>
    </w:p>
    <w:p w14:paraId="065A465B">
      <w:pPr>
        <w:autoSpaceDE w:val="0"/>
        <w:spacing w:line="420" w:lineRule="exact"/>
        <w:ind w:firstLine="420" w:firstLineChars="200"/>
        <w:rPr>
          <w:color w:val="000000"/>
          <w:kern w:val="0"/>
        </w:rPr>
      </w:pPr>
      <w:r>
        <w:rPr>
          <w:rFonts w:ascii="宋体" w:hAnsi="宋体"/>
          <w:bCs/>
          <w:color w:val="000000"/>
        </w:rPr>
        <w:t>本次招标公告同时在</w:t>
      </w:r>
      <w:r>
        <w:rPr>
          <w:rFonts w:ascii="宋体" w:hAnsi="宋体"/>
          <w:color w:val="000000"/>
          <w:kern w:val="0"/>
        </w:rPr>
        <w:t>黑龙江公共资源交易网（</w:t>
      </w:r>
      <w:r>
        <w:fldChar w:fldCharType="begin"/>
      </w:r>
      <w:r>
        <w:instrText xml:space="preserve"> HYPERLINK "http://ggzyjyw.hlj.gov.cn/" </w:instrText>
      </w:r>
      <w:r>
        <w:fldChar w:fldCharType="separate"/>
      </w:r>
      <w:r>
        <w:rPr>
          <w:rStyle w:val="5"/>
          <w:rFonts w:hint="eastAsia"/>
          <w:color w:val="000000"/>
          <w:kern w:val="0"/>
        </w:rPr>
        <w:t>http://ggzyjyw.hlj.gov.cn/</w:t>
      </w:r>
      <w:r>
        <w:rPr>
          <w:rStyle w:val="5"/>
          <w:rFonts w:hint="eastAsia"/>
          <w:color w:val="000000"/>
          <w:kern w:val="0"/>
        </w:rPr>
        <w:fldChar w:fldCharType="end"/>
      </w:r>
      <w:r>
        <w:rPr>
          <w:rFonts w:ascii="宋体" w:hAnsi="宋体"/>
          <w:color w:val="000000"/>
          <w:kern w:val="0"/>
        </w:rPr>
        <w:t>）</w:t>
      </w:r>
      <w:r>
        <w:rPr>
          <w:rFonts w:ascii="宋体" w:hAnsi="宋体"/>
          <w:bCs/>
          <w:color w:val="000000"/>
        </w:rPr>
        <w:t>和黑龙江省交通运输厅网站（</w:t>
      </w:r>
      <w:r>
        <w:rPr>
          <w:bCs/>
          <w:color w:val="000000"/>
        </w:rPr>
        <w:t>http://jt.hlj.gov.cn/</w:t>
      </w:r>
      <w:r>
        <w:rPr>
          <w:rFonts w:ascii="宋体" w:hAnsi="宋体"/>
          <w:bCs/>
          <w:color w:val="000000"/>
        </w:rPr>
        <w:t>）</w:t>
      </w:r>
      <w:r>
        <w:rPr>
          <w:rFonts w:hint="eastAsia" w:ascii="宋体" w:hAnsi="宋体"/>
          <w:bCs/>
          <w:color w:val="000000"/>
        </w:rPr>
        <w:t>上</w:t>
      </w:r>
      <w:r>
        <w:rPr>
          <w:rFonts w:ascii="宋体" w:hAnsi="宋体"/>
          <w:color w:val="000000"/>
          <w:kern w:val="0"/>
        </w:rPr>
        <w:t>发布。</w:t>
      </w:r>
    </w:p>
    <w:p w14:paraId="0721DECE">
      <w:pPr>
        <w:autoSpaceDE w:val="0"/>
        <w:spacing w:line="420" w:lineRule="exact"/>
        <w:ind w:firstLine="422" w:firstLineChars="200"/>
        <w:rPr>
          <w:kern w:val="0"/>
        </w:rPr>
      </w:pPr>
      <w:r>
        <w:rPr>
          <w:rFonts w:hint="eastAsia" w:ascii="宋体" w:hAnsi="宋体"/>
          <w:b/>
          <w:bCs/>
          <w:kern w:val="0"/>
        </w:rPr>
        <w:t>七、联系方式</w:t>
      </w:r>
    </w:p>
    <w:p w14:paraId="55A6B84E">
      <w:pPr>
        <w:autoSpaceDE w:val="0"/>
        <w:spacing w:line="420" w:lineRule="exact"/>
        <w:ind w:firstLine="420" w:firstLineChars="200"/>
        <w:rPr>
          <w:kern w:val="0"/>
        </w:rPr>
      </w:pPr>
      <w:r>
        <w:rPr>
          <w:rFonts w:ascii="宋体" w:hAnsi="宋体"/>
          <w:kern w:val="0"/>
        </w:rPr>
        <w:t>监督单位：黑龙江省交通运输厅</w:t>
      </w:r>
    </w:p>
    <w:p w14:paraId="2BC69FB3">
      <w:pPr>
        <w:autoSpaceDE w:val="0"/>
        <w:spacing w:line="420" w:lineRule="exact"/>
        <w:ind w:firstLine="420" w:firstLineChars="200"/>
        <w:rPr>
          <w:kern w:val="0"/>
        </w:rPr>
      </w:pPr>
      <w:r>
        <w:rPr>
          <w:rFonts w:ascii="宋体" w:hAnsi="宋体"/>
          <w:kern w:val="0"/>
        </w:rPr>
        <w:t>地</w:t>
      </w:r>
      <w:r>
        <w:rPr>
          <w:kern w:val="0"/>
        </w:rPr>
        <w:t xml:space="preserve">    </w:t>
      </w:r>
      <w:r>
        <w:rPr>
          <w:rFonts w:ascii="宋体" w:hAnsi="宋体"/>
          <w:kern w:val="0"/>
        </w:rPr>
        <w:t>址：黑龙江省哈尔滨市南岗区赣水路</w:t>
      </w:r>
      <w:r>
        <w:rPr>
          <w:kern w:val="0"/>
        </w:rPr>
        <w:t>1</w:t>
      </w:r>
      <w:r>
        <w:rPr>
          <w:rFonts w:ascii="宋体" w:hAnsi="宋体"/>
          <w:kern w:val="0"/>
        </w:rPr>
        <w:t>号</w:t>
      </w:r>
    </w:p>
    <w:p w14:paraId="7D38CF82">
      <w:pPr>
        <w:autoSpaceDE w:val="0"/>
        <w:spacing w:line="420" w:lineRule="exact"/>
        <w:ind w:firstLine="420" w:firstLineChars="200"/>
        <w:rPr>
          <w:kern w:val="0"/>
        </w:rPr>
      </w:pPr>
      <w:r>
        <w:rPr>
          <w:rFonts w:ascii="宋体" w:hAnsi="宋体"/>
          <w:kern w:val="0"/>
        </w:rPr>
        <w:t>电</w:t>
      </w:r>
      <w:r>
        <w:rPr>
          <w:kern w:val="0"/>
        </w:rPr>
        <w:t xml:space="preserve">    </w:t>
      </w:r>
      <w:r>
        <w:rPr>
          <w:rFonts w:ascii="宋体" w:hAnsi="宋体"/>
          <w:kern w:val="0"/>
        </w:rPr>
        <w:t>话：</w:t>
      </w:r>
      <w:r>
        <w:rPr>
          <w:kern w:val="0"/>
        </w:rPr>
        <w:t>0451-82624405</w:t>
      </w:r>
    </w:p>
    <w:p w14:paraId="2E17FCD3">
      <w:pPr>
        <w:autoSpaceDE w:val="0"/>
        <w:spacing w:beforeLines="50" w:line="300" w:lineRule="exact"/>
        <w:ind w:firstLine="420" w:firstLineChars="200"/>
        <w:rPr>
          <w:kern w:val="0"/>
        </w:rPr>
      </w:pPr>
      <w:r>
        <w:rPr>
          <w:rFonts w:ascii="宋体" w:hAnsi="宋体"/>
          <w:kern w:val="0"/>
        </w:rPr>
        <w:t>招</w:t>
      </w:r>
      <w:r>
        <w:rPr>
          <w:kern w:val="0"/>
        </w:rPr>
        <w:t xml:space="preserve"> </w:t>
      </w:r>
      <w:r>
        <w:rPr>
          <w:rFonts w:ascii="宋体" w:hAnsi="宋体"/>
          <w:kern w:val="0"/>
        </w:rPr>
        <w:t>标</w:t>
      </w:r>
      <w:r>
        <w:rPr>
          <w:kern w:val="0"/>
        </w:rPr>
        <w:t xml:space="preserve"> </w:t>
      </w:r>
      <w:r>
        <w:rPr>
          <w:rFonts w:ascii="宋体" w:hAnsi="宋体"/>
          <w:kern w:val="0"/>
        </w:rPr>
        <w:t>人：东宁市交通运输局</w:t>
      </w:r>
    </w:p>
    <w:p w14:paraId="62B5B177">
      <w:pPr>
        <w:autoSpaceDE w:val="0"/>
        <w:spacing w:line="420" w:lineRule="exact"/>
        <w:ind w:firstLine="420" w:firstLineChars="200"/>
        <w:rPr>
          <w:kern w:val="0"/>
        </w:rPr>
      </w:pPr>
      <w:r>
        <w:rPr>
          <w:rFonts w:ascii="宋体" w:hAnsi="宋体"/>
          <w:kern w:val="0"/>
        </w:rPr>
        <w:t>地</w:t>
      </w:r>
      <w:r>
        <w:rPr>
          <w:kern w:val="0"/>
        </w:rPr>
        <w:t xml:space="preserve">    </w:t>
      </w:r>
      <w:r>
        <w:rPr>
          <w:rFonts w:ascii="宋体" w:hAnsi="宋体"/>
          <w:kern w:val="0"/>
        </w:rPr>
        <w:t>址：</w:t>
      </w:r>
      <w:r>
        <w:rPr>
          <w:rFonts w:ascii="宋体" w:hAnsi="宋体"/>
        </w:rPr>
        <w:t>黑龙江省牡丹江市东宁市东宁镇光明街</w:t>
      </w:r>
      <w:r>
        <w:t>3</w:t>
      </w:r>
      <w:r>
        <w:rPr>
          <w:rFonts w:ascii="宋体" w:hAnsi="宋体"/>
        </w:rPr>
        <w:t>号</w:t>
      </w:r>
    </w:p>
    <w:p w14:paraId="7F034E20">
      <w:pPr>
        <w:autoSpaceDE w:val="0"/>
        <w:spacing w:line="420" w:lineRule="exact"/>
        <w:ind w:firstLine="420" w:firstLineChars="200"/>
        <w:rPr>
          <w:kern w:val="0"/>
        </w:rPr>
      </w:pPr>
      <w:r>
        <w:rPr>
          <w:rFonts w:ascii="宋体" w:hAnsi="宋体"/>
          <w:kern w:val="0"/>
        </w:rPr>
        <w:t>联</w:t>
      </w:r>
      <w:r>
        <w:rPr>
          <w:kern w:val="0"/>
        </w:rPr>
        <w:t xml:space="preserve"> </w:t>
      </w:r>
      <w:r>
        <w:rPr>
          <w:rFonts w:ascii="宋体" w:hAnsi="宋体"/>
          <w:kern w:val="0"/>
        </w:rPr>
        <w:t>系</w:t>
      </w:r>
      <w:r>
        <w:rPr>
          <w:kern w:val="0"/>
        </w:rPr>
        <w:t xml:space="preserve"> </w:t>
      </w:r>
      <w:r>
        <w:rPr>
          <w:rFonts w:ascii="宋体" w:hAnsi="宋体"/>
          <w:kern w:val="0"/>
        </w:rPr>
        <w:t>人：盛先生</w:t>
      </w:r>
      <w:r>
        <w:rPr>
          <w:kern w:val="0"/>
        </w:rPr>
        <w:t xml:space="preserve"> </w:t>
      </w:r>
    </w:p>
    <w:p w14:paraId="40823390">
      <w:pPr>
        <w:autoSpaceDE w:val="0"/>
        <w:spacing w:line="420" w:lineRule="exact"/>
        <w:ind w:firstLine="420" w:firstLineChars="200"/>
        <w:rPr>
          <w:kern w:val="0"/>
        </w:rPr>
      </w:pPr>
      <w:r>
        <w:rPr>
          <w:rFonts w:ascii="宋体" w:hAnsi="宋体"/>
          <w:kern w:val="0"/>
        </w:rPr>
        <w:t>电</w:t>
      </w:r>
      <w:r>
        <w:rPr>
          <w:kern w:val="0"/>
        </w:rPr>
        <w:t xml:space="preserve">    </w:t>
      </w:r>
      <w:r>
        <w:rPr>
          <w:rFonts w:ascii="宋体" w:hAnsi="宋体"/>
          <w:kern w:val="0"/>
        </w:rPr>
        <w:t>话：</w:t>
      </w:r>
      <w:r>
        <w:rPr>
          <w:kern w:val="0"/>
        </w:rPr>
        <w:t>0453-3631420</w:t>
      </w:r>
    </w:p>
    <w:p w14:paraId="4179821D">
      <w:pPr>
        <w:autoSpaceDE w:val="0"/>
        <w:spacing w:beforeLines="50" w:line="300" w:lineRule="exact"/>
        <w:ind w:firstLine="420" w:firstLineChars="200"/>
        <w:rPr>
          <w:kern w:val="0"/>
        </w:rPr>
      </w:pPr>
      <w:r>
        <w:rPr>
          <w:rFonts w:ascii="宋体" w:hAnsi="宋体"/>
          <w:kern w:val="0"/>
        </w:rPr>
        <w:t>代理机构：单位名称：黑龙江业杰招标代理有限公司</w:t>
      </w:r>
    </w:p>
    <w:p w14:paraId="3802BB22">
      <w:pPr>
        <w:autoSpaceDE w:val="0"/>
        <w:spacing w:line="420" w:lineRule="exact"/>
        <w:ind w:firstLine="420" w:firstLineChars="200"/>
        <w:rPr>
          <w:kern w:val="0"/>
        </w:rPr>
      </w:pPr>
      <w:r>
        <w:rPr>
          <w:rFonts w:ascii="宋体" w:hAnsi="宋体"/>
          <w:kern w:val="0"/>
        </w:rPr>
        <w:t>地</w:t>
      </w:r>
      <w:r>
        <w:rPr>
          <w:kern w:val="0"/>
        </w:rPr>
        <w:t xml:space="preserve">    </w:t>
      </w:r>
      <w:r>
        <w:rPr>
          <w:rFonts w:ascii="宋体" w:hAnsi="宋体"/>
          <w:kern w:val="0"/>
        </w:rPr>
        <w:t>址：牡丹江市爱民区大庆街</w:t>
      </w:r>
      <w:r>
        <w:rPr>
          <w:kern w:val="0"/>
        </w:rPr>
        <w:t>102</w:t>
      </w:r>
      <w:r>
        <w:rPr>
          <w:rFonts w:ascii="宋体" w:hAnsi="宋体"/>
          <w:kern w:val="0"/>
        </w:rPr>
        <w:t>号</w:t>
      </w:r>
    </w:p>
    <w:p w14:paraId="635C8189">
      <w:pPr>
        <w:autoSpaceDE w:val="0"/>
        <w:spacing w:line="420" w:lineRule="exact"/>
        <w:ind w:firstLine="420" w:firstLineChars="200"/>
        <w:rPr>
          <w:kern w:val="0"/>
        </w:rPr>
      </w:pPr>
      <w:r>
        <w:rPr>
          <w:rFonts w:ascii="宋体" w:hAnsi="宋体"/>
          <w:kern w:val="0"/>
        </w:rPr>
        <w:t>联</w:t>
      </w:r>
      <w:r>
        <w:rPr>
          <w:kern w:val="0"/>
        </w:rPr>
        <w:t xml:space="preserve"> </w:t>
      </w:r>
      <w:r>
        <w:rPr>
          <w:rFonts w:ascii="宋体" w:hAnsi="宋体"/>
          <w:kern w:val="0"/>
        </w:rPr>
        <w:t>系</w:t>
      </w:r>
      <w:r>
        <w:rPr>
          <w:kern w:val="0"/>
        </w:rPr>
        <w:t xml:space="preserve"> </w:t>
      </w:r>
      <w:r>
        <w:rPr>
          <w:rFonts w:ascii="宋体" w:hAnsi="宋体"/>
          <w:kern w:val="0"/>
        </w:rPr>
        <w:t>人：刘经理</w:t>
      </w:r>
    </w:p>
    <w:p w14:paraId="78763F50">
      <w:pPr>
        <w:autoSpaceDE w:val="0"/>
        <w:spacing w:line="420" w:lineRule="exact"/>
        <w:ind w:firstLine="424" w:firstLineChars="202"/>
        <w:rPr>
          <w:kern w:val="0"/>
        </w:rPr>
      </w:pPr>
      <w:r>
        <w:rPr>
          <w:rFonts w:ascii="宋体" w:hAnsi="宋体"/>
          <w:kern w:val="0"/>
        </w:rPr>
        <w:t>电</w:t>
      </w:r>
      <w:r>
        <w:rPr>
          <w:kern w:val="0"/>
        </w:rPr>
        <w:t xml:space="preserve">    </w:t>
      </w:r>
      <w:r>
        <w:rPr>
          <w:rFonts w:ascii="宋体" w:hAnsi="宋体"/>
          <w:kern w:val="0"/>
        </w:rPr>
        <w:t>话：</w:t>
      </w:r>
      <w:r>
        <w:rPr>
          <w:kern w:val="0"/>
        </w:rPr>
        <w:t>0453-63009996</w:t>
      </w:r>
    </w:p>
    <w:p w14:paraId="139DBED2">
      <w:pPr>
        <w:autoSpaceDE w:val="0"/>
        <w:spacing w:line="420" w:lineRule="exact"/>
        <w:ind w:firstLine="424" w:firstLineChars="202"/>
        <w:rPr>
          <w:rStyle w:val="5"/>
          <w:color w:val="000000"/>
        </w:rPr>
      </w:pPr>
      <w:r>
        <w:rPr>
          <w:rFonts w:ascii="宋体" w:hAnsi="宋体"/>
          <w:color w:val="000000"/>
        </w:rPr>
        <w:t>电子</w:t>
      </w:r>
      <w:r>
        <w:rPr>
          <w:rFonts w:ascii="宋体" w:hAnsi="宋体"/>
          <w:color w:val="000000"/>
          <w:kern w:val="0"/>
        </w:rPr>
        <w:t>邮箱</w:t>
      </w:r>
      <w:r>
        <w:rPr>
          <w:rFonts w:ascii="宋体" w:hAnsi="宋体"/>
          <w:color w:val="000000"/>
        </w:rPr>
        <w:t>：</w:t>
      </w:r>
      <w:r>
        <w:fldChar w:fldCharType="begin"/>
      </w:r>
      <w:r>
        <w:instrText xml:space="preserve"> HYPERLINK "mailto:55553978@163.com" </w:instrText>
      </w:r>
      <w:r>
        <w:fldChar w:fldCharType="separate"/>
      </w:r>
      <w:r>
        <w:rPr>
          <w:rStyle w:val="5"/>
          <w:color w:val="000000"/>
        </w:rPr>
        <w:t>yejiezhaobiao@163.com</w:t>
      </w:r>
      <w:r>
        <w:rPr>
          <w:rStyle w:val="5"/>
          <w:color w:val="000000"/>
        </w:rPr>
        <w:fldChar w:fldCharType="end"/>
      </w:r>
    </w:p>
    <w:p w14:paraId="3B63FB96">
      <w:pPr>
        <w:autoSpaceDE w:val="0"/>
        <w:spacing w:line="420" w:lineRule="exact"/>
        <w:ind w:firstLine="424" w:firstLineChars="202"/>
        <w:rPr>
          <w:rStyle w:val="5"/>
          <w:color w:val="000000"/>
        </w:rPr>
      </w:pPr>
    </w:p>
    <w:p w14:paraId="396AE968">
      <w:pPr>
        <w:autoSpaceDE w:val="0"/>
        <w:spacing w:line="420" w:lineRule="exact"/>
        <w:ind w:firstLine="424" w:firstLineChars="202"/>
        <w:rPr>
          <w:rStyle w:val="5"/>
          <w:color w:val="000000"/>
        </w:rPr>
      </w:pPr>
    </w:p>
    <w:p w14:paraId="5D83F05A">
      <w:pPr>
        <w:autoSpaceDE w:val="0"/>
        <w:spacing w:line="420" w:lineRule="exact"/>
        <w:ind w:firstLine="424" w:firstLineChars="202"/>
        <w:rPr>
          <w:rStyle w:val="5"/>
          <w:color w:val="000000"/>
        </w:rPr>
      </w:pPr>
    </w:p>
    <w:p w14:paraId="1D786732">
      <w:pPr>
        <w:autoSpaceDE w:val="0"/>
        <w:spacing w:line="420" w:lineRule="exact"/>
        <w:ind w:firstLine="424" w:firstLineChars="202"/>
        <w:rPr>
          <w:rStyle w:val="5"/>
          <w:color w:val="000000"/>
        </w:rPr>
      </w:pPr>
    </w:p>
    <w:p w14:paraId="0970254E">
      <w:pPr>
        <w:autoSpaceDE w:val="0"/>
        <w:spacing w:line="420" w:lineRule="exact"/>
        <w:ind w:firstLine="424" w:firstLineChars="202"/>
        <w:rPr>
          <w:rStyle w:val="5"/>
          <w:color w:val="000000"/>
        </w:rPr>
      </w:pPr>
    </w:p>
    <w:p w14:paraId="5399D6DD">
      <w:pPr>
        <w:autoSpaceDE w:val="0"/>
        <w:spacing w:line="420" w:lineRule="exact"/>
        <w:ind w:firstLine="424" w:firstLineChars="202"/>
        <w:rPr>
          <w:rStyle w:val="5"/>
          <w:color w:val="000000"/>
        </w:rPr>
      </w:pPr>
    </w:p>
    <w:p w14:paraId="1633CD37">
      <w:pPr>
        <w:autoSpaceDE w:val="0"/>
        <w:spacing w:line="420" w:lineRule="exact"/>
        <w:ind w:firstLine="424" w:firstLineChars="202"/>
        <w:rPr>
          <w:rStyle w:val="5"/>
          <w:color w:val="000000"/>
        </w:rPr>
      </w:pPr>
    </w:p>
    <w:p w14:paraId="41C50738">
      <w:pPr>
        <w:autoSpaceDE w:val="0"/>
        <w:spacing w:line="420" w:lineRule="exact"/>
        <w:ind w:firstLine="424" w:firstLineChars="202"/>
        <w:rPr>
          <w:rStyle w:val="5"/>
          <w:color w:val="000000"/>
        </w:rPr>
      </w:pPr>
    </w:p>
    <w:p w14:paraId="14FAED19">
      <w:pPr>
        <w:autoSpaceDE w:val="0"/>
        <w:spacing w:line="420" w:lineRule="exact"/>
        <w:ind w:firstLine="424" w:firstLineChars="202"/>
        <w:rPr>
          <w:rStyle w:val="5"/>
          <w:color w:val="000000"/>
        </w:rPr>
      </w:pPr>
    </w:p>
    <w:p w14:paraId="493F23F9">
      <w:pPr>
        <w:autoSpaceDE w:val="0"/>
        <w:spacing w:line="420" w:lineRule="exact"/>
        <w:ind w:firstLine="424" w:firstLineChars="202"/>
        <w:rPr>
          <w:rStyle w:val="5"/>
          <w:color w:val="000000"/>
        </w:rPr>
      </w:pPr>
    </w:p>
    <w:p w14:paraId="10B05195">
      <w:pPr>
        <w:autoSpaceDE w:val="0"/>
        <w:spacing w:line="420" w:lineRule="exact"/>
        <w:ind w:firstLine="424" w:firstLineChars="202"/>
        <w:rPr>
          <w:rStyle w:val="5"/>
          <w:color w:val="000000"/>
        </w:rPr>
      </w:pPr>
    </w:p>
    <w:p w14:paraId="5948E8A0">
      <w:pPr>
        <w:autoSpaceDE w:val="0"/>
        <w:spacing w:line="420" w:lineRule="exact"/>
        <w:ind w:firstLine="424" w:firstLineChars="202"/>
        <w:rPr>
          <w:rStyle w:val="5"/>
          <w:color w:val="000000"/>
        </w:rPr>
      </w:pPr>
    </w:p>
    <w:p w14:paraId="38D22584">
      <w:pPr>
        <w:autoSpaceDE w:val="0"/>
        <w:spacing w:line="420" w:lineRule="exact"/>
        <w:ind w:firstLine="424" w:firstLineChars="202"/>
        <w:rPr>
          <w:rStyle w:val="5"/>
          <w:color w:val="000000"/>
        </w:rPr>
      </w:pPr>
    </w:p>
    <w:p w14:paraId="27A05D03">
      <w:pPr>
        <w:pStyle w:val="2"/>
        <w:jc w:val="center"/>
        <w:rPr>
          <w:rFonts w:hint="default" w:ascii="Times New Roman" w:hAnsi="Times New Roman" w:cs="Times New Roman"/>
          <w:b/>
          <w:bCs/>
          <w:color w:val="auto"/>
          <w:sz w:val="44"/>
          <w:szCs w:val="44"/>
          <w:highlight w:val="none"/>
        </w:rPr>
      </w:pPr>
      <w:r>
        <w:rPr>
          <w:rFonts w:hint="default" w:ascii="Times New Roman" w:hAnsi="Times New Roman" w:cs="Times New Roman"/>
          <w:b/>
          <w:bCs/>
          <w:color w:val="auto"/>
          <w:sz w:val="44"/>
          <w:szCs w:val="44"/>
          <w:highlight w:val="none"/>
        </w:rPr>
        <w:t>评标办法</w:t>
      </w:r>
    </w:p>
    <w:p w14:paraId="2099C05E">
      <w:pPr>
        <w:spacing w:line="380" w:lineRule="exact"/>
        <w:rPr>
          <w:rFonts w:hint="default" w:ascii="Times New Roman" w:hAnsi="Times New Roman" w:eastAsia="宋体" w:cs="Times New Roman"/>
          <w:b/>
          <w:color w:val="auto"/>
          <w:szCs w:val="21"/>
          <w:highlight w:val="none"/>
        </w:rPr>
      </w:pPr>
    </w:p>
    <w:p w14:paraId="15C1D66C">
      <w:pPr>
        <w:spacing w:line="380" w:lineRule="exact"/>
        <w:rPr>
          <w:rFonts w:hint="default" w:ascii="Times New Roman" w:hAnsi="Times New Roman" w:eastAsia="宋体" w:cs="Times New Roman"/>
          <w:b/>
          <w:color w:val="auto"/>
          <w:szCs w:val="21"/>
          <w:highlight w:val="none"/>
        </w:rPr>
      </w:pPr>
    </w:p>
    <w:p w14:paraId="5FF4862F">
      <w:pPr>
        <w:spacing w:line="380" w:lineRule="exact"/>
        <w:rPr>
          <w:rFonts w:hint="default" w:ascii="Times New Roman" w:hAnsi="Times New Roman" w:eastAsia="宋体" w:cs="Times New Roman"/>
          <w:b/>
          <w:color w:val="auto"/>
          <w:szCs w:val="21"/>
          <w:highlight w:val="none"/>
        </w:rPr>
      </w:pPr>
    </w:p>
    <w:p w14:paraId="6A5CA63B">
      <w:pPr>
        <w:spacing w:line="380" w:lineRule="exact"/>
        <w:rPr>
          <w:rFonts w:hint="default" w:ascii="Times New Roman" w:hAnsi="Times New Roman" w:eastAsia="宋体" w:cs="Times New Roman"/>
          <w:b/>
          <w:color w:val="auto"/>
          <w:szCs w:val="21"/>
          <w:highlight w:val="none"/>
        </w:rPr>
      </w:pPr>
    </w:p>
    <w:p w14:paraId="1440EC9B">
      <w:pPr>
        <w:spacing w:line="380" w:lineRule="exact"/>
        <w:rPr>
          <w:rFonts w:hint="default" w:ascii="Times New Roman" w:hAnsi="Times New Roman" w:eastAsia="宋体" w:cs="Times New Roman"/>
          <w:b/>
          <w:color w:val="auto"/>
          <w:szCs w:val="21"/>
          <w:highlight w:val="none"/>
        </w:rPr>
      </w:pPr>
    </w:p>
    <w:p w14:paraId="3F8F975E">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黑体" w:hAnsi="黑体" w:eastAsia="黑体" w:cs="黑体"/>
          <w:b/>
          <w:color w:val="auto"/>
          <w:sz w:val="30"/>
          <w:szCs w:val="30"/>
          <w:highlight w:val="none"/>
        </w:rPr>
      </w:pPr>
      <w:r>
        <w:rPr>
          <w:rFonts w:hint="default" w:ascii="Times New Roman" w:hAnsi="Times New Roman" w:eastAsia="宋体" w:cs="Times New Roman"/>
          <w:b/>
          <w:color w:val="auto"/>
          <w:szCs w:val="21"/>
          <w:highlight w:val="none"/>
        </w:rPr>
        <w:br w:type="page"/>
      </w:r>
      <w:r>
        <w:rPr>
          <w:rFonts w:hint="eastAsia" w:ascii="黑体" w:hAnsi="黑体" w:eastAsia="黑体" w:cs="黑体"/>
          <w:b w:val="0"/>
          <w:bCs/>
          <w:color w:val="auto"/>
          <w:sz w:val="30"/>
          <w:szCs w:val="30"/>
          <w:highlight w:val="none"/>
        </w:rPr>
        <w:t>第三章 评标办法（技术评分最低标价法）</w:t>
      </w:r>
    </w:p>
    <w:p w14:paraId="4925F050">
      <w:pPr>
        <w:spacing w:after="120" w:afterLines="50" w:line="400" w:lineRule="exact"/>
        <w:jc w:val="center"/>
        <w:rPr>
          <w:rFonts w:hint="eastAsia" w:ascii="黑体" w:hAnsi="黑体" w:eastAsia="黑体" w:cs="黑体"/>
          <w:color w:val="auto"/>
          <w:sz w:val="24"/>
          <w:highlight w:val="none"/>
        </w:rPr>
      </w:pPr>
      <w:bookmarkStart w:id="0" w:name="第三部分"/>
      <w:bookmarkEnd w:id="0"/>
      <w:r>
        <w:rPr>
          <w:rFonts w:hint="eastAsia" w:ascii="黑体" w:hAnsi="黑体" w:eastAsia="黑体" w:cs="黑体"/>
          <w:color w:val="auto"/>
          <w:sz w:val="24"/>
          <w:highlight w:val="none"/>
        </w:rPr>
        <w:t>评标办法前附表</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918"/>
        <w:gridCol w:w="1730"/>
        <w:gridCol w:w="5818"/>
      </w:tblGrid>
      <w:tr w14:paraId="4D2E4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29" w:type="dxa"/>
            <w:gridSpan w:val="2"/>
            <w:tcBorders>
              <w:top w:val="single" w:color="auto" w:sz="4" w:space="0"/>
              <w:left w:val="single" w:color="auto" w:sz="4" w:space="0"/>
              <w:bottom w:val="single" w:color="auto" w:sz="4" w:space="0"/>
              <w:right w:val="single" w:color="auto" w:sz="4" w:space="0"/>
            </w:tcBorders>
            <w:noWrap w:val="0"/>
            <w:vAlign w:val="center"/>
          </w:tcPr>
          <w:p w14:paraId="424868D8">
            <w:pPr>
              <w:spacing w:line="360" w:lineRule="exact"/>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w:t>
            </w:r>
          </w:p>
        </w:tc>
        <w:tc>
          <w:tcPr>
            <w:tcW w:w="7548" w:type="dxa"/>
            <w:gridSpan w:val="2"/>
            <w:tcBorders>
              <w:top w:val="single" w:color="auto" w:sz="4" w:space="0"/>
              <w:left w:val="single" w:color="auto" w:sz="4" w:space="0"/>
              <w:bottom w:val="single" w:color="auto" w:sz="4" w:space="0"/>
              <w:right w:val="single" w:color="auto" w:sz="4" w:space="0"/>
            </w:tcBorders>
            <w:noWrap w:val="0"/>
            <w:vAlign w:val="center"/>
          </w:tcPr>
          <w:p w14:paraId="51B78CAC">
            <w:pPr>
              <w:spacing w:line="400" w:lineRule="exact"/>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评审因素与评审标准</w:t>
            </w:r>
          </w:p>
        </w:tc>
      </w:tr>
      <w:tr w14:paraId="535E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trPr>
        <w:tc>
          <w:tcPr>
            <w:tcW w:w="811" w:type="dxa"/>
            <w:tcBorders>
              <w:top w:val="single" w:color="auto" w:sz="4" w:space="0"/>
              <w:left w:val="single" w:color="auto" w:sz="4" w:space="0"/>
              <w:bottom w:val="single" w:color="auto" w:sz="4" w:space="0"/>
              <w:right w:val="single" w:color="auto" w:sz="4" w:space="0"/>
            </w:tcBorders>
            <w:noWrap w:val="0"/>
            <w:vAlign w:val="center"/>
          </w:tcPr>
          <w:p w14:paraId="597B342F">
            <w:pPr>
              <w:keepNext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75247E8A">
            <w:pPr>
              <w:keepNext w:val="0"/>
              <w:pageBreakBefore w:val="0"/>
              <w:widowControl w:val="0"/>
              <w:kinsoku/>
              <w:wordWrap/>
              <w:overflowPunct/>
              <w:topLinePunct w:val="0"/>
              <w:autoSpaceDE/>
              <w:autoSpaceDN/>
              <w:bidi w:val="0"/>
              <w:adjustRightInd/>
              <w:snapToGrid w:val="0"/>
              <w:spacing w:line="400" w:lineRule="exact"/>
              <w:ind w:left="113" w:right="113"/>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评标</w:t>
            </w:r>
          </w:p>
          <w:p w14:paraId="583106DA">
            <w:pPr>
              <w:keepNext w:val="0"/>
              <w:pageBreakBefore w:val="0"/>
              <w:widowControl w:val="0"/>
              <w:kinsoku/>
              <w:wordWrap/>
              <w:overflowPunct/>
              <w:topLinePunct w:val="0"/>
              <w:autoSpaceDE/>
              <w:autoSpaceDN/>
              <w:bidi w:val="0"/>
              <w:adjustRightInd/>
              <w:snapToGrid w:val="0"/>
              <w:spacing w:line="400" w:lineRule="exact"/>
              <w:ind w:left="113" w:right="113"/>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方法</w:t>
            </w:r>
          </w:p>
        </w:tc>
        <w:tc>
          <w:tcPr>
            <w:tcW w:w="7548" w:type="dxa"/>
            <w:gridSpan w:val="2"/>
            <w:tcBorders>
              <w:top w:val="single" w:color="auto" w:sz="4" w:space="0"/>
              <w:left w:val="single" w:color="auto" w:sz="4" w:space="0"/>
              <w:bottom w:val="single" w:color="auto" w:sz="4" w:space="0"/>
              <w:right w:val="single" w:color="auto" w:sz="4" w:space="0"/>
            </w:tcBorders>
            <w:noWrap w:val="0"/>
            <w:vAlign w:val="center"/>
          </w:tcPr>
          <w:p w14:paraId="5FEB0AC9">
            <w:pPr>
              <w:keepNext w:val="0"/>
              <w:keepLines/>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评标价相等时，评标委员会依次按照以下优先顺序推荐中标候选人：</w:t>
            </w:r>
          </w:p>
          <w:p w14:paraId="50109866">
            <w:pPr>
              <w:keepNext w:val="0"/>
              <w:keepLines/>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（1）202</w:t>
            </w:r>
            <w:r>
              <w:rPr>
                <w:rFonts w:hint="eastAsia" w:ascii="Times New Roman" w:hAnsi="Times New Roman" w:eastAsia="宋体" w:cs="Times New Roman"/>
                <w:color w:val="auto"/>
                <w:sz w:val="21"/>
                <w:highlight w:val="none"/>
                <w:lang w:val="en-US" w:eastAsia="zh-CN"/>
              </w:rPr>
              <w:t>2</w:t>
            </w:r>
            <w:r>
              <w:rPr>
                <w:rFonts w:hint="default" w:ascii="Times New Roman" w:hAnsi="Times New Roman" w:eastAsia="宋体" w:cs="Times New Roman"/>
                <w:color w:val="auto"/>
                <w:sz w:val="21"/>
                <w:highlight w:val="none"/>
              </w:rPr>
              <w:t>年被黑龙江省交通运输厅或20</w:t>
            </w:r>
            <w:r>
              <w:rPr>
                <w:rFonts w:hint="default" w:ascii="Times New Roman" w:hAnsi="Times New Roman" w:eastAsia="宋体" w:cs="Times New Roman"/>
                <w:color w:val="auto"/>
                <w:sz w:val="21"/>
                <w:highlight w:val="none"/>
                <w:lang w:val="en-US" w:eastAsia="zh-CN"/>
              </w:rPr>
              <w:t>2</w:t>
            </w:r>
            <w:r>
              <w:rPr>
                <w:rFonts w:hint="eastAsia" w:ascii="Times New Roman" w:hAnsi="Times New Roman" w:eastAsia="宋体" w:cs="Times New Roman"/>
                <w:color w:val="auto"/>
                <w:sz w:val="21"/>
                <w:highlight w:val="none"/>
                <w:lang w:val="en-US" w:eastAsia="zh-CN"/>
              </w:rPr>
              <w:t>2</w:t>
            </w:r>
            <w:r>
              <w:rPr>
                <w:rFonts w:hint="default" w:ascii="Times New Roman" w:hAnsi="Times New Roman" w:eastAsia="宋体" w:cs="Times New Roman"/>
                <w:color w:val="auto"/>
                <w:sz w:val="21"/>
                <w:highlight w:val="none"/>
              </w:rPr>
              <w:t>年</w:t>
            </w:r>
            <w:r>
              <w:rPr>
                <w:rFonts w:hint="default" w:ascii="Times New Roman" w:hAnsi="Times New Roman" w:eastAsia="宋体" w:cs="Times New Roman"/>
                <w:color w:val="auto"/>
                <w:sz w:val="21"/>
                <w:highlight w:val="none"/>
                <w:lang w:val="en-US" w:eastAsia="zh-CN"/>
              </w:rPr>
              <w:t>被</w:t>
            </w:r>
            <w:r>
              <w:rPr>
                <w:rFonts w:hint="default" w:ascii="Times New Roman" w:hAnsi="Times New Roman" w:eastAsia="宋体" w:cs="Times New Roman"/>
                <w:color w:val="auto"/>
                <w:sz w:val="21"/>
                <w:highlight w:val="none"/>
              </w:rPr>
              <w:t>交通运输部评为较高信用等级的投标人优先（如果省级和部级评价等级不一致，以最高的信用评价等级认定）如投标人为联合体，联合体的信用等级认定以联合体成员中承担公路工程施工且信用评价等级较低的为准；</w:t>
            </w:r>
          </w:p>
          <w:p w14:paraId="0C7FD9F8">
            <w:pPr>
              <w:keepNext w:val="0"/>
              <w:keepLines/>
              <w:pageBreakBefore w:val="0"/>
              <w:widowControl w:val="0"/>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（2）商务和技术得分较高的投标人优先。</w:t>
            </w:r>
          </w:p>
        </w:tc>
      </w:tr>
      <w:tr w14:paraId="2C8F2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6" w:hRule="atLeast"/>
        </w:trPr>
        <w:tc>
          <w:tcPr>
            <w:tcW w:w="8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0AFEFC">
            <w:pPr>
              <w:keepNext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2.1.1</w:t>
            </w:r>
          </w:p>
          <w:p w14:paraId="18377384">
            <w:pPr>
              <w:keepNext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2.1.3</w:t>
            </w:r>
          </w:p>
        </w:tc>
        <w:tc>
          <w:tcPr>
            <w:tcW w:w="9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9A060C">
            <w:pPr>
              <w:keepNext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形式评审与响应性评审标准</w:t>
            </w:r>
          </w:p>
        </w:tc>
        <w:tc>
          <w:tcPr>
            <w:tcW w:w="754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3919CC7B">
            <w:pPr>
              <w:keepNext w:val="0"/>
              <w:pageBreakBefore w:val="0"/>
              <w:widowControl w:val="0"/>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b/>
                <w:bCs/>
                <w:color w:val="auto"/>
                <w:sz w:val="21"/>
                <w:highlight w:val="none"/>
              </w:rPr>
            </w:pPr>
            <w:r>
              <w:rPr>
                <w:rFonts w:hint="default" w:ascii="Times New Roman" w:hAnsi="Times New Roman" w:eastAsia="宋体" w:cs="Times New Roman"/>
                <w:b/>
                <w:bCs/>
                <w:color w:val="auto"/>
                <w:sz w:val="21"/>
                <w:highlight w:val="none"/>
              </w:rPr>
              <w:t>第一个信封（商务及技术文件）评审标准：</w:t>
            </w:r>
          </w:p>
          <w:p w14:paraId="5090E10A">
            <w:pPr>
              <w:keepNext w:val="0"/>
              <w:keepLines/>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pacing w:val="0"/>
                <w:sz w:val="21"/>
                <w:highlight w:val="none"/>
              </w:rPr>
            </w:pPr>
            <w:r>
              <w:rPr>
                <w:rFonts w:hint="default" w:ascii="Times New Roman" w:hAnsi="Times New Roman" w:eastAsia="宋体" w:cs="Times New Roman"/>
                <w:color w:val="auto"/>
                <w:spacing w:val="0"/>
                <w:sz w:val="21"/>
                <w:highlight w:val="none"/>
              </w:rPr>
              <w:t>(1)投标文件按照招标文件规定的格式、内容填写，字迹清晰可辨：</w:t>
            </w:r>
          </w:p>
          <w:p w14:paraId="227A8D22">
            <w:pPr>
              <w:keepNext w:val="0"/>
              <w:keepLines/>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pacing w:val="0"/>
                <w:sz w:val="21"/>
                <w:highlight w:val="none"/>
              </w:rPr>
            </w:pPr>
            <w:r>
              <w:rPr>
                <w:rFonts w:hint="default" w:ascii="Times New Roman" w:hAnsi="Times New Roman" w:eastAsia="宋体" w:cs="Times New Roman"/>
                <w:color w:val="auto"/>
                <w:spacing w:val="0"/>
                <w:sz w:val="21"/>
                <w:highlight w:val="none"/>
              </w:rPr>
              <w:t>a.投标函按招标文件规定填报了项目名称、标段号、补遗书编号（如有）、工期、工程质量及安全目标；</w:t>
            </w:r>
          </w:p>
          <w:p w14:paraId="2826D1A8">
            <w:pPr>
              <w:keepNext w:val="0"/>
              <w:keepLines/>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pacing w:val="0"/>
                <w:sz w:val="21"/>
                <w:highlight w:val="none"/>
              </w:rPr>
            </w:pPr>
            <w:r>
              <w:rPr>
                <w:rFonts w:hint="default" w:ascii="Times New Roman" w:hAnsi="Times New Roman" w:eastAsia="宋体" w:cs="Times New Roman"/>
                <w:color w:val="auto"/>
                <w:spacing w:val="0"/>
                <w:sz w:val="21"/>
                <w:highlight w:val="none"/>
              </w:rPr>
              <w:t>b.投标函附录的所有数据均符合招标文件规定；</w:t>
            </w:r>
          </w:p>
          <w:p w14:paraId="3A2B39D5">
            <w:pPr>
              <w:keepNext w:val="0"/>
              <w:keepLines/>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pacing w:val="0"/>
                <w:sz w:val="21"/>
                <w:highlight w:val="none"/>
              </w:rPr>
            </w:pPr>
            <w:r>
              <w:rPr>
                <w:rFonts w:hint="default" w:ascii="Times New Roman" w:hAnsi="Times New Roman" w:eastAsia="宋体" w:cs="Times New Roman"/>
                <w:color w:val="auto"/>
                <w:spacing w:val="0"/>
                <w:sz w:val="21"/>
                <w:highlight w:val="none"/>
              </w:rPr>
              <w:t>c.投标文件组成齐全完整，内容均按规定填写。</w:t>
            </w:r>
          </w:p>
          <w:p w14:paraId="3D3B25DC">
            <w:pPr>
              <w:keepNext w:val="0"/>
              <w:keepLines/>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pacing w:val="0"/>
                <w:sz w:val="21"/>
                <w:highlight w:val="none"/>
              </w:rPr>
            </w:pPr>
            <w:r>
              <w:rPr>
                <w:rFonts w:hint="default" w:ascii="Times New Roman" w:hAnsi="Times New Roman" w:eastAsia="宋体" w:cs="Times New Roman"/>
                <w:color w:val="auto"/>
                <w:spacing w:val="0"/>
                <w:sz w:val="21"/>
                <w:highlight w:val="none"/>
              </w:rPr>
              <w:t>(2)投标文件上法定代表人或其委托代理人的签字、投标人的单位章盖章齐全，符合招标文件规定。</w:t>
            </w:r>
          </w:p>
          <w:p w14:paraId="09FAB23E">
            <w:pPr>
              <w:keepNext w:val="0"/>
              <w:keepLines/>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pacing w:val="0"/>
                <w:sz w:val="21"/>
                <w:highlight w:val="none"/>
              </w:rPr>
            </w:pPr>
            <w:r>
              <w:rPr>
                <w:rFonts w:hint="default" w:ascii="Times New Roman" w:hAnsi="Times New Roman" w:eastAsia="宋体" w:cs="Times New Roman"/>
                <w:color w:val="auto"/>
                <w:spacing w:val="0"/>
                <w:sz w:val="21"/>
                <w:highlight w:val="none"/>
              </w:rPr>
              <w:t>(3)投标人按照招标文件的规定提供了投标保证金：</w:t>
            </w:r>
          </w:p>
          <w:p w14:paraId="2C54208E">
            <w:pPr>
              <w:keepNext w:val="0"/>
              <w:keepLines/>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pacing w:val="0"/>
                <w:sz w:val="21"/>
                <w:highlight w:val="none"/>
              </w:rPr>
            </w:pPr>
            <w:r>
              <w:rPr>
                <w:rFonts w:hint="default" w:ascii="Times New Roman" w:hAnsi="Times New Roman" w:eastAsia="宋体" w:cs="Times New Roman"/>
                <w:color w:val="auto"/>
                <w:spacing w:val="0"/>
                <w:sz w:val="21"/>
                <w:highlight w:val="none"/>
              </w:rPr>
              <w:t>a.投标保证金金额符合招标文件规定的金额，且投标保证金有效期不少于投标有效期；</w:t>
            </w:r>
          </w:p>
          <w:p w14:paraId="78A6F196">
            <w:pPr>
              <w:keepNext w:val="0"/>
              <w:keepLines/>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pacing w:val="0"/>
                <w:sz w:val="21"/>
                <w:highlight w:val="none"/>
              </w:rPr>
            </w:pPr>
            <w:r>
              <w:rPr>
                <w:rFonts w:hint="default" w:ascii="Times New Roman" w:hAnsi="Times New Roman" w:eastAsia="宋体" w:cs="Times New Roman"/>
                <w:color w:val="auto"/>
                <w:spacing w:val="0"/>
                <w:sz w:val="21"/>
                <w:highlight w:val="none"/>
              </w:rPr>
              <w:t>b.若投标保证金采用网银转账、银行电汇形式递交，投标人在投标保证金递交截止时间之前，将投标保证金由投标人的基本账户转入黑龙江</w:t>
            </w:r>
            <w:r>
              <w:rPr>
                <w:rFonts w:hint="default" w:ascii="Times New Roman" w:hAnsi="Times New Roman" w:eastAsia="宋体" w:cs="Times New Roman"/>
                <w:color w:val="auto"/>
                <w:spacing w:val="0"/>
                <w:sz w:val="21"/>
                <w:highlight w:val="none"/>
                <w:lang w:val="en-US" w:eastAsia="zh-CN"/>
              </w:rPr>
              <w:t>省</w:t>
            </w:r>
            <w:r>
              <w:rPr>
                <w:rFonts w:hint="default" w:ascii="Times New Roman" w:hAnsi="Times New Roman" w:eastAsia="宋体" w:cs="Times New Roman"/>
                <w:color w:val="auto"/>
                <w:spacing w:val="0"/>
                <w:sz w:val="21"/>
                <w:highlight w:val="none"/>
              </w:rPr>
              <w:t>公共资源交易平台对接的银行虚拟子账户。</w:t>
            </w:r>
          </w:p>
          <w:p w14:paraId="1E066BC1">
            <w:pPr>
              <w:keepNext w:val="0"/>
              <w:keepLines/>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pacing w:val="0"/>
                <w:sz w:val="21"/>
                <w:highlight w:val="none"/>
              </w:rPr>
            </w:pPr>
            <w:r>
              <w:rPr>
                <w:rFonts w:hint="default" w:ascii="Times New Roman" w:hAnsi="Times New Roman" w:eastAsia="宋体" w:cs="Times New Roman"/>
                <w:color w:val="auto"/>
                <w:spacing w:val="0"/>
                <w:sz w:val="21"/>
                <w:highlight w:val="none"/>
              </w:rPr>
              <w:t>c.若投标保证金采用电子保函形式递交，投标人按</w:t>
            </w:r>
            <w:r>
              <w:rPr>
                <w:rFonts w:hint="default" w:ascii="Times New Roman" w:hAnsi="Times New Roman" w:eastAsia="宋体" w:cs="Times New Roman"/>
                <w:color w:val="auto"/>
                <w:spacing w:val="0"/>
                <w:sz w:val="21"/>
                <w:highlight w:val="none"/>
                <w:lang w:eastAsia="zh-CN"/>
              </w:rPr>
              <w:t>黑龙江省公共资源交易网</w:t>
            </w:r>
            <w:r>
              <w:rPr>
                <w:rFonts w:hint="default" w:ascii="Times New Roman" w:hAnsi="Times New Roman" w:eastAsia="宋体" w:cs="Times New Roman"/>
                <w:color w:val="auto"/>
                <w:spacing w:val="0"/>
                <w:sz w:val="21"/>
                <w:highlight w:val="none"/>
              </w:rPr>
              <w:t>电子保函相关规定递交。</w:t>
            </w:r>
          </w:p>
          <w:p w14:paraId="562B5E67">
            <w:pPr>
              <w:keepNext w:val="0"/>
              <w:keepLines/>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pacing w:val="0"/>
                <w:sz w:val="21"/>
                <w:highlight w:val="none"/>
              </w:rPr>
            </w:pPr>
            <w:r>
              <w:rPr>
                <w:rFonts w:hint="default" w:ascii="Times New Roman" w:hAnsi="Times New Roman" w:eastAsia="宋体" w:cs="Times New Roman"/>
                <w:color w:val="auto"/>
                <w:spacing w:val="0"/>
                <w:sz w:val="21"/>
                <w:highlight w:val="none"/>
              </w:rPr>
              <w:t>(4)投标人法定代表人授权委托代理人签署投标文件的，须提交授权委托书，且授权人和被授权人均在授权委托书上签名，未使用印章、签名章或其他电子制版签名代替。</w:t>
            </w:r>
          </w:p>
          <w:p w14:paraId="42E06215">
            <w:pPr>
              <w:keepNext w:val="0"/>
              <w:keepLines/>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pacing w:val="0"/>
                <w:sz w:val="21"/>
                <w:highlight w:val="none"/>
              </w:rPr>
            </w:pPr>
            <w:r>
              <w:rPr>
                <w:rFonts w:hint="default" w:ascii="Times New Roman" w:hAnsi="Times New Roman" w:eastAsia="宋体" w:cs="Times New Roman"/>
                <w:color w:val="auto"/>
                <w:spacing w:val="0"/>
                <w:sz w:val="21"/>
                <w:highlight w:val="none"/>
              </w:rPr>
              <w:t>(5)投标人法定代表人亲自签署投标文件的，提供了法定代表人身份证明，且法定代表人在法定代表人身份证明上签名，未使用印章、签名章或其他电子制版签名代替。</w:t>
            </w:r>
          </w:p>
          <w:p w14:paraId="3AFDED10">
            <w:pPr>
              <w:keepNext w:val="0"/>
              <w:keepLines/>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pacing w:val="0"/>
                <w:sz w:val="21"/>
                <w:highlight w:val="none"/>
              </w:rPr>
            </w:pPr>
            <w:r>
              <w:rPr>
                <w:rFonts w:hint="default" w:ascii="Times New Roman" w:hAnsi="Times New Roman" w:eastAsia="宋体" w:cs="Times New Roman"/>
                <w:color w:val="auto"/>
                <w:spacing w:val="0"/>
                <w:sz w:val="21"/>
                <w:highlight w:val="none"/>
              </w:rPr>
              <w:t>(6)投标人以联合体形式投标时，联合体满足招标文件的要求：</w:t>
            </w:r>
          </w:p>
          <w:p w14:paraId="36DE23DE">
            <w:pPr>
              <w:keepNext w:val="0"/>
              <w:keepLines/>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pacing w:val="0"/>
                <w:sz w:val="21"/>
                <w:highlight w:val="none"/>
              </w:rPr>
            </w:pPr>
            <w:r>
              <w:rPr>
                <w:rFonts w:hint="default" w:ascii="Times New Roman" w:hAnsi="Times New Roman" w:eastAsia="宋体" w:cs="Times New Roman"/>
                <w:color w:val="auto"/>
                <w:spacing w:val="0"/>
                <w:sz w:val="21"/>
                <w:highlight w:val="none"/>
              </w:rPr>
              <w:t>投标人按照招标文件提供的格式签订了联合体协议书，明确各方承担连带责任，并明确了联合体牵头人。</w:t>
            </w:r>
          </w:p>
          <w:p w14:paraId="0A175337">
            <w:pPr>
              <w:keepNext w:val="0"/>
              <w:keepLines/>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pacing w:val="0"/>
                <w:sz w:val="21"/>
                <w:highlight w:val="none"/>
              </w:rPr>
            </w:pPr>
            <w:r>
              <w:rPr>
                <w:rFonts w:hint="default" w:ascii="Times New Roman" w:hAnsi="Times New Roman" w:eastAsia="宋体" w:cs="Times New Roman"/>
                <w:color w:val="auto"/>
                <w:spacing w:val="0"/>
                <w:sz w:val="21"/>
                <w:highlight w:val="none"/>
              </w:rPr>
              <w:t>(7)同一投标人未提交两个以上不同的投标文件。</w:t>
            </w:r>
          </w:p>
          <w:p w14:paraId="75995FC7">
            <w:pPr>
              <w:keepNext w:val="0"/>
              <w:keepLines/>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pacing w:val="0"/>
                <w:sz w:val="21"/>
                <w:highlight w:val="none"/>
              </w:rPr>
            </w:pPr>
            <w:r>
              <w:rPr>
                <w:rFonts w:hint="default" w:ascii="Times New Roman" w:hAnsi="Times New Roman" w:eastAsia="宋体" w:cs="Times New Roman"/>
                <w:color w:val="auto"/>
                <w:spacing w:val="0"/>
                <w:sz w:val="21"/>
                <w:highlight w:val="none"/>
              </w:rPr>
              <w:t>(8)投标文件中未出现有关投标报价的内容。</w:t>
            </w:r>
          </w:p>
          <w:p w14:paraId="7788ED1E">
            <w:pPr>
              <w:keepNext w:val="0"/>
              <w:keepLines/>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pacing w:val="0"/>
                <w:sz w:val="21"/>
                <w:highlight w:val="none"/>
              </w:rPr>
            </w:pPr>
            <w:r>
              <w:rPr>
                <w:rFonts w:hint="default" w:ascii="Times New Roman" w:hAnsi="Times New Roman" w:eastAsia="宋体" w:cs="Times New Roman"/>
                <w:color w:val="auto"/>
                <w:spacing w:val="0"/>
                <w:sz w:val="21"/>
                <w:highlight w:val="none"/>
              </w:rPr>
              <w:t>(9)投标文件载明的招标项目完成期限未超过招标文件规定的时限。</w:t>
            </w:r>
          </w:p>
          <w:p w14:paraId="7005ECED">
            <w:pPr>
              <w:keepNext w:val="0"/>
              <w:keepLines/>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pacing w:val="0"/>
                <w:sz w:val="21"/>
                <w:highlight w:val="none"/>
              </w:rPr>
            </w:pPr>
            <w:r>
              <w:rPr>
                <w:rFonts w:hint="default" w:ascii="Times New Roman" w:hAnsi="Times New Roman" w:eastAsia="宋体" w:cs="Times New Roman"/>
                <w:color w:val="auto"/>
                <w:spacing w:val="0"/>
                <w:sz w:val="21"/>
                <w:highlight w:val="none"/>
              </w:rPr>
              <w:t>(10)投标文件对招标文件的实质性要求和条件作出响应。</w:t>
            </w:r>
          </w:p>
          <w:p w14:paraId="6E88669F">
            <w:pPr>
              <w:keepNext w:val="0"/>
              <w:keepLines/>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pacing w:val="0"/>
                <w:sz w:val="21"/>
                <w:highlight w:val="none"/>
              </w:rPr>
            </w:pPr>
            <w:r>
              <w:rPr>
                <w:rFonts w:hint="default" w:ascii="Times New Roman" w:hAnsi="Times New Roman" w:eastAsia="宋体" w:cs="Times New Roman"/>
                <w:color w:val="auto"/>
                <w:spacing w:val="0"/>
                <w:sz w:val="21"/>
                <w:highlight w:val="none"/>
              </w:rPr>
              <w:t>(11)权利义务符合招标文件规定：</w:t>
            </w:r>
          </w:p>
          <w:p w14:paraId="58049783">
            <w:pPr>
              <w:keepNext w:val="0"/>
              <w:keepLines/>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pacing w:val="0"/>
                <w:sz w:val="21"/>
                <w:highlight w:val="none"/>
              </w:rPr>
            </w:pPr>
            <w:r>
              <w:rPr>
                <w:rFonts w:hint="default" w:ascii="Times New Roman" w:hAnsi="Times New Roman" w:eastAsia="宋体" w:cs="Times New Roman"/>
                <w:color w:val="auto"/>
                <w:spacing w:val="0"/>
                <w:sz w:val="21"/>
                <w:highlight w:val="none"/>
              </w:rPr>
              <w:t>a.投标人应接受招标文件规定的风险划分原则，未提出新的风险划分办法；</w:t>
            </w:r>
          </w:p>
          <w:p w14:paraId="50BDCD1C">
            <w:pPr>
              <w:keepNext w:val="0"/>
              <w:keepLines/>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pacing w:val="0"/>
                <w:sz w:val="21"/>
                <w:highlight w:val="none"/>
              </w:rPr>
            </w:pPr>
            <w:r>
              <w:rPr>
                <w:rFonts w:hint="default" w:ascii="Times New Roman" w:hAnsi="Times New Roman" w:eastAsia="宋体" w:cs="Times New Roman"/>
                <w:color w:val="auto"/>
                <w:spacing w:val="0"/>
                <w:sz w:val="21"/>
                <w:highlight w:val="none"/>
              </w:rPr>
              <w:t>b.投标人未增加发包人责任范围，或减少投标人义务；</w:t>
            </w:r>
          </w:p>
          <w:p w14:paraId="1160990D">
            <w:pPr>
              <w:keepNext w:val="0"/>
              <w:keepLines/>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pacing w:val="0"/>
                <w:sz w:val="21"/>
                <w:highlight w:val="none"/>
              </w:rPr>
            </w:pPr>
            <w:r>
              <w:rPr>
                <w:rFonts w:hint="default" w:ascii="Times New Roman" w:hAnsi="Times New Roman" w:eastAsia="宋体" w:cs="Times New Roman"/>
                <w:color w:val="auto"/>
                <w:spacing w:val="0"/>
                <w:sz w:val="21"/>
                <w:highlight w:val="none"/>
              </w:rPr>
              <w:t>c.投标人未提出不同的工程验收、计量、支付办法；</w:t>
            </w:r>
          </w:p>
          <w:p w14:paraId="28AE1068">
            <w:pPr>
              <w:keepNext w:val="0"/>
              <w:keepLines/>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pacing w:val="0"/>
                <w:sz w:val="21"/>
                <w:highlight w:val="none"/>
              </w:rPr>
            </w:pPr>
            <w:r>
              <w:rPr>
                <w:rFonts w:hint="default" w:ascii="Times New Roman" w:hAnsi="Times New Roman" w:eastAsia="宋体" w:cs="Times New Roman"/>
                <w:color w:val="auto"/>
                <w:spacing w:val="0"/>
                <w:sz w:val="21"/>
                <w:highlight w:val="none"/>
              </w:rPr>
              <w:t xml:space="preserve">d.投标人对合同纠纷、事故处理办法未提出异议； </w:t>
            </w:r>
          </w:p>
          <w:p w14:paraId="06725617">
            <w:pPr>
              <w:keepNext w:val="0"/>
              <w:keepLines/>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pacing w:val="0"/>
                <w:sz w:val="21"/>
                <w:highlight w:val="none"/>
              </w:rPr>
            </w:pPr>
            <w:r>
              <w:rPr>
                <w:rFonts w:hint="default" w:ascii="Times New Roman" w:hAnsi="Times New Roman" w:eastAsia="宋体" w:cs="Times New Roman"/>
                <w:color w:val="auto"/>
                <w:spacing w:val="0"/>
                <w:sz w:val="21"/>
                <w:highlight w:val="none"/>
              </w:rPr>
              <w:t>e.投标人在投标活动中无欺诈行为；</w:t>
            </w:r>
          </w:p>
          <w:p w14:paraId="2811D567">
            <w:pPr>
              <w:keepNext w:val="0"/>
              <w:keepLines/>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pacing w:val="0"/>
                <w:sz w:val="21"/>
                <w:highlight w:val="none"/>
              </w:rPr>
              <w:t>(1</w:t>
            </w:r>
            <w:r>
              <w:rPr>
                <w:rFonts w:hint="default" w:ascii="Times New Roman" w:hAnsi="Times New Roman" w:eastAsia="宋体" w:cs="Times New Roman"/>
                <w:color w:val="auto"/>
                <w:spacing w:val="0"/>
                <w:sz w:val="21"/>
                <w:highlight w:val="none"/>
                <w:lang w:val="en-US" w:eastAsia="zh-CN"/>
              </w:rPr>
              <w:t>2</w:t>
            </w:r>
            <w:r>
              <w:rPr>
                <w:rFonts w:hint="default" w:ascii="Times New Roman" w:hAnsi="Times New Roman" w:eastAsia="宋体" w:cs="Times New Roman"/>
                <w:color w:val="auto"/>
                <w:spacing w:val="0"/>
                <w:sz w:val="21"/>
                <w:highlight w:val="none"/>
              </w:rPr>
              <w:t>)不存在违反法律、法规的其他情形。</w:t>
            </w:r>
          </w:p>
        </w:tc>
      </w:tr>
      <w:tr w14:paraId="3BEF4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4" w:hRule="atLeast"/>
        </w:trPr>
        <w:tc>
          <w:tcPr>
            <w:tcW w:w="8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3A6BE0">
            <w:pPr>
              <w:keepNext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2.1.1</w:t>
            </w:r>
          </w:p>
          <w:p w14:paraId="0533EB52">
            <w:pPr>
              <w:keepNext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2.1.3</w:t>
            </w:r>
          </w:p>
        </w:tc>
        <w:tc>
          <w:tcPr>
            <w:tcW w:w="9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553C63">
            <w:pPr>
              <w:keepNext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形式评审与响应性评审标准</w:t>
            </w:r>
          </w:p>
        </w:tc>
        <w:tc>
          <w:tcPr>
            <w:tcW w:w="754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2DAA939A">
            <w:pPr>
              <w:keepNext w:val="0"/>
              <w:pageBreakBefore w:val="0"/>
              <w:widowControl w:val="0"/>
              <w:kinsoku/>
              <w:wordWrap/>
              <w:overflowPunct/>
              <w:topLinePunct w:val="0"/>
              <w:autoSpaceDE/>
              <w:autoSpaceDN/>
              <w:bidi w:val="0"/>
              <w:adjustRightInd/>
              <w:snapToGrid/>
              <w:spacing w:line="406" w:lineRule="exact"/>
              <w:jc w:val="left"/>
              <w:textAlignment w:val="auto"/>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第二个信封（报价文件）评审标准：</w:t>
            </w:r>
          </w:p>
          <w:p w14:paraId="77CA5D83">
            <w:pPr>
              <w:keepNext w:val="0"/>
              <w:keepLines/>
              <w:pageBreakBefore w:val="0"/>
              <w:widowControl w:val="0"/>
              <w:kinsoku/>
              <w:wordWrap/>
              <w:overflowPunct/>
              <w:topLinePunct w:val="0"/>
              <w:autoSpaceDE/>
              <w:autoSpaceDN/>
              <w:bidi w:val="0"/>
              <w:adjustRightInd/>
              <w:snapToGrid/>
              <w:spacing w:line="406" w:lineRule="exact"/>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(1)投标文件按照招标文件规定的格式、内容填写，字迹清晰可辨；</w:t>
            </w:r>
          </w:p>
          <w:p w14:paraId="146D554C">
            <w:pPr>
              <w:keepNext w:val="0"/>
              <w:keepLines/>
              <w:pageBreakBefore w:val="0"/>
              <w:widowControl w:val="0"/>
              <w:kinsoku/>
              <w:wordWrap/>
              <w:overflowPunct/>
              <w:topLinePunct w:val="0"/>
              <w:autoSpaceDE/>
              <w:autoSpaceDN/>
              <w:bidi w:val="0"/>
              <w:adjustRightInd/>
              <w:snapToGrid/>
              <w:spacing w:line="406" w:lineRule="exact"/>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a.投标函按招标文件规定填报了项目名称、标段号、补遗书编号（如有）、投标价（包括大写金额和小写金额）；</w:t>
            </w:r>
          </w:p>
          <w:p w14:paraId="4E6AB6E7">
            <w:pPr>
              <w:keepNext w:val="0"/>
              <w:keepLines/>
              <w:pageBreakBefore w:val="0"/>
              <w:widowControl w:val="0"/>
              <w:kinsoku/>
              <w:wordWrap/>
              <w:overflowPunct/>
              <w:topLinePunct w:val="0"/>
              <w:autoSpaceDE/>
              <w:autoSpaceDN/>
              <w:bidi w:val="0"/>
              <w:adjustRightInd/>
              <w:snapToGrid/>
              <w:spacing w:line="406" w:lineRule="exact"/>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b.已标价的工程量清单说明文字与招标文件规定一致，未进行实质性修改和删减；</w:t>
            </w:r>
          </w:p>
          <w:p w14:paraId="79007EB0">
            <w:pPr>
              <w:keepNext w:val="0"/>
              <w:keepLines/>
              <w:pageBreakBefore w:val="0"/>
              <w:widowControl w:val="0"/>
              <w:kinsoku/>
              <w:wordWrap/>
              <w:overflowPunct/>
              <w:topLinePunct w:val="0"/>
              <w:autoSpaceDE/>
              <w:autoSpaceDN/>
              <w:bidi w:val="0"/>
              <w:adjustRightInd/>
              <w:snapToGrid/>
              <w:spacing w:line="406" w:lineRule="exact"/>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c.投标文件组成齐全完整，内容均按规定填写。</w:t>
            </w:r>
          </w:p>
          <w:p w14:paraId="7D840394">
            <w:pPr>
              <w:keepNext w:val="0"/>
              <w:keepLines/>
              <w:pageBreakBefore w:val="0"/>
              <w:widowControl w:val="0"/>
              <w:kinsoku/>
              <w:wordWrap/>
              <w:overflowPunct/>
              <w:topLinePunct w:val="0"/>
              <w:autoSpaceDE/>
              <w:autoSpaceDN/>
              <w:bidi w:val="0"/>
              <w:adjustRightInd/>
              <w:snapToGrid/>
              <w:spacing w:line="406" w:lineRule="exact"/>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(2)投标文件上法定代表人或其委托代理人的签字、投标人的单位章盖章齐全，符合招标文件规定。</w:t>
            </w:r>
          </w:p>
          <w:p w14:paraId="77A398E6">
            <w:pPr>
              <w:keepNext w:val="0"/>
              <w:keepLines/>
              <w:pageBreakBefore w:val="0"/>
              <w:widowControl w:val="0"/>
              <w:kinsoku/>
              <w:wordWrap/>
              <w:overflowPunct/>
              <w:topLinePunct w:val="0"/>
              <w:autoSpaceDE/>
              <w:autoSpaceDN/>
              <w:bidi w:val="0"/>
              <w:adjustRightInd/>
              <w:snapToGrid/>
              <w:spacing w:line="406" w:lineRule="exact"/>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(3)投标报价中的报价未超过招标文件设定的最高投标限价。</w:t>
            </w:r>
          </w:p>
          <w:p w14:paraId="2A4CF656">
            <w:pPr>
              <w:keepNext w:val="0"/>
              <w:keepLines/>
              <w:pageBreakBefore w:val="0"/>
              <w:widowControl w:val="0"/>
              <w:kinsoku/>
              <w:wordWrap/>
              <w:overflowPunct/>
              <w:topLinePunct w:val="0"/>
              <w:autoSpaceDE/>
              <w:autoSpaceDN/>
              <w:bidi w:val="0"/>
              <w:adjustRightInd/>
              <w:snapToGrid/>
              <w:spacing w:line="406" w:lineRule="exact"/>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(4)投标报价的大写金额能够确定具体数值。</w:t>
            </w:r>
          </w:p>
          <w:p w14:paraId="21CE5A42">
            <w:pPr>
              <w:keepNext w:val="0"/>
              <w:keepLines/>
              <w:pageBreakBefore w:val="0"/>
              <w:widowControl w:val="0"/>
              <w:kinsoku/>
              <w:wordWrap/>
              <w:overflowPunct/>
              <w:topLinePunct w:val="0"/>
              <w:autoSpaceDE/>
              <w:autoSpaceDN/>
              <w:bidi w:val="0"/>
              <w:adjustRightInd/>
              <w:snapToGrid/>
              <w:spacing w:line="406" w:lineRule="exact"/>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(5)同一投标人未提交两个以上不同的投标报价。</w:t>
            </w:r>
          </w:p>
          <w:p w14:paraId="7202EFDF">
            <w:pPr>
              <w:keepNext w:val="0"/>
              <w:keepLines/>
              <w:pageBreakBefore w:val="0"/>
              <w:widowControl w:val="0"/>
              <w:kinsoku/>
              <w:wordWrap/>
              <w:overflowPunct/>
              <w:topLinePunct w:val="0"/>
              <w:autoSpaceDE/>
              <w:autoSpaceDN/>
              <w:bidi w:val="0"/>
              <w:adjustRightInd/>
              <w:snapToGrid/>
              <w:spacing w:line="406" w:lineRule="exact"/>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(6)投标人填写完毕的工程量清单未对工程量清单电子文件中的数据、格式和运算定义进行修改；工程量清单中的投标报价和投标函大写金额报价一致。</w:t>
            </w:r>
          </w:p>
          <w:p w14:paraId="27CB8E51">
            <w:pPr>
              <w:keepNext w:val="0"/>
              <w:keepLines/>
              <w:pageBreakBefore w:val="0"/>
              <w:widowControl w:val="0"/>
              <w:kinsoku/>
              <w:wordWrap/>
              <w:overflowPunct/>
              <w:topLinePunct w:val="0"/>
              <w:autoSpaceDE/>
              <w:autoSpaceDN/>
              <w:bidi w:val="0"/>
              <w:adjustRightInd/>
              <w:snapToGrid/>
              <w:spacing w:line="406" w:lineRule="exact"/>
              <w:textAlignment w:val="auto"/>
              <w:rPr>
                <w:rFonts w:hint="default" w:ascii="Times New Roman" w:hAnsi="Times New Roman" w:eastAsia="宋体" w:cs="Times New Roman"/>
                <w:b/>
                <w:color w:val="auto"/>
                <w:spacing w:val="-4"/>
                <w:sz w:val="21"/>
                <w:szCs w:val="21"/>
                <w:highlight w:val="none"/>
              </w:rPr>
            </w:pPr>
            <w:r>
              <w:rPr>
                <w:rFonts w:hint="default" w:ascii="Times New Roman" w:hAnsi="Times New Roman" w:eastAsia="宋体" w:cs="Times New Roman"/>
                <w:color w:val="auto"/>
                <w:sz w:val="21"/>
                <w:highlight w:val="none"/>
              </w:rPr>
              <w:t>(</w:t>
            </w:r>
            <w:r>
              <w:rPr>
                <w:rFonts w:hint="default" w:ascii="Times New Roman" w:hAnsi="Times New Roman" w:eastAsia="宋体" w:cs="Times New Roman"/>
                <w:color w:val="auto"/>
                <w:sz w:val="21"/>
                <w:highlight w:val="none"/>
                <w:lang w:val="en-US" w:eastAsia="zh-CN"/>
              </w:rPr>
              <w:t>7</w:t>
            </w:r>
            <w:r>
              <w:rPr>
                <w:rFonts w:hint="default" w:ascii="Times New Roman" w:hAnsi="Times New Roman" w:eastAsia="宋体" w:cs="Times New Roman"/>
                <w:color w:val="auto"/>
                <w:sz w:val="21"/>
                <w:highlight w:val="none"/>
              </w:rPr>
              <w:t>)不存在违反法律、法规的其他情形。</w:t>
            </w:r>
          </w:p>
        </w:tc>
      </w:tr>
      <w:tr w14:paraId="7BB1E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359F7C">
            <w:pPr>
              <w:keepNext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2.1.2</w:t>
            </w:r>
          </w:p>
        </w:tc>
        <w:tc>
          <w:tcPr>
            <w:tcW w:w="9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09A65F">
            <w:pPr>
              <w:keepNext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资格评</w:t>
            </w:r>
          </w:p>
          <w:p w14:paraId="5B49AF8C">
            <w:pPr>
              <w:keepNext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审标准</w:t>
            </w:r>
          </w:p>
        </w:tc>
        <w:tc>
          <w:tcPr>
            <w:tcW w:w="754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E7B3E0">
            <w:pPr>
              <w:keepNext w:val="0"/>
              <w:keepLines/>
              <w:pageBreakBefore w:val="0"/>
              <w:widowControl w:val="0"/>
              <w:kinsoku/>
              <w:wordWrap/>
              <w:overflowPunct/>
              <w:topLinePunct w:val="0"/>
              <w:autoSpaceDE/>
              <w:autoSpaceDN/>
              <w:bidi w:val="0"/>
              <w:adjustRightInd/>
              <w:snapToGrid/>
              <w:spacing w:line="406" w:lineRule="exact"/>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(1)投标人具备有效的营业执照、资质证书、安全生产许可证和基本账户开户许可证或经基本账户开户银行出具的基本账户信息证明。</w:t>
            </w:r>
          </w:p>
          <w:p w14:paraId="02DF58A2">
            <w:pPr>
              <w:keepNext w:val="0"/>
              <w:keepLines/>
              <w:pageBreakBefore w:val="0"/>
              <w:widowControl w:val="0"/>
              <w:kinsoku/>
              <w:wordWrap/>
              <w:overflowPunct/>
              <w:topLinePunct w:val="0"/>
              <w:autoSpaceDE/>
              <w:autoSpaceDN/>
              <w:bidi w:val="0"/>
              <w:adjustRightInd/>
              <w:snapToGrid/>
              <w:spacing w:line="406" w:lineRule="exact"/>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(2)投标人的资质等级符合招标文件规定。</w:t>
            </w:r>
          </w:p>
          <w:p w14:paraId="0BAD5F13">
            <w:pPr>
              <w:keepNext w:val="0"/>
              <w:keepLines/>
              <w:pageBreakBefore w:val="0"/>
              <w:widowControl w:val="0"/>
              <w:kinsoku/>
              <w:wordWrap/>
              <w:overflowPunct/>
              <w:topLinePunct w:val="0"/>
              <w:autoSpaceDE/>
              <w:autoSpaceDN/>
              <w:bidi w:val="0"/>
              <w:adjustRightInd/>
              <w:snapToGrid/>
              <w:spacing w:line="406" w:lineRule="exact"/>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(3)投标人的财务状况应符合招标文件规定。</w:t>
            </w:r>
          </w:p>
          <w:p w14:paraId="60FEB8BF">
            <w:pPr>
              <w:keepNext w:val="0"/>
              <w:keepLines/>
              <w:pageBreakBefore w:val="0"/>
              <w:widowControl w:val="0"/>
              <w:kinsoku/>
              <w:wordWrap/>
              <w:overflowPunct/>
              <w:topLinePunct w:val="0"/>
              <w:autoSpaceDE/>
              <w:autoSpaceDN/>
              <w:bidi w:val="0"/>
              <w:adjustRightInd/>
              <w:snapToGrid/>
              <w:spacing w:line="406" w:lineRule="exact"/>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(4)投标人的类似项目业绩符合招标文件规定。</w:t>
            </w:r>
          </w:p>
          <w:p w14:paraId="54D7A960">
            <w:pPr>
              <w:keepNext w:val="0"/>
              <w:keepLines/>
              <w:pageBreakBefore w:val="0"/>
              <w:widowControl w:val="0"/>
              <w:kinsoku/>
              <w:wordWrap/>
              <w:overflowPunct/>
              <w:topLinePunct w:val="0"/>
              <w:autoSpaceDE/>
              <w:autoSpaceDN/>
              <w:bidi w:val="0"/>
              <w:adjustRightInd/>
              <w:snapToGrid/>
              <w:spacing w:line="406" w:lineRule="exact"/>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(5)投标人的信誉符合招标文件规定。</w:t>
            </w:r>
          </w:p>
          <w:p w14:paraId="296F85BA">
            <w:pPr>
              <w:keepNext w:val="0"/>
              <w:keepLines/>
              <w:pageBreakBefore w:val="0"/>
              <w:widowControl w:val="0"/>
              <w:kinsoku/>
              <w:wordWrap/>
              <w:overflowPunct/>
              <w:topLinePunct w:val="0"/>
              <w:autoSpaceDE/>
              <w:autoSpaceDN/>
              <w:bidi w:val="0"/>
              <w:adjustRightInd/>
              <w:snapToGrid/>
              <w:spacing w:line="406" w:lineRule="exact"/>
              <w:ind w:right="105" w:rightChars="50"/>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(6)投标人的项目经理和项目总工资格、在岗情况符合招标文件规定。</w:t>
            </w:r>
          </w:p>
          <w:p w14:paraId="0AC9CF56">
            <w:pPr>
              <w:keepNext w:val="0"/>
              <w:keepLines/>
              <w:pageBreakBefore w:val="0"/>
              <w:widowControl w:val="0"/>
              <w:kinsoku/>
              <w:wordWrap/>
              <w:overflowPunct/>
              <w:topLinePunct w:val="0"/>
              <w:autoSpaceDE/>
              <w:autoSpaceDN/>
              <w:bidi w:val="0"/>
              <w:adjustRightInd/>
              <w:snapToGrid/>
              <w:spacing w:line="406" w:lineRule="exact"/>
              <w:textAlignment w:val="auto"/>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rPr>
              <w:t>(7)</w:t>
            </w:r>
            <w:r>
              <w:rPr>
                <w:rFonts w:hint="default" w:ascii="Times New Roman" w:hAnsi="Times New Roman" w:eastAsia="宋体" w:cs="Times New Roman"/>
                <w:color w:val="auto"/>
                <w:sz w:val="21"/>
                <w:highlight w:val="none"/>
                <w:lang w:val="en-US" w:eastAsia="zh-CN"/>
              </w:rPr>
              <w:t>投标人在2个标段同时投标的，拟投入的主要人员未重复。</w:t>
            </w:r>
          </w:p>
          <w:p w14:paraId="28BE9FD2">
            <w:pPr>
              <w:keepNext w:val="0"/>
              <w:keepLines/>
              <w:pageBreakBefore w:val="0"/>
              <w:widowControl w:val="0"/>
              <w:kinsoku/>
              <w:wordWrap/>
              <w:overflowPunct/>
              <w:topLinePunct w:val="0"/>
              <w:autoSpaceDE/>
              <w:autoSpaceDN/>
              <w:bidi w:val="0"/>
              <w:adjustRightInd/>
              <w:snapToGrid/>
              <w:spacing w:line="406" w:lineRule="exact"/>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w:t>
            </w:r>
            <w:r>
              <w:rPr>
                <w:rFonts w:hint="default" w:ascii="Times New Roman" w:hAnsi="Times New Roman" w:eastAsia="宋体" w:cs="Times New Roman"/>
                <w:color w:val="auto"/>
                <w:sz w:val="21"/>
                <w:highlight w:val="none"/>
                <w:lang w:val="en-US" w:eastAsia="zh-CN"/>
              </w:rPr>
              <w:t>8</w:t>
            </w:r>
            <w:r>
              <w:rPr>
                <w:rFonts w:hint="default" w:ascii="Times New Roman" w:hAnsi="Times New Roman" w:eastAsia="宋体" w:cs="Times New Roman"/>
                <w:color w:val="auto"/>
                <w:sz w:val="21"/>
                <w:highlight w:val="none"/>
              </w:rPr>
              <w:t>)投标人不</w:t>
            </w:r>
            <w:r>
              <w:rPr>
                <w:rFonts w:hint="default" w:ascii="Times New Roman" w:hAnsi="Times New Roman" w:eastAsia="宋体" w:cs="Times New Roman"/>
                <w:color w:val="auto"/>
                <w:spacing w:val="-6"/>
                <w:sz w:val="21"/>
                <w:highlight w:val="none"/>
              </w:rPr>
              <w:t>存在第二章“投标人须知”第1.4.3项或第1.4.4项规定的任何</w:t>
            </w:r>
            <w:r>
              <w:rPr>
                <w:rFonts w:hint="default" w:ascii="Times New Roman" w:hAnsi="Times New Roman" w:eastAsia="宋体" w:cs="Times New Roman"/>
                <w:color w:val="auto"/>
                <w:sz w:val="21"/>
                <w:highlight w:val="none"/>
              </w:rPr>
              <w:t>一种情形。</w:t>
            </w:r>
          </w:p>
          <w:p w14:paraId="7B3DFFC2">
            <w:pPr>
              <w:keepNext w:val="0"/>
              <w:keepLines/>
              <w:pageBreakBefore w:val="0"/>
              <w:widowControl w:val="0"/>
              <w:kinsoku/>
              <w:wordWrap/>
              <w:overflowPunct/>
              <w:topLinePunct w:val="0"/>
              <w:autoSpaceDE/>
              <w:autoSpaceDN/>
              <w:bidi w:val="0"/>
              <w:adjustRightInd/>
              <w:snapToGrid/>
              <w:spacing w:line="406" w:lineRule="exact"/>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1.4.3投标人不得与本标段相关单位存在下列关联关系：</w:t>
            </w:r>
          </w:p>
          <w:p w14:paraId="511DC099">
            <w:pPr>
              <w:keepNext w:val="0"/>
              <w:keepLines/>
              <w:pageBreakBefore w:val="0"/>
              <w:widowControl w:val="0"/>
              <w:kinsoku/>
              <w:wordWrap/>
              <w:overflowPunct/>
              <w:topLinePunct w:val="0"/>
              <w:autoSpaceDE/>
              <w:autoSpaceDN/>
              <w:bidi w:val="0"/>
              <w:adjustRightInd/>
              <w:snapToGrid/>
              <w:spacing w:line="406" w:lineRule="exact"/>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①为招标人不具有独立法人资格的附属机构（单位）；</w:t>
            </w:r>
          </w:p>
          <w:p w14:paraId="1DC35E96">
            <w:pPr>
              <w:keepNext w:val="0"/>
              <w:keepLines/>
              <w:pageBreakBefore w:val="0"/>
              <w:widowControl w:val="0"/>
              <w:kinsoku/>
              <w:wordWrap/>
              <w:overflowPunct/>
              <w:topLinePunct w:val="0"/>
              <w:autoSpaceDE/>
              <w:autoSpaceDN/>
              <w:bidi w:val="0"/>
              <w:adjustRightInd/>
              <w:snapToGrid/>
              <w:spacing w:line="406" w:lineRule="exact"/>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②与招标人存在利害关系且可能影响招标公正性；</w:t>
            </w:r>
          </w:p>
          <w:p w14:paraId="57A49893">
            <w:pPr>
              <w:keepNext w:val="0"/>
              <w:keepLines/>
              <w:pageBreakBefore w:val="0"/>
              <w:widowControl w:val="0"/>
              <w:kinsoku/>
              <w:wordWrap/>
              <w:overflowPunct/>
              <w:topLinePunct w:val="0"/>
              <w:autoSpaceDE/>
              <w:autoSpaceDN/>
              <w:bidi w:val="0"/>
              <w:adjustRightInd/>
              <w:snapToGrid/>
              <w:spacing w:line="406" w:lineRule="exact"/>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③与本标段的其他投标人同为一个单位负责人；</w:t>
            </w:r>
          </w:p>
          <w:p w14:paraId="658F4AFD">
            <w:pPr>
              <w:keepNext w:val="0"/>
              <w:keepLines/>
              <w:pageBreakBefore w:val="0"/>
              <w:widowControl w:val="0"/>
              <w:kinsoku/>
              <w:wordWrap/>
              <w:overflowPunct/>
              <w:topLinePunct w:val="0"/>
              <w:autoSpaceDE/>
              <w:autoSpaceDN/>
              <w:bidi w:val="0"/>
              <w:adjustRightInd/>
              <w:snapToGrid/>
              <w:spacing w:line="406" w:lineRule="exact"/>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④与本标段的其他投标人存在控股、管理关系；</w:t>
            </w:r>
          </w:p>
          <w:p w14:paraId="4E8F0C8E">
            <w:pPr>
              <w:keepNext w:val="0"/>
              <w:keepLines/>
              <w:pageBreakBefore w:val="0"/>
              <w:widowControl w:val="0"/>
              <w:kinsoku/>
              <w:wordWrap/>
              <w:overflowPunct/>
              <w:topLinePunct w:val="0"/>
              <w:autoSpaceDE/>
              <w:autoSpaceDN/>
              <w:bidi w:val="0"/>
              <w:adjustRightInd/>
              <w:snapToGrid/>
              <w:spacing w:line="406" w:lineRule="exact"/>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⑤为本标段前期准备提供设计或咨询服务的法人或其任何附属机构（单位）；</w:t>
            </w:r>
          </w:p>
          <w:p w14:paraId="398D238C">
            <w:pPr>
              <w:keepNext w:val="0"/>
              <w:keepLines/>
              <w:pageBreakBefore w:val="0"/>
              <w:widowControl w:val="0"/>
              <w:kinsoku/>
              <w:wordWrap/>
              <w:overflowPunct/>
              <w:topLinePunct w:val="0"/>
              <w:autoSpaceDE/>
              <w:autoSpaceDN/>
              <w:bidi w:val="0"/>
              <w:adjustRightInd/>
              <w:snapToGrid/>
              <w:spacing w:line="406" w:lineRule="exact"/>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⑥为本标段的监理人；</w:t>
            </w:r>
          </w:p>
          <w:p w14:paraId="303F1D64">
            <w:pPr>
              <w:keepNext w:val="0"/>
              <w:keepLines/>
              <w:pageBreakBefore w:val="0"/>
              <w:widowControl w:val="0"/>
              <w:kinsoku/>
              <w:wordWrap/>
              <w:overflowPunct/>
              <w:topLinePunct w:val="0"/>
              <w:autoSpaceDE/>
              <w:autoSpaceDN/>
              <w:bidi w:val="0"/>
              <w:adjustRightInd/>
              <w:snapToGrid/>
              <w:spacing w:line="406" w:lineRule="exact"/>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⑦为本标段的代建人；</w:t>
            </w:r>
          </w:p>
          <w:p w14:paraId="37D6D0AC">
            <w:pPr>
              <w:keepNext w:val="0"/>
              <w:keepLines/>
              <w:pageBreakBefore w:val="0"/>
              <w:widowControl w:val="0"/>
              <w:kinsoku/>
              <w:wordWrap/>
              <w:overflowPunct/>
              <w:topLinePunct w:val="0"/>
              <w:autoSpaceDE/>
              <w:autoSpaceDN/>
              <w:bidi w:val="0"/>
              <w:adjustRightInd/>
              <w:snapToGrid/>
              <w:spacing w:line="406" w:lineRule="exact"/>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⑧为本标段的招标代理机构；</w:t>
            </w:r>
          </w:p>
          <w:p w14:paraId="3FF304F1">
            <w:pPr>
              <w:keepNext w:val="0"/>
              <w:keepLines/>
              <w:pageBreakBefore w:val="0"/>
              <w:widowControl w:val="0"/>
              <w:kinsoku/>
              <w:wordWrap/>
              <w:overflowPunct/>
              <w:topLinePunct w:val="0"/>
              <w:autoSpaceDE/>
              <w:autoSpaceDN/>
              <w:bidi w:val="0"/>
              <w:adjustRightInd/>
              <w:snapToGrid/>
              <w:spacing w:line="406" w:lineRule="exact"/>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⑨与本标段的监理人或代建人或招标代理机构同为一个法定代表人；</w:t>
            </w:r>
          </w:p>
          <w:p w14:paraId="71897701">
            <w:pPr>
              <w:keepNext w:val="0"/>
              <w:keepLines/>
              <w:pageBreakBefore w:val="0"/>
              <w:widowControl w:val="0"/>
              <w:kinsoku/>
              <w:wordWrap/>
              <w:overflowPunct/>
              <w:topLinePunct w:val="0"/>
              <w:autoSpaceDE/>
              <w:autoSpaceDN/>
              <w:bidi w:val="0"/>
              <w:adjustRightInd/>
              <w:snapToGrid/>
              <w:spacing w:line="406" w:lineRule="exact"/>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⑩与本标段的监理人或代建人或招标代理机构存在控股或参股关系；</w:t>
            </w:r>
          </w:p>
          <w:p w14:paraId="0B2F9172">
            <w:pPr>
              <w:keepNext w:val="0"/>
              <w:keepLines/>
              <w:pageBreakBefore w:val="0"/>
              <w:widowControl w:val="0"/>
              <w:kinsoku/>
              <w:wordWrap/>
              <w:overflowPunct/>
              <w:topLinePunct w:val="0"/>
              <w:autoSpaceDE/>
              <w:autoSpaceDN/>
              <w:bidi w:val="0"/>
              <w:adjustRightInd/>
              <w:snapToGrid/>
              <w:spacing w:line="406" w:lineRule="exact"/>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1.4.4投标人不得存在下列不良状况或不良信用记录：</w:t>
            </w:r>
          </w:p>
          <w:p w14:paraId="03B0842C">
            <w:pPr>
              <w:keepNext w:val="0"/>
              <w:keepLines/>
              <w:pageBreakBefore w:val="0"/>
              <w:widowControl w:val="0"/>
              <w:kinsoku/>
              <w:wordWrap/>
              <w:overflowPunct/>
              <w:topLinePunct w:val="0"/>
              <w:autoSpaceDE/>
              <w:autoSpaceDN/>
              <w:bidi w:val="0"/>
              <w:adjustRightInd/>
              <w:snapToGrid/>
              <w:spacing w:line="406" w:lineRule="exact"/>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①被省级及以上交通运输主管部门取消招标项目所在地的投标资格且处于有效期内；</w:t>
            </w:r>
          </w:p>
          <w:p w14:paraId="68BCDF38">
            <w:pPr>
              <w:keepNext w:val="0"/>
              <w:keepLines/>
              <w:pageBreakBefore w:val="0"/>
              <w:widowControl w:val="0"/>
              <w:kinsoku/>
              <w:wordWrap/>
              <w:overflowPunct/>
              <w:topLinePunct w:val="0"/>
              <w:autoSpaceDE/>
              <w:autoSpaceDN/>
              <w:bidi w:val="0"/>
              <w:adjustRightInd/>
              <w:snapToGrid/>
              <w:spacing w:line="406" w:lineRule="exact"/>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②被责令停业，暂扣或吊销执照，或吊销资质证书；</w:t>
            </w:r>
          </w:p>
          <w:p w14:paraId="732E983A">
            <w:pPr>
              <w:keepNext w:val="0"/>
              <w:keepLines/>
              <w:pageBreakBefore w:val="0"/>
              <w:widowControl w:val="0"/>
              <w:kinsoku/>
              <w:wordWrap/>
              <w:overflowPunct/>
              <w:topLinePunct w:val="0"/>
              <w:autoSpaceDE/>
              <w:autoSpaceDN/>
              <w:bidi w:val="0"/>
              <w:adjustRightInd/>
              <w:snapToGrid/>
              <w:spacing w:line="406" w:lineRule="exact"/>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③进入清算程序，或被宣告破产，或其他丧失履约能力的情形；</w:t>
            </w:r>
          </w:p>
          <w:p w14:paraId="05B7D356">
            <w:pPr>
              <w:keepNext w:val="0"/>
              <w:keepLines/>
              <w:pageBreakBefore w:val="0"/>
              <w:widowControl w:val="0"/>
              <w:kinsoku/>
              <w:wordWrap/>
              <w:overflowPunct/>
              <w:topLinePunct w:val="0"/>
              <w:autoSpaceDE/>
              <w:autoSpaceDN/>
              <w:bidi w:val="0"/>
              <w:adjustRightInd/>
              <w:snapToGrid/>
              <w:spacing w:line="406" w:lineRule="exact"/>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④在国家企业信用信息公示系统（http://www.gsxt.gov.cn/）中被列入严重违法失信企业名单；</w:t>
            </w:r>
          </w:p>
          <w:p w14:paraId="5545B64C">
            <w:pPr>
              <w:keepNext w:val="0"/>
              <w:keepLines/>
              <w:pageBreakBefore w:val="0"/>
              <w:widowControl w:val="0"/>
              <w:kinsoku/>
              <w:wordWrap/>
              <w:overflowPunct/>
              <w:topLinePunct w:val="0"/>
              <w:autoSpaceDE/>
              <w:autoSpaceDN/>
              <w:bidi w:val="0"/>
              <w:adjustRightInd/>
              <w:snapToGrid/>
              <w:spacing w:line="406" w:lineRule="exact"/>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⑤在“信用中国”网站（http: //www.creditchina.gov.cn）中，投标人被列入失信被执行人名单；</w:t>
            </w:r>
          </w:p>
          <w:p w14:paraId="79CD72D1">
            <w:pPr>
              <w:keepNext w:val="0"/>
              <w:keepLines/>
              <w:pageBreakBefore w:val="0"/>
              <w:widowControl w:val="0"/>
              <w:kinsoku/>
              <w:wordWrap/>
              <w:overflowPunct/>
              <w:topLinePunct w:val="0"/>
              <w:autoSpaceDE/>
              <w:autoSpaceDN/>
              <w:bidi w:val="0"/>
              <w:adjustRightInd/>
              <w:snapToGrid/>
              <w:spacing w:line="406" w:lineRule="exact"/>
              <w:textAlignment w:val="auto"/>
              <w:rPr>
                <w:rFonts w:hint="default" w:ascii="Times New Roman" w:hAnsi="Times New Roman" w:eastAsia="宋体" w:cs="Times New Roman"/>
                <w:color w:val="auto"/>
                <w:spacing w:val="-6"/>
                <w:sz w:val="21"/>
                <w:highlight w:val="none"/>
              </w:rPr>
            </w:pPr>
            <w:r>
              <w:rPr>
                <w:rFonts w:hint="default" w:ascii="Times New Roman" w:hAnsi="Times New Roman" w:eastAsia="宋体" w:cs="Times New Roman"/>
                <w:color w:val="auto"/>
                <w:spacing w:val="-17"/>
                <w:sz w:val="21"/>
                <w:highlight w:val="none"/>
              </w:rPr>
              <w:t>⑥</w:t>
            </w:r>
            <w:r>
              <w:rPr>
                <w:rFonts w:hint="default" w:ascii="Times New Roman" w:hAnsi="Times New Roman" w:eastAsia="宋体" w:cs="Times New Roman"/>
                <w:color w:val="auto"/>
                <w:spacing w:val="-6"/>
                <w:sz w:val="21"/>
                <w:highlight w:val="none"/>
              </w:rPr>
              <w:t>投标人或其法定代表人、拟委任的项目经理在近三年内有行贿犯罪行为的（</w:t>
            </w:r>
            <w:r>
              <w:rPr>
                <w:rFonts w:hint="default" w:ascii="Times New Roman" w:hAnsi="Times New Roman" w:eastAsia="宋体" w:cs="Times New Roman"/>
                <w:color w:val="auto"/>
                <w:spacing w:val="-6"/>
                <w:sz w:val="21"/>
                <w:highlight w:val="none"/>
                <w:lang w:val="en-US" w:eastAsia="zh-CN"/>
              </w:rPr>
              <w:t>无</w:t>
            </w:r>
            <w:r>
              <w:rPr>
                <w:rFonts w:hint="default" w:ascii="Times New Roman" w:hAnsi="Times New Roman" w:eastAsia="宋体" w:cs="Times New Roman"/>
                <w:color w:val="auto"/>
                <w:spacing w:val="-6"/>
                <w:sz w:val="21"/>
                <w:highlight w:val="none"/>
              </w:rPr>
              <w:t>行贿犯罪行为的认定以投标人提供的在中国裁判文书（http://wenshu.court.gov.cn/）网站上无行贿犯罪查询记录的承诺函为准）；</w:t>
            </w:r>
          </w:p>
          <w:p w14:paraId="40E16C86">
            <w:pPr>
              <w:keepNext w:val="0"/>
              <w:keepLines/>
              <w:pageBreakBefore w:val="0"/>
              <w:widowControl w:val="0"/>
              <w:kinsoku/>
              <w:wordWrap/>
              <w:overflowPunct/>
              <w:topLinePunct w:val="0"/>
              <w:autoSpaceDE/>
              <w:autoSpaceDN/>
              <w:bidi w:val="0"/>
              <w:adjustRightInd/>
              <w:snapToGrid/>
              <w:spacing w:line="406" w:lineRule="exact"/>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val="en-US" w:eastAsia="zh-CN"/>
              </w:rPr>
              <w:t>⑦</w:t>
            </w:r>
            <w:r>
              <w:rPr>
                <w:rFonts w:hint="default" w:ascii="Times New Roman" w:hAnsi="Times New Roman" w:eastAsia="宋体" w:cs="Times New Roman"/>
                <w:color w:val="auto"/>
                <w:sz w:val="21"/>
                <w:highlight w:val="none"/>
              </w:rPr>
              <w:t>在202</w:t>
            </w:r>
            <w:r>
              <w:rPr>
                <w:rFonts w:hint="eastAsia" w:ascii="Times New Roman" w:hAnsi="Times New Roman" w:eastAsia="宋体" w:cs="Times New Roman"/>
                <w:color w:val="auto"/>
                <w:sz w:val="21"/>
                <w:highlight w:val="none"/>
                <w:lang w:val="en-US" w:eastAsia="zh-CN"/>
              </w:rPr>
              <w:t>2</w:t>
            </w:r>
            <w:r>
              <w:rPr>
                <w:rFonts w:hint="default" w:ascii="Times New Roman" w:hAnsi="Times New Roman" w:eastAsia="宋体" w:cs="Times New Roman"/>
                <w:color w:val="auto"/>
                <w:sz w:val="21"/>
                <w:highlight w:val="none"/>
              </w:rPr>
              <w:t>年度黑龙江省交通运输厅公路施工企业信用评价或交通运输部20</w:t>
            </w:r>
            <w:r>
              <w:rPr>
                <w:rFonts w:hint="default" w:ascii="Times New Roman" w:hAnsi="Times New Roman" w:eastAsia="宋体" w:cs="Times New Roman"/>
                <w:color w:val="auto"/>
                <w:sz w:val="21"/>
                <w:highlight w:val="none"/>
                <w:lang w:val="en-US" w:eastAsia="zh-CN"/>
              </w:rPr>
              <w:t>2</w:t>
            </w:r>
            <w:r>
              <w:rPr>
                <w:rFonts w:hint="eastAsia" w:ascii="Times New Roman" w:hAnsi="Times New Roman" w:eastAsia="宋体" w:cs="Times New Roman"/>
                <w:color w:val="auto"/>
                <w:sz w:val="21"/>
                <w:highlight w:val="none"/>
                <w:lang w:val="en-US" w:eastAsia="zh-CN"/>
              </w:rPr>
              <w:t>2</w:t>
            </w:r>
            <w:r>
              <w:rPr>
                <w:rFonts w:hint="default" w:ascii="Times New Roman" w:hAnsi="Times New Roman" w:eastAsia="宋体" w:cs="Times New Roman"/>
                <w:color w:val="auto"/>
                <w:sz w:val="21"/>
                <w:highlight w:val="none"/>
              </w:rPr>
              <w:t>年公路施工企业全国综合信用评价中被认定为D级的投标人</w:t>
            </w:r>
          </w:p>
          <w:p w14:paraId="702B347F">
            <w:pPr>
              <w:keepNext w:val="0"/>
              <w:keepLines/>
              <w:pageBreakBefore w:val="0"/>
              <w:widowControl w:val="0"/>
              <w:kinsoku/>
              <w:wordWrap/>
              <w:overflowPunct/>
              <w:topLinePunct w:val="0"/>
              <w:autoSpaceDE/>
              <w:autoSpaceDN/>
              <w:bidi w:val="0"/>
              <w:adjustRightInd/>
              <w:snapToGrid/>
              <w:spacing w:line="406" w:lineRule="exact"/>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w:t>
            </w:r>
            <w:r>
              <w:rPr>
                <w:rFonts w:hint="default" w:ascii="Times New Roman" w:hAnsi="Times New Roman" w:eastAsia="宋体" w:cs="Times New Roman"/>
                <w:color w:val="auto"/>
                <w:sz w:val="21"/>
                <w:highlight w:val="none"/>
                <w:lang w:val="en-US" w:eastAsia="zh-CN"/>
              </w:rPr>
              <w:t>9</w:t>
            </w:r>
            <w:r>
              <w:rPr>
                <w:rFonts w:hint="default" w:ascii="Times New Roman" w:hAnsi="Times New Roman" w:eastAsia="宋体" w:cs="Times New Roman"/>
                <w:color w:val="auto"/>
                <w:sz w:val="21"/>
                <w:highlight w:val="none"/>
              </w:rPr>
              <w:t>)投标人符合第二章“投标人须知”第1.4.5项规定。</w:t>
            </w:r>
          </w:p>
          <w:p w14:paraId="4CF73C74">
            <w:pPr>
              <w:keepNext w:val="0"/>
              <w:keepLines/>
              <w:pageBreakBefore w:val="0"/>
              <w:widowControl w:val="0"/>
              <w:kinsoku/>
              <w:wordWrap/>
              <w:overflowPunct/>
              <w:topLinePunct w:val="0"/>
              <w:autoSpaceDE/>
              <w:autoSpaceDN/>
              <w:bidi w:val="0"/>
              <w:adjustRightInd/>
              <w:snapToGrid/>
              <w:spacing w:line="406" w:lineRule="exact"/>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1.4.5投标人进入交通运输部“全国公路建设市场信用信息管理系统（http：//glxy.mot.gov.cn）”中的公路工程施工资质企业名录，且投标人名称和资质与该名录中的相应企业名称和资质完全一致。</w:t>
            </w:r>
          </w:p>
          <w:p w14:paraId="7F768352">
            <w:pPr>
              <w:keepNext w:val="0"/>
              <w:keepLines/>
              <w:pageBreakBefore w:val="0"/>
              <w:widowControl w:val="0"/>
              <w:kinsoku/>
              <w:wordWrap/>
              <w:overflowPunct/>
              <w:topLinePunct w:val="0"/>
              <w:autoSpaceDE/>
              <w:autoSpaceDN/>
              <w:bidi w:val="0"/>
              <w:adjustRightInd/>
              <w:snapToGrid/>
              <w:spacing w:line="406" w:lineRule="exact"/>
              <w:ind w:right="105" w:rightChars="50"/>
              <w:jc w:val="left"/>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w:t>
            </w:r>
            <w:r>
              <w:rPr>
                <w:rFonts w:hint="default" w:ascii="Times New Roman" w:hAnsi="Times New Roman" w:eastAsia="宋体" w:cs="Times New Roman"/>
                <w:color w:val="auto"/>
                <w:sz w:val="21"/>
                <w:highlight w:val="none"/>
                <w:lang w:val="en-US" w:eastAsia="zh-CN"/>
              </w:rPr>
              <w:t>10</w:t>
            </w:r>
            <w:r>
              <w:rPr>
                <w:rFonts w:hint="default" w:ascii="Times New Roman" w:hAnsi="Times New Roman" w:eastAsia="宋体" w:cs="Times New Roman"/>
                <w:color w:val="auto"/>
                <w:sz w:val="21"/>
                <w:highlight w:val="none"/>
              </w:rPr>
              <w:t>)以联合体形式参与投标的，联合体各方均未再以自己名义单独或参加其他联合体</w:t>
            </w:r>
            <w:r>
              <w:rPr>
                <w:rFonts w:hint="default" w:ascii="Times New Roman" w:hAnsi="Times New Roman" w:eastAsia="宋体" w:cs="Times New Roman"/>
                <w:color w:val="auto"/>
                <w:sz w:val="21"/>
                <w:highlight w:val="none"/>
                <w:lang w:val="en-US" w:eastAsia="zh-CN"/>
              </w:rPr>
              <w:t>在同一标段</w:t>
            </w:r>
            <w:r>
              <w:rPr>
                <w:rFonts w:hint="default" w:ascii="Times New Roman" w:hAnsi="Times New Roman" w:eastAsia="宋体" w:cs="Times New Roman"/>
                <w:color w:val="auto"/>
                <w:sz w:val="21"/>
                <w:highlight w:val="none"/>
              </w:rPr>
              <w:t>投标；独立参与本项目的，投标人未同时与其他施工企业组成联合体</w:t>
            </w:r>
            <w:r>
              <w:rPr>
                <w:rFonts w:hint="default" w:ascii="Times New Roman" w:hAnsi="Times New Roman" w:eastAsia="宋体" w:cs="Times New Roman"/>
                <w:color w:val="auto"/>
                <w:sz w:val="21"/>
                <w:highlight w:val="none"/>
                <w:lang w:val="en-US" w:eastAsia="zh-CN"/>
              </w:rPr>
              <w:t>在同一标段中</w:t>
            </w:r>
            <w:r>
              <w:rPr>
                <w:rFonts w:hint="default" w:ascii="Times New Roman" w:hAnsi="Times New Roman" w:eastAsia="宋体" w:cs="Times New Roman"/>
                <w:color w:val="auto"/>
                <w:sz w:val="21"/>
                <w:highlight w:val="none"/>
              </w:rPr>
              <w:t>投标。</w:t>
            </w:r>
          </w:p>
          <w:p w14:paraId="6B8BB0AB">
            <w:pPr>
              <w:keepNext w:val="0"/>
              <w:keepLines/>
              <w:pageBreakBefore w:val="0"/>
              <w:widowControl w:val="0"/>
              <w:kinsoku/>
              <w:wordWrap/>
              <w:overflowPunct/>
              <w:topLinePunct w:val="0"/>
              <w:autoSpaceDE/>
              <w:autoSpaceDN/>
              <w:bidi w:val="0"/>
              <w:adjustRightInd/>
              <w:snapToGrid/>
              <w:spacing w:line="406" w:lineRule="exact"/>
              <w:textAlignment w:val="auto"/>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val="en-US" w:eastAsia="zh-CN"/>
              </w:rPr>
              <w:t>(11)</w:t>
            </w:r>
            <w:r>
              <w:rPr>
                <w:rFonts w:hint="default" w:ascii="Times New Roman" w:hAnsi="Times New Roman" w:eastAsia="宋体" w:cs="Times New Roman"/>
                <w:color w:val="auto"/>
                <w:sz w:val="21"/>
                <w:highlight w:val="none"/>
              </w:rPr>
              <w:t>不存在违反法律、法规的或投标人须知前附表规定的其他情形</w:t>
            </w:r>
            <w:r>
              <w:rPr>
                <w:rFonts w:hint="eastAsia" w:ascii="Times New Roman" w:hAnsi="Times New Roman" w:eastAsia="宋体" w:cs="Times New Roman"/>
                <w:color w:val="auto"/>
                <w:sz w:val="21"/>
                <w:highlight w:val="none"/>
                <w:lang w:eastAsia="zh-CN"/>
              </w:rPr>
              <w:t>。</w:t>
            </w:r>
          </w:p>
        </w:tc>
      </w:tr>
      <w:tr w14:paraId="68FCD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29" w:type="dxa"/>
            <w:gridSpan w:val="2"/>
            <w:tcBorders>
              <w:top w:val="single" w:color="auto" w:sz="4" w:space="0"/>
              <w:left w:val="single" w:color="auto" w:sz="4" w:space="0"/>
              <w:bottom w:val="single" w:color="auto" w:sz="4" w:space="0"/>
              <w:right w:val="single" w:color="auto" w:sz="4" w:space="0"/>
            </w:tcBorders>
            <w:noWrap w:val="0"/>
            <w:vAlign w:val="center"/>
          </w:tcPr>
          <w:p w14:paraId="24FA85B3">
            <w:pPr>
              <w:keepNext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条款号</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1AAB0C95">
            <w:pPr>
              <w:keepNext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条款内容</w:t>
            </w:r>
          </w:p>
        </w:tc>
        <w:tc>
          <w:tcPr>
            <w:tcW w:w="5818" w:type="dxa"/>
            <w:tcBorders>
              <w:top w:val="single" w:color="auto" w:sz="4" w:space="0"/>
              <w:left w:val="single" w:color="auto" w:sz="4" w:space="0"/>
              <w:bottom w:val="single" w:color="auto" w:sz="4" w:space="0"/>
              <w:right w:val="single" w:color="auto" w:sz="4" w:space="0"/>
            </w:tcBorders>
            <w:noWrap w:val="0"/>
            <w:vAlign w:val="center"/>
          </w:tcPr>
          <w:p w14:paraId="76C70B35">
            <w:pPr>
              <w:keepNext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b/>
                <w:color w:val="auto"/>
                <w:sz w:val="21"/>
                <w:szCs w:val="21"/>
                <w:highlight w:val="none"/>
              </w:rPr>
              <w:t>编列内容</w:t>
            </w:r>
          </w:p>
        </w:tc>
      </w:tr>
      <w:tr w14:paraId="6E019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1729" w:type="dxa"/>
            <w:gridSpan w:val="2"/>
            <w:tcBorders>
              <w:top w:val="single" w:color="auto" w:sz="4" w:space="0"/>
              <w:left w:val="single" w:color="auto" w:sz="4" w:space="0"/>
              <w:bottom w:val="single" w:color="auto" w:sz="4" w:space="0"/>
              <w:right w:val="single" w:color="auto" w:sz="4" w:space="0"/>
            </w:tcBorders>
            <w:noWrap w:val="0"/>
            <w:vAlign w:val="center"/>
          </w:tcPr>
          <w:p w14:paraId="166E6786">
            <w:pPr>
              <w:keepNext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2.2.1</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28E7B0D4">
            <w:pPr>
              <w:keepNext w:val="0"/>
              <w:keepLines/>
              <w:pageBreakBefore w:val="0"/>
              <w:widowControl w:val="0"/>
              <w:kinsoku/>
              <w:wordWrap/>
              <w:overflowPunct/>
              <w:topLinePunct w:val="0"/>
              <w:autoSpaceDE/>
              <w:autoSpaceDN/>
              <w:bidi w:val="0"/>
              <w:adjustRightInd/>
              <w:snapToGrid w:val="0"/>
              <w:spacing w:line="400" w:lineRule="exact"/>
              <w:ind w:left="113" w:right="113"/>
              <w:jc w:val="center"/>
              <w:textAlignment w:val="auto"/>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olor w:val="auto"/>
                <w:spacing w:val="-4"/>
                <w:sz w:val="21"/>
                <w:szCs w:val="21"/>
                <w:highlight w:val="none"/>
              </w:rPr>
              <w:t>第一个信封</w:t>
            </w:r>
          </w:p>
          <w:p w14:paraId="782E5647">
            <w:pPr>
              <w:keepNext w:val="0"/>
              <w:keepLines/>
              <w:pageBreakBefore w:val="0"/>
              <w:widowControl w:val="0"/>
              <w:kinsoku/>
              <w:wordWrap/>
              <w:overflowPunct/>
              <w:topLinePunct w:val="0"/>
              <w:autoSpaceDE/>
              <w:autoSpaceDN/>
              <w:bidi w:val="0"/>
              <w:adjustRightInd/>
              <w:snapToGrid w:val="0"/>
              <w:spacing w:line="400" w:lineRule="exact"/>
              <w:ind w:left="113" w:right="113"/>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4"/>
                <w:sz w:val="21"/>
                <w:szCs w:val="21"/>
                <w:highlight w:val="none"/>
              </w:rPr>
              <w:t>评分</w:t>
            </w:r>
            <w:r>
              <w:rPr>
                <w:rFonts w:hint="default" w:ascii="Times New Roman" w:hAnsi="Times New Roman" w:eastAsia="宋体" w:cs="Times New Roman"/>
                <w:color w:val="auto"/>
                <w:sz w:val="21"/>
                <w:szCs w:val="21"/>
                <w:highlight w:val="none"/>
              </w:rPr>
              <w:t>分值构成</w:t>
            </w:r>
          </w:p>
          <w:p w14:paraId="2631D920">
            <w:pPr>
              <w:keepNext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(总分100分)</w:t>
            </w:r>
          </w:p>
        </w:tc>
        <w:tc>
          <w:tcPr>
            <w:tcW w:w="5818" w:type="dxa"/>
            <w:tcBorders>
              <w:top w:val="single" w:color="auto" w:sz="4" w:space="0"/>
              <w:left w:val="single" w:color="auto" w:sz="4" w:space="0"/>
              <w:bottom w:val="single" w:color="auto" w:sz="4" w:space="0"/>
              <w:right w:val="single" w:color="auto" w:sz="4" w:space="0"/>
            </w:tcBorders>
            <w:noWrap w:val="0"/>
            <w:vAlign w:val="center"/>
          </w:tcPr>
          <w:p w14:paraId="4644362A">
            <w:pPr>
              <w:keepNext w:val="0"/>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施工组织设计：</w:t>
            </w:r>
            <w:r>
              <w:rPr>
                <w:rFonts w:hint="default" w:ascii="Times New Roman" w:hAnsi="Times New Roman" w:eastAsia="宋体" w:cs="Times New Roman"/>
                <w:b/>
                <w:bCs/>
                <w:color w:val="auto"/>
                <w:kern w:val="0"/>
                <w:sz w:val="21"/>
                <w:szCs w:val="21"/>
                <w:highlight w:val="none"/>
              </w:rPr>
              <w:t>40</w:t>
            </w:r>
            <w:r>
              <w:rPr>
                <w:rFonts w:hint="default" w:ascii="Times New Roman" w:hAnsi="Times New Roman" w:eastAsia="宋体" w:cs="Times New Roman"/>
                <w:color w:val="auto"/>
                <w:kern w:val="0"/>
                <w:sz w:val="21"/>
                <w:szCs w:val="21"/>
                <w:highlight w:val="none"/>
              </w:rPr>
              <w:t>分；</w:t>
            </w:r>
          </w:p>
          <w:p w14:paraId="634811CA">
            <w:pPr>
              <w:keepNext w:val="0"/>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主要人员：</w:t>
            </w:r>
            <w:r>
              <w:rPr>
                <w:rFonts w:hint="default" w:ascii="Times New Roman" w:hAnsi="Times New Roman" w:eastAsia="宋体" w:cs="Times New Roman"/>
                <w:b/>
                <w:bCs/>
                <w:color w:val="auto"/>
                <w:kern w:val="0"/>
                <w:sz w:val="21"/>
                <w:szCs w:val="21"/>
                <w:highlight w:val="none"/>
              </w:rPr>
              <w:t>25</w:t>
            </w:r>
            <w:r>
              <w:rPr>
                <w:rFonts w:hint="default" w:ascii="Times New Roman" w:hAnsi="Times New Roman" w:eastAsia="宋体" w:cs="Times New Roman"/>
                <w:color w:val="auto"/>
                <w:kern w:val="0"/>
                <w:sz w:val="21"/>
                <w:szCs w:val="21"/>
                <w:highlight w:val="none"/>
              </w:rPr>
              <w:t>分；</w:t>
            </w:r>
          </w:p>
          <w:p w14:paraId="21ED13D0">
            <w:pPr>
              <w:keepNext w:val="0"/>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技术能力：</w:t>
            </w:r>
            <w:r>
              <w:rPr>
                <w:rFonts w:hint="default" w:ascii="Times New Roman" w:hAnsi="Times New Roman" w:eastAsia="宋体" w:cs="Times New Roman"/>
                <w:b/>
                <w:bCs/>
                <w:color w:val="auto"/>
                <w:kern w:val="0"/>
                <w:sz w:val="21"/>
                <w:szCs w:val="21"/>
                <w:highlight w:val="none"/>
              </w:rPr>
              <w:t>10</w:t>
            </w:r>
            <w:r>
              <w:rPr>
                <w:rFonts w:hint="default" w:ascii="Times New Roman" w:hAnsi="Times New Roman" w:eastAsia="宋体" w:cs="Times New Roman"/>
                <w:color w:val="auto"/>
                <w:kern w:val="0"/>
                <w:sz w:val="21"/>
                <w:szCs w:val="21"/>
                <w:highlight w:val="none"/>
              </w:rPr>
              <w:t>分；</w:t>
            </w:r>
          </w:p>
          <w:p w14:paraId="5BFA6AC3">
            <w:pPr>
              <w:keepNext w:val="0"/>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履约信誉：</w:t>
            </w:r>
            <w:r>
              <w:rPr>
                <w:rFonts w:hint="default" w:ascii="Times New Roman" w:hAnsi="Times New Roman" w:eastAsia="宋体" w:cs="Times New Roman"/>
                <w:b/>
                <w:bCs/>
                <w:color w:val="auto"/>
                <w:kern w:val="0"/>
                <w:sz w:val="21"/>
                <w:szCs w:val="21"/>
                <w:highlight w:val="none"/>
              </w:rPr>
              <w:t>15</w:t>
            </w:r>
            <w:r>
              <w:rPr>
                <w:rFonts w:hint="default" w:ascii="Times New Roman" w:hAnsi="Times New Roman" w:eastAsia="宋体" w:cs="Times New Roman"/>
                <w:color w:val="auto"/>
                <w:kern w:val="0"/>
                <w:sz w:val="21"/>
                <w:szCs w:val="21"/>
                <w:highlight w:val="none"/>
              </w:rPr>
              <w:t>分；</w:t>
            </w:r>
          </w:p>
          <w:p w14:paraId="3AAF5098">
            <w:pPr>
              <w:keepNext w:val="0"/>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业绩</w:t>
            </w:r>
            <w:r>
              <w:rPr>
                <w:rFonts w:hint="default" w:ascii="Times New Roman" w:hAnsi="Times New Roman" w:eastAsia="宋体" w:cs="Times New Roman"/>
                <w:color w:val="auto"/>
                <w:kern w:val="0"/>
                <w:sz w:val="21"/>
                <w:szCs w:val="21"/>
                <w:highlight w:val="none"/>
              </w:rPr>
              <w:t>：</w:t>
            </w:r>
            <w:r>
              <w:rPr>
                <w:rFonts w:hint="default" w:ascii="Times New Roman" w:hAnsi="Times New Roman" w:eastAsia="宋体" w:cs="Times New Roman"/>
                <w:b/>
                <w:bCs/>
                <w:color w:val="auto"/>
                <w:kern w:val="0"/>
                <w:sz w:val="21"/>
                <w:szCs w:val="21"/>
                <w:highlight w:val="none"/>
              </w:rPr>
              <w:t>10</w:t>
            </w:r>
            <w:r>
              <w:rPr>
                <w:rFonts w:hint="default" w:ascii="Times New Roman" w:hAnsi="Times New Roman" w:eastAsia="宋体" w:cs="Times New Roman"/>
                <w:color w:val="auto"/>
                <w:kern w:val="0"/>
                <w:sz w:val="21"/>
                <w:szCs w:val="21"/>
                <w:highlight w:val="none"/>
              </w:rPr>
              <w:t>分。</w:t>
            </w:r>
          </w:p>
          <w:p w14:paraId="7EBCA08C">
            <w:pPr>
              <w:keepNext w:val="0"/>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具体的评分标准见评标办法附件（第一个信封评分标准）</w:t>
            </w:r>
          </w:p>
        </w:tc>
      </w:tr>
      <w:tr w14:paraId="22E5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29" w:type="dxa"/>
            <w:gridSpan w:val="2"/>
            <w:tcBorders>
              <w:top w:val="single" w:color="auto" w:sz="4" w:space="0"/>
              <w:left w:val="single" w:color="auto" w:sz="4" w:space="0"/>
              <w:bottom w:val="single" w:color="auto" w:sz="4" w:space="0"/>
              <w:right w:val="single" w:color="auto" w:sz="4" w:space="0"/>
            </w:tcBorders>
            <w:noWrap w:val="0"/>
            <w:vAlign w:val="center"/>
          </w:tcPr>
          <w:p w14:paraId="6427F5C7">
            <w:pPr>
              <w:keepNext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2.2.3</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746DC0AB">
            <w:pPr>
              <w:keepNext w:val="0"/>
              <w:keepLines/>
              <w:pageBreakBefore w:val="0"/>
              <w:widowControl w:val="0"/>
              <w:kinsoku/>
              <w:wordWrap/>
              <w:overflowPunct/>
              <w:topLinePunct w:val="0"/>
              <w:autoSpaceDE/>
              <w:autoSpaceDN/>
              <w:bidi w:val="0"/>
              <w:adjustRightInd/>
              <w:snapToGrid w:val="0"/>
              <w:spacing w:line="400" w:lineRule="exact"/>
              <w:ind w:left="113" w:right="113"/>
              <w:jc w:val="center"/>
              <w:textAlignment w:val="auto"/>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olor w:val="auto"/>
                <w:spacing w:val="-4"/>
                <w:sz w:val="21"/>
                <w:szCs w:val="21"/>
                <w:highlight w:val="none"/>
              </w:rPr>
              <w:t>第二个信封</w:t>
            </w:r>
          </w:p>
          <w:p w14:paraId="41273C8A">
            <w:pPr>
              <w:keepNext w:val="0"/>
              <w:keepLines/>
              <w:pageBreakBefore w:val="0"/>
              <w:widowControl w:val="0"/>
              <w:kinsoku/>
              <w:wordWrap/>
              <w:overflowPunct/>
              <w:topLinePunct w:val="0"/>
              <w:autoSpaceDE/>
              <w:autoSpaceDN/>
              <w:bidi w:val="0"/>
              <w:adjustRightInd/>
              <w:snapToGrid w:val="0"/>
              <w:spacing w:line="400" w:lineRule="exact"/>
              <w:ind w:left="113" w:right="113"/>
              <w:jc w:val="center"/>
              <w:textAlignment w:val="auto"/>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olor w:val="auto"/>
                <w:spacing w:val="-4"/>
                <w:sz w:val="21"/>
                <w:szCs w:val="21"/>
                <w:highlight w:val="none"/>
              </w:rPr>
              <w:t>详细评审标准</w:t>
            </w:r>
          </w:p>
        </w:tc>
        <w:tc>
          <w:tcPr>
            <w:tcW w:w="5818" w:type="dxa"/>
            <w:tcBorders>
              <w:top w:val="single" w:color="auto" w:sz="4" w:space="0"/>
              <w:left w:val="single" w:color="auto" w:sz="4" w:space="0"/>
              <w:bottom w:val="single" w:color="auto" w:sz="4" w:space="0"/>
              <w:right w:val="single" w:color="auto" w:sz="4" w:space="0"/>
            </w:tcBorders>
            <w:noWrap w:val="0"/>
            <w:vAlign w:val="center"/>
          </w:tcPr>
          <w:p w14:paraId="21C4EDAB">
            <w:pPr>
              <w:keepNext w:val="0"/>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评标价计算公式：</w:t>
            </w:r>
          </w:p>
          <w:p w14:paraId="76CAC290">
            <w:pPr>
              <w:keepNext w:val="0"/>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评标价＝投标函文字报价</w:t>
            </w:r>
          </w:p>
        </w:tc>
      </w:tr>
      <w:tr w14:paraId="6EA27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729" w:type="dxa"/>
            <w:gridSpan w:val="2"/>
            <w:tcBorders>
              <w:top w:val="single" w:color="auto" w:sz="4" w:space="0"/>
              <w:left w:val="single" w:color="auto" w:sz="4" w:space="0"/>
              <w:bottom w:val="single" w:color="auto" w:sz="4" w:space="0"/>
              <w:right w:val="single" w:color="auto" w:sz="4" w:space="0"/>
            </w:tcBorders>
            <w:noWrap w:val="0"/>
            <w:vAlign w:val="center"/>
          </w:tcPr>
          <w:p w14:paraId="6764E6FB">
            <w:pPr>
              <w:keepNext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3.2.4</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3776EE84">
            <w:pPr>
              <w:keepNext w:val="0"/>
              <w:keepLines/>
              <w:pageBreakBefore w:val="0"/>
              <w:widowControl w:val="0"/>
              <w:kinsoku/>
              <w:wordWrap/>
              <w:overflowPunct/>
              <w:topLinePunct w:val="0"/>
              <w:autoSpaceDE/>
              <w:autoSpaceDN/>
              <w:bidi w:val="0"/>
              <w:adjustRightInd/>
              <w:snapToGrid w:val="0"/>
              <w:spacing w:line="400" w:lineRule="exact"/>
              <w:ind w:right="113"/>
              <w:jc w:val="center"/>
              <w:textAlignment w:val="auto"/>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olor w:val="auto"/>
                <w:spacing w:val="-4"/>
                <w:sz w:val="21"/>
                <w:szCs w:val="21"/>
                <w:highlight w:val="none"/>
              </w:rPr>
              <w:t>通过第一个信封详细评审的投标人数量</w:t>
            </w:r>
          </w:p>
        </w:tc>
        <w:tc>
          <w:tcPr>
            <w:tcW w:w="5818" w:type="dxa"/>
            <w:tcBorders>
              <w:top w:val="single" w:color="auto" w:sz="4" w:space="0"/>
              <w:left w:val="single" w:color="auto" w:sz="4" w:space="0"/>
              <w:bottom w:val="single" w:color="auto" w:sz="4" w:space="0"/>
              <w:right w:val="single" w:color="auto" w:sz="4" w:space="0"/>
            </w:tcBorders>
            <w:noWrap w:val="0"/>
            <w:vAlign w:val="center"/>
          </w:tcPr>
          <w:p w14:paraId="304BF723">
            <w:pPr>
              <w:keepNext w:val="0"/>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kern w:val="0"/>
                <w:sz w:val="21"/>
                <w:highlight w:val="none"/>
                <w:lang w:eastAsia="zh-CN"/>
              </w:rPr>
            </w:pPr>
            <w:r>
              <w:rPr>
                <w:rFonts w:hint="default" w:ascii="Times New Roman" w:hAnsi="Times New Roman" w:eastAsia="宋体" w:cs="Times New Roman"/>
                <w:color w:val="auto"/>
                <w:kern w:val="0"/>
                <w:sz w:val="21"/>
                <w:szCs w:val="21"/>
                <w:highlight w:val="none"/>
              </w:rPr>
              <w:t>按照投标人的商务和技术得分由高到低的顺序排序，选择前</w:t>
            </w:r>
            <w:r>
              <w:rPr>
                <w:rFonts w:hint="eastAsia" w:ascii="Times New Roman" w:hAnsi="Times New Roman" w:eastAsia="宋体" w:cs="Times New Roman"/>
                <w:color w:val="auto"/>
                <w:kern w:val="0"/>
                <w:sz w:val="21"/>
                <w:szCs w:val="21"/>
                <w:highlight w:val="none"/>
                <w:lang w:val="en-US" w:eastAsia="zh-CN"/>
              </w:rPr>
              <w:t>3</w:t>
            </w:r>
            <w:r>
              <w:rPr>
                <w:rFonts w:hint="default" w:ascii="Times New Roman" w:hAnsi="Times New Roman" w:eastAsia="宋体" w:cs="Times New Roman"/>
                <w:color w:val="auto"/>
                <w:kern w:val="0"/>
                <w:sz w:val="21"/>
                <w:szCs w:val="21"/>
                <w:highlight w:val="none"/>
              </w:rPr>
              <w:t>名通过详细评审</w:t>
            </w:r>
            <w:r>
              <w:rPr>
                <w:rFonts w:hint="default" w:ascii="Times New Roman" w:hAnsi="Times New Roman" w:eastAsia="宋体" w:cs="Times New Roman"/>
                <w:color w:val="auto"/>
                <w:kern w:val="0"/>
                <w:sz w:val="21"/>
                <w:szCs w:val="21"/>
                <w:highlight w:val="none"/>
                <w:lang w:eastAsia="zh-CN"/>
              </w:rPr>
              <w:t>。</w:t>
            </w:r>
          </w:p>
        </w:tc>
      </w:tr>
      <w:tr w14:paraId="0A73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277" w:type="dxa"/>
            <w:gridSpan w:val="4"/>
            <w:tcBorders>
              <w:top w:val="single" w:color="auto" w:sz="4" w:space="0"/>
              <w:left w:val="single" w:color="auto" w:sz="4" w:space="0"/>
              <w:bottom w:val="single" w:color="auto" w:sz="4" w:space="0"/>
              <w:right w:val="single" w:color="auto" w:sz="4" w:space="0"/>
            </w:tcBorders>
            <w:noWrap w:val="0"/>
            <w:vAlign w:val="center"/>
          </w:tcPr>
          <w:p w14:paraId="12D65812">
            <w:pPr>
              <w:keepNext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ascii="Times New Roman" w:hAnsi="Times New Roman" w:eastAsia="宋体" w:cs="Times New Roman"/>
                <w:color w:val="auto"/>
                <w:kern w:val="0"/>
                <w:sz w:val="21"/>
                <w:highlight w:val="none"/>
              </w:rPr>
            </w:pPr>
            <w:r>
              <w:rPr>
                <w:rFonts w:hint="default" w:ascii="Times New Roman" w:hAnsi="Times New Roman" w:eastAsia="宋体" w:cs="Times New Roman"/>
                <w:color w:val="auto"/>
                <w:kern w:val="0"/>
                <w:sz w:val="21"/>
                <w:highlight w:val="none"/>
              </w:rPr>
              <w:t>3.10需要补充的其他内容：</w:t>
            </w:r>
          </w:p>
          <w:p w14:paraId="66AE7064">
            <w:pPr>
              <w:keepNext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ascii="Times New Roman" w:hAnsi="Times New Roman" w:eastAsia="宋体" w:cs="Times New Roman"/>
                <w:color w:val="auto"/>
                <w:kern w:val="0"/>
                <w:sz w:val="21"/>
                <w:highlight w:val="none"/>
              </w:rPr>
            </w:pPr>
            <w:r>
              <w:rPr>
                <w:rFonts w:hint="default" w:ascii="Times New Roman" w:hAnsi="Times New Roman" w:eastAsia="宋体" w:cs="Times New Roman"/>
                <w:color w:val="auto"/>
                <w:kern w:val="0"/>
                <w:sz w:val="21"/>
                <w:highlight w:val="none"/>
              </w:rPr>
              <w:t>3.10.1投标人的商务和技术得分相同时，评标委员会依次按照以下优先顺序确定通过第一个信封（商务及技术文件）详细评审的投标人名单：</w:t>
            </w:r>
          </w:p>
          <w:p w14:paraId="6E2DBBEB">
            <w:pPr>
              <w:keepNext w:val="0"/>
              <w:pageBreakBefore w:val="0"/>
              <w:widowControl w:val="0"/>
              <w:numPr>
                <w:ilvl w:val="0"/>
                <w:numId w:val="1"/>
              </w:numPr>
              <w:kinsoku/>
              <w:wordWrap/>
              <w:overflowPunct/>
              <w:topLinePunct w:val="0"/>
              <w:autoSpaceDE/>
              <w:autoSpaceDN/>
              <w:bidi w:val="0"/>
              <w:adjustRightInd/>
              <w:spacing w:line="400" w:lineRule="exact"/>
              <w:ind w:firstLine="400" w:firstLineChars="200"/>
              <w:textAlignment w:val="auto"/>
              <w:rPr>
                <w:rFonts w:ascii="Times New Roman" w:hAnsi="Times New Roman" w:eastAsia="宋体"/>
                <w:color w:val="auto"/>
                <w:sz w:val="21"/>
                <w:lang w:eastAsia="zh-CN"/>
              </w:rPr>
            </w:pPr>
            <w:r>
              <w:rPr>
                <w:rFonts w:ascii="Times New Roman" w:hAnsi="Times New Roman" w:eastAsia="宋体"/>
                <w:color w:val="auto"/>
                <w:spacing w:val="-5"/>
                <w:sz w:val="21"/>
                <w:lang w:eastAsia="zh-CN"/>
              </w:rPr>
              <w:t>黑龙江省交通运输厅</w:t>
            </w:r>
            <w:r>
              <w:rPr>
                <w:rFonts w:ascii="Times New Roman" w:hAnsi="Times New Roman" w:eastAsia="宋体"/>
                <w:color w:val="auto"/>
                <w:sz w:val="21"/>
                <w:lang w:eastAsia="zh-CN"/>
              </w:rPr>
              <w:t>20</w:t>
            </w:r>
            <w:r>
              <w:rPr>
                <w:rFonts w:hint="eastAsia" w:ascii="Times New Roman" w:hAnsi="Times New Roman" w:eastAsia="宋体"/>
                <w:color w:val="auto"/>
                <w:sz w:val="21"/>
                <w:lang w:val="en-US" w:eastAsia="zh-CN"/>
              </w:rPr>
              <w:t>22</w:t>
            </w:r>
            <w:r>
              <w:rPr>
                <w:rFonts w:ascii="Times New Roman" w:hAnsi="Times New Roman" w:eastAsia="宋体"/>
                <w:color w:val="auto"/>
                <w:spacing w:val="1"/>
                <w:sz w:val="21"/>
                <w:lang w:eastAsia="zh-CN"/>
              </w:rPr>
              <w:t>年度或交通运输部</w:t>
            </w:r>
            <w:r>
              <w:rPr>
                <w:rFonts w:ascii="Times New Roman" w:hAnsi="Times New Roman" w:eastAsia="宋体"/>
                <w:color w:val="auto"/>
                <w:spacing w:val="11"/>
                <w:sz w:val="21"/>
                <w:lang w:eastAsia="zh-CN"/>
              </w:rPr>
              <w:t>2</w:t>
            </w:r>
            <w:r>
              <w:rPr>
                <w:rFonts w:hint="eastAsia" w:ascii="Times New Roman" w:hAnsi="Times New Roman" w:eastAsia="宋体"/>
                <w:color w:val="auto"/>
                <w:spacing w:val="11"/>
                <w:sz w:val="21"/>
                <w:lang w:val="en-US" w:eastAsia="zh-CN"/>
              </w:rPr>
              <w:t>022</w:t>
            </w:r>
            <w:r>
              <w:rPr>
                <w:rFonts w:ascii="Times New Roman" w:hAnsi="Times New Roman" w:eastAsia="宋体"/>
                <w:color w:val="auto"/>
                <w:spacing w:val="-3"/>
                <w:sz w:val="21"/>
                <w:lang w:eastAsia="zh-CN"/>
              </w:rPr>
              <w:t>年度公路施工企业信用评价中取得信用等级高的优先；黑龙江省交通运输厅</w:t>
            </w:r>
            <w:r>
              <w:rPr>
                <w:rFonts w:ascii="Times New Roman" w:hAnsi="Times New Roman" w:eastAsia="宋体"/>
                <w:color w:val="auto"/>
                <w:spacing w:val="-6"/>
                <w:sz w:val="21"/>
                <w:lang w:eastAsia="zh-CN"/>
              </w:rPr>
              <w:t xml:space="preserve"> </w:t>
            </w:r>
            <w:r>
              <w:rPr>
                <w:rFonts w:ascii="Times New Roman" w:hAnsi="Times New Roman" w:eastAsia="宋体"/>
                <w:color w:val="auto"/>
                <w:sz w:val="21"/>
                <w:lang w:eastAsia="zh-CN"/>
              </w:rPr>
              <w:t>20</w:t>
            </w:r>
            <w:r>
              <w:rPr>
                <w:rFonts w:hint="eastAsia" w:ascii="Times New Roman" w:hAnsi="Times New Roman" w:eastAsia="宋体"/>
                <w:color w:val="auto"/>
                <w:sz w:val="21"/>
                <w:lang w:val="en-US" w:eastAsia="zh-CN"/>
              </w:rPr>
              <w:t>22</w:t>
            </w:r>
            <w:r>
              <w:rPr>
                <w:rFonts w:ascii="Times New Roman" w:hAnsi="Times New Roman" w:eastAsia="宋体"/>
                <w:color w:val="auto"/>
                <w:spacing w:val="1"/>
                <w:sz w:val="21"/>
                <w:lang w:eastAsia="zh-CN"/>
              </w:rPr>
              <w:t>年度或交通运输部</w:t>
            </w:r>
            <w:r>
              <w:rPr>
                <w:rFonts w:ascii="Times New Roman" w:hAnsi="Times New Roman" w:eastAsia="宋体"/>
                <w:color w:val="auto"/>
                <w:sz w:val="21"/>
                <w:lang w:eastAsia="zh-CN"/>
              </w:rPr>
              <w:t>20</w:t>
            </w:r>
            <w:r>
              <w:rPr>
                <w:rFonts w:hint="eastAsia" w:ascii="Times New Roman" w:hAnsi="Times New Roman" w:eastAsia="宋体"/>
                <w:color w:val="auto"/>
                <w:sz w:val="21"/>
                <w:lang w:val="en-US" w:eastAsia="zh-CN"/>
              </w:rPr>
              <w:t>22</w:t>
            </w:r>
            <w:r>
              <w:rPr>
                <w:rFonts w:ascii="Times New Roman" w:hAnsi="Times New Roman" w:eastAsia="宋体"/>
                <w:color w:val="auto"/>
                <w:spacing w:val="1"/>
                <w:sz w:val="21"/>
                <w:lang w:eastAsia="zh-CN"/>
              </w:rPr>
              <w:t>年度公路施工企业信用评价等级也相同的，按投标人业绩得分高且数量多的优</w:t>
            </w:r>
            <w:r>
              <w:rPr>
                <w:rFonts w:ascii="Times New Roman" w:hAnsi="Times New Roman" w:eastAsia="宋体"/>
                <w:color w:val="auto"/>
                <w:sz w:val="21"/>
                <w:lang w:eastAsia="zh-CN"/>
              </w:rPr>
              <w:t>先，若业绩得分相同且业绩数量相等的，按投标人年平均营业额高的优先。</w:t>
            </w:r>
          </w:p>
          <w:p w14:paraId="2F0234FA">
            <w:pPr>
              <w:keepNext w:val="0"/>
              <w:pageBreakBefore w:val="0"/>
              <w:widowControl w:val="0"/>
              <w:numPr>
                <w:ilvl w:val="0"/>
                <w:numId w:val="0"/>
              </w:numPr>
              <w:kinsoku/>
              <w:wordWrap/>
              <w:overflowPunct/>
              <w:topLinePunct w:val="0"/>
              <w:autoSpaceDE/>
              <w:autoSpaceDN/>
              <w:bidi w:val="0"/>
              <w:adjustRightInd/>
              <w:spacing w:line="400" w:lineRule="exact"/>
              <w:ind w:firstLine="420" w:firstLineChars="200"/>
              <w:textAlignment w:val="auto"/>
              <w:rPr>
                <w:rFonts w:hint="default"/>
                <w:color w:val="auto"/>
                <w:highlight w:val="none"/>
              </w:rPr>
            </w:pPr>
            <w:r>
              <w:rPr>
                <w:rFonts w:hint="eastAsia" w:ascii="Times New Roman" w:hAnsi="Times New Roman" w:eastAsia="宋体" w:cs="Times New Roman"/>
                <w:color w:val="auto"/>
                <w:kern w:val="0"/>
                <w:sz w:val="21"/>
                <w:highlight w:val="none"/>
                <w:lang w:eastAsia="zh-CN"/>
              </w:rPr>
              <w:t>（</w:t>
            </w:r>
            <w:r>
              <w:rPr>
                <w:rFonts w:hint="eastAsia" w:ascii="Times New Roman" w:hAnsi="Times New Roman" w:eastAsia="宋体" w:cs="Times New Roman"/>
                <w:color w:val="auto"/>
                <w:kern w:val="0"/>
                <w:sz w:val="21"/>
                <w:highlight w:val="none"/>
                <w:lang w:val="en-US" w:eastAsia="zh-CN"/>
              </w:rPr>
              <w:t>2</w:t>
            </w:r>
            <w:r>
              <w:rPr>
                <w:rFonts w:hint="eastAsia" w:ascii="Times New Roman" w:hAnsi="Times New Roman" w:eastAsia="宋体" w:cs="Times New Roman"/>
                <w:color w:val="auto"/>
                <w:kern w:val="0"/>
                <w:sz w:val="21"/>
                <w:highlight w:val="none"/>
                <w:lang w:eastAsia="zh-CN"/>
              </w:rPr>
              <w:t>）</w:t>
            </w:r>
            <w:r>
              <w:rPr>
                <w:rFonts w:hint="default" w:ascii="Times New Roman" w:hAnsi="Times New Roman" w:eastAsia="宋体" w:cs="Times New Roman"/>
                <w:color w:val="auto"/>
                <w:kern w:val="0"/>
                <w:sz w:val="21"/>
                <w:highlight w:val="none"/>
              </w:rPr>
              <w:t>施工组织设计得分较高的投标人优先。</w:t>
            </w:r>
          </w:p>
          <w:p w14:paraId="36FF0025">
            <w:pPr>
              <w:keepNext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ascii="Times New Roman" w:hAnsi="Times New Roman" w:eastAsia="宋体" w:cs="Times New Roman"/>
                <w:color w:val="auto"/>
                <w:kern w:val="0"/>
                <w:sz w:val="21"/>
                <w:highlight w:val="none"/>
              </w:rPr>
            </w:pPr>
            <w:r>
              <w:rPr>
                <w:rFonts w:hint="default" w:ascii="Times New Roman" w:hAnsi="Times New Roman" w:eastAsia="宋体" w:cs="Times New Roman"/>
                <w:color w:val="auto"/>
                <w:kern w:val="0"/>
                <w:sz w:val="21"/>
                <w:highlight w:val="none"/>
              </w:rPr>
              <w:t>3.10.</w:t>
            </w:r>
            <w:r>
              <w:rPr>
                <w:rFonts w:hint="default" w:ascii="Times New Roman" w:hAnsi="Times New Roman" w:eastAsia="宋体" w:cs="Times New Roman"/>
                <w:color w:val="auto"/>
                <w:kern w:val="0"/>
                <w:sz w:val="21"/>
                <w:highlight w:val="none"/>
                <w:lang w:val="en-US" w:eastAsia="zh-CN"/>
              </w:rPr>
              <w:t>2</w:t>
            </w:r>
            <w:r>
              <w:rPr>
                <w:rFonts w:hint="default" w:ascii="Times New Roman" w:hAnsi="Times New Roman" w:eastAsia="宋体" w:cs="Times New Roman"/>
                <w:color w:val="auto"/>
                <w:kern w:val="0"/>
                <w:sz w:val="21"/>
                <w:highlight w:val="none"/>
              </w:rPr>
              <w:t>评标委员会对通过第一个信封（商务及技术文件）评审的投标人的第二个信封（报价文件）进行评审后，有效投标不足3个的，可以否决全部投标；未否决全部投标的，评标委员会应当在评标报告中阐明理由并推荐中标候选人。</w:t>
            </w:r>
          </w:p>
          <w:p w14:paraId="61CACF09">
            <w:pPr>
              <w:keepNext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ascii="Times New Roman" w:hAnsi="Times New Roman" w:eastAsia="宋体" w:cs="Times New Roman"/>
                <w:color w:val="auto"/>
                <w:kern w:val="0"/>
                <w:sz w:val="21"/>
                <w:highlight w:val="none"/>
              </w:rPr>
            </w:pPr>
            <w:r>
              <w:rPr>
                <w:rFonts w:hint="default" w:ascii="Times New Roman" w:hAnsi="Times New Roman" w:eastAsia="宋体" w:cs="Times New Roman"/>
                <w:color w:val="auto"/>
                <w:kern w:val="0"/>
                <w:sz w:val="21"/>
                <w:highlight w:val="none"/>
              </w:rPr>
              <w:t>3.10.</w:t>
            </w:r>
            <w:r>
              <w:rPr>
                <w:rFonts w:hint="default" w:ascii="Times New Roman" w:hAnsi="Times New Roman" w:eastAsia="宋体" w:cs="Times New Roman"/>
                <w:color w:val="auto"/>
                <w:kern w:val="0"/>
                <w:sz w:val="21"/>
                <w:highlight w:val="none"/>
                <w:lang w:val="en-US" w:eastAsia="zh-CN"/>
              </w:rPr>
              <w:t>3</w:t>
            </w:r>
            <w:r>
              <w:rPr>
                <w:rFonts w:hint="default" w:ascii="Times New Roman" w:hAnsi="Times New Roman" w:eastAsia="宋体" w:cs="Times New Roman"/>
                <w:color w:val="auto"/>
                <w:kern w:val="0"/>
                <w:sz w:val="21"/>
                <w:highlight w:val="none"/>
              </w:rPr>
              <w:t>本招标项目要求投标人按照招标人提供的工程量清单电子文件填写工程量清单，无须按照本章第3.4.2项和第3.4.3项的规定对投标报价进行修正，第3.4.2项至第3.4.4项内容不适用。</w:t>
            </w:r>
          </w:p>
          <w:p w14:paraId="64864B61">
            <w:pPr>
              <w:keepNext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highlight w:val="none"/>
              </w:rPr>
              <w:t>3.10.</w:t>
            </w:r>
            <w:r>
              <w:rPr>
                <w:rFonts w:hint="default" w:ascii="Times New Roman" w:hAnsi="Times New Roman" w:eastAsia="宋体" w:cs="Times New Roman"/>
                <w:color w:val="auto"/>
                <w:kern w:val="0"/>
                <w:sz w:val="21"/>
                <w:highlight w:val="none"/>
                <w:lang w:val="en-US" w:eastAsia="zh-CN"/>
              </w:rPr>
              <w:t>4</w:t>
            </w:r>
            <w:r>
              <w:rPr>
                <w:rFonts w:hint="default" w:ascii="Times New Roman" w:hAnsi="Times New Roman" w:eastAsia="宋体" w:cs="Times New Roman"/>
                <w:color w:val="auto"/>
                <w:kern w:val="0"/>
                <w:sz w:val="21"/>
                <w:szCs w:val="21"/>
                <w:highlight w:val="none"/>
              </w:rPr>
              <w:t>招标人设置成本价评估值，成本价评估值作为投标人投标报价是否“明显低于其他投标人报价”的重要参考依据。投标人的投标报价低于成本价评估值的，投标人应当对其投标报价作出书面说明，提供投标报价单价构成说明及相关证明材料（详细的清单预算、主要材料来源及价格证明材料以及评标委员会要求提供的其他材料等），并加盖投标人单位公章，随时备查。</w:t>
            </w:r>
          </w:p>
          <w:p w14:paraId="27929A0D">
            <w:pPr>
              <w:keepNext w:val="0"/>
              <w:pageBreakBefore w:val="0"/>
              <w:widowControl w:val="0"/>
              <w:kinsoku/>
              <w:wordWrap/>
              <w:overflowPunct/>
              <w:topLinePunct w:val="0"/>
              <w:autoSpaceDE/>
              <w:autoSpaceDN/>
              <w:bidi w:val="0"/>
              <w:adjustRightInd/>
              <w:spacing w:line="400" w:lineRule="exact"/>
              <w:ind w:firstLine="422" w:firstLineChars="200"/>
              <w:jc w:val="left"/>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b/>
                <w:bCs/>
                <w:color w:val="auto"/>
                <w:kern w:val="0"/>
                <w:sz w:val="21"/>
                <w:szCs w:val="21"/>
                <w:highlight w:val="none"/>
              </w:rPr>
              <w:t>成本价评估值=最高投标限价×0.85</w:t>
            </w:r>
          </w:p>
        </w:tc>
      </w:tr>
    </w:tbl>
    <w:p w14:paraId="3AB10EF0">
      <w:pPr>
        <w:jc w:val="center"/>
        <w:rPr>
          <w:rFonts w:hint="default" w:ascii="Times New Roman" w:hAnsi="Times New Roman" w:eastAsia="宋体" w:cs="Times New Roman"/>
          <w:b/>
          <w:color w:val="auto"/>
          <w:sz w:val="30"/>
          <w:szCs w:val="30"/>
          <w:highlight w:val="none"/>
        </w:rPr>
      </w:pPr>
      <w:r>
        <w:rPr>
          <w:rFonts w:hint="default" w:ascii="Times New Roman" w:hAnsi="Times New Roman" w:eastAsia="宋体" w:cs="Times New Roman"/>
          <w:color w:val="auto"/>
          <w:highlight w:val="none"/>
        </w:rPr>
        <w:br w:type="page"/>
      </w:r>
      <w:r>
        <w:rPr>
          <w:rFonts w:hint="default" w:ascii="Times New Roman" w:hAnsi="Times New Roman" w:eastAsia="宋体" w:cs="Times New Roman"/>
          <w:b/>
          <w:color w:val="auto"/>
          <w:sz w:val="30"/>
          <w:szCs w:val="30"/>
          <w:highlight w:val="none"/>
        </w:rPr>
        <w:t>第一个信封评分标准</w:t>
      </w:r>
    </w:p>
    <w:tbl>
      <w:tblPr>
        <w:tblStyle w:val="3"/>
        <w:tblpPr w:leftFromText="180" w:rightFromText="180" w:vertAnchor="text" w:horzAnchor="page" w:tblpX="1457" w:tblpY="387"/>
        <w:tblOverlap w:val="never"/>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58"/>
        <w:gridCol w:w="407"/>
        <w:gridCol w:w="493"/>
        <w:gridCol w:w="675"/>
        <w:gridCol w:w="1320"/>
        <w:gridCol w:w="675"/>
        <w:gridCol w:w="5055"/>
      </w:tblGrid>
      <w:tr w14:paraId="0408306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8" w:type="dxa"/>
            <w:vMerge w:val="restart"/>
            <w:tcBorders>
              <w:top w:val="single" w:color="auto" w:sz="6" w:space="0"/>
              <w:left w:val="single" w:color="auto" w:sz="6" w:space="0"/>
              <w:bottom w:val="single" w:color="auto" w:sz="6" w:space="0"/>
              <w:right w:val="single" w:color="auto" w:sz="6" w:space="0"/>
            </w:tcBorders>
            <w:noWrap w:val="0"/>
            <w:vAlign w:val="center"/>
          </w:tcPr>
          <w:p w14:paraId="322A146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条</w:t>
            </w:r>
          </w:p>
          <w:p w14:paraId="7F12EF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款</w:t>
            </w:r>
          </w:p>
          <w:p w14:paraId="7705C93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号</w:t>
            </w:r>
          </w:p>
        </w:tc>
        <w:tc>
          <w:tcPr>
            <w:tcW w:w="3570" w:type="dxa"/>
            <w:gridSpan w:val="5"/>
            <w:tcBorders>
              <w:top w:val="single" w:color="auto" w:sz="6" w:space="0"/>
              <w:left w:val="single" w:color="auto" w:sz="6" w:space="0"/>
              <w:bottom w:val="single" w:color="auto" w:sz="6" w:space="0"/>
              <w:right w:val="single" w:color="auto" w:sz="6" w:space="0"/>
            </w:tcBorders>
            <w:noWrap w:val="0"/>
            <w:vAlign w:val="center"/>
          </w:tcPr>
          <w:p w14:paraId="542334A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评分因素与权重分值</w:t>
            </w:r>
          </w:p>
        </w:tc>
        <w:tc>
          <w:tcPr>
            <w:tcW w:w="5055" w:type="dxa"/>
            <w:vMerge w:val="restart"/>
            <w:tcBorders>
              <w:top w:val="single" w:color="auto" w:sz="6" w:space="0"/>
              <w:left w:val="single" w:color="auto" w:sz="6" w:space="0"/>
              <w:bottom w:val="single" w:color="auto" w:sz="6" w:space="0"/>
              <w:right w:val="single" w:color="auto" w:sz="6" w:space="0"/>
            </w:tcBorders>
            <w:noWrap w:val="0"/>
            <w:vAlign w:val="center"/>
          </w:tcPr>
          <w:p w14:paraId="1EB88F6D">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评分标准</w:t>
            </w:r>
          </w:p>
        </w:tc>
      </w:tr>
      <w:tr w14:paraId="5D00941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8" w:hRule="atLeast"/>
        </w:trPr>
        <w:tc>
          <w:tcPr>
            <w:tcW w:w="758" w:type="dxa"/>
            <w:vMerge w:val="continue"/>
            <w:tcBorders>
              <w:top w:val="single" w:color="auto" w:sz="6" w:space="0"/>
              <w:left w:val="single" w:color="auto" w:sz="6" w:space="0"/>
              <w:bottom w:val="single" w:color="auto" w:sz="6" w:space="0"/>
              <w:right w:val="single" w:color="auto" w:sz="6" w:space="0"/>
            </w:tcBorders>
            <w:noWrap w:val="0"/>
            <w:vAlign w:val="center"/>
          </w:tcPr>
          <w:p w14:paraId="50C0232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color w:val="auto"/>
                <w:sz w:val="21"/>
                <w:szCs w:val="21"/>
                <w:highlight w:val="none"/>
              </w:rPr>
            </w:pPr>
          </w:p>
        </w:tc>
        <w:tc>
          <w:tcPr>
            <w:tcW w:w="900" w:type="dxa"/>
            <w:gridSpan w:val="2"/>
            <w:tcBorders>
              <w:top w:val="single" w:color="auto" w:sz="6" w:space="0"/>
              <w:left w:val="single" w:color="auto" w:sz="6" w:space="0"/>
              <w:bottom w:val="single" w:color="auto" w:sz="6" w:space="0"/>
              <w:right w:val="single" w:color="auto" w:sz="6" w:space="0"/>
            </w:tcBorders>
            <w:noWrap w:val="0"/>
            <w:vAlign w:val="center"/>
          </w:tcPr>
          <w:p w14:paraId="6477DC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评分因素</w:t>
            </w:r>
          </w:p>
        </w:tc>
        <w:tc>
          <w:tcPr>
            <w:tcW w:w="675" w:type="dxa"/>
            <w:tcBorders>
              <w:top w:val="single" w:color="auto" w:sz="6" w:space="0"/>
              <w:left w:val="single" w:color="auto" w:sz="6" w:space="0"/>
              <w:bottom w:val="single" w:color="auto" w:sz="6" w:space="0"/>
              <w:right w:val="single" w:color="auto" w:sz="6" w:space="0"/>
            </w:tcBorders>
            <w:noWrap w:val="0"/>
            <w:vAlign w:val="center"/>
          </w:tcPr>
          <w:p w14:paraId="33CAB22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1"/>
                <w:highlight w:val="none"/>
              </w:rPr>
              <w:t>评分因素权重分值</w:t>
            </w:r>
          </w:p>
        </w:tc>
        <w:tc>
          <w:tcPr>
            <w:tcW w:w="1320" w:type="dxa"/>
            <w:tcBorders>
              <w:top w:val="single" w:color="auto" w:sz="6" w:space="0"/>
              <w:left w:val="single" w:color="auto" w:sz="6" w:space="0"/>
              <w:bottom w:val="single" w:color="auto" w:sz="6" w:space="0"/>
              <w:right w:val="single" w:color="auto" w:sz="6" w:space="0"/>
            </w:tcBorders>
            <w:noWrap w:val="0"/>
            <w:vAlign w:val="center"/>
          </w:tcPr>
          <w:p w14:paraId="05BA11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各评分因素</w:t>
            </w:r>
          </w:p>
          <w:p w14:paraId="24775D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细分项</w:t>
            </w:r>
          </w:p>
        </w:tc>
        <w:tc>
          <w:tcPr>
            <w:tcW w:w="675" w:type="dxa"/>
            <w:tcBorders>
              <w:top w:val="single" w:color="auto" w:sz="6" w:space="0"/>
              <w:left w:val="single" w:color="auto" w:sz="6" w:space="0"/>
              <w:bottom w:val="single" w:color="auto" w:sz="6" w:space="0"/>
              <w:right w:val="single" w:color="auto" w:sz="6" w:space="0"/>
            </w:tcBorders>
            <w:noWrap w:val="0"/>
            <w:vAlign w:val="center"/>
          </w:tcPr>
          <w:p w14:paraId="1722B3B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分值</w:t>
            </w:r>
          </w:p>
        </w:tc>
        <w:tc>
          <w:tcPr>
            <w:tcW w:w="5055" w:type="dxa"/>
            <w:vMerge w:val="continue"/>
            <w:tcBorders>
              <w:top w:val="single" w:color="auto" w:sz="6" w:space="0"/>
              <w:left w:val="single" w:color="auto" w:sz="6" w:space="0"/>
              <w:bottom w:val="single" w:color="auto" w:sz="6" w:space="0"/>
              <w:right w:val="single" w:color="auto" w:sz="6" w:space="0"/>
            </w:tcBorders>
            <w:noWrap w:val="0"/>
            <w:vAlign w:val="center"/>
          </w:tcPr>
          <w:p w14:paraId="1F8E4BE4">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宋体" w:cs="Times New Roman"/>
                <w:color w:val="auto"/>
                <w:sz w:val="21"/>
                <w:szCs w:val="21"/>
                <w:highlight w:val="none"/>
              </w:rPr>
            </w:pPr>
          </w:p>
        </w:tc>
      </w:tr>
      <w:tr w14:paraId="01A3DF3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202" w:hRule="atLeast"/>
        </w:trPr>
        <w:tc>
          <w:tcPr>
            <w:tcW w:w="758" w:type="dxa"/>
            <w:vMerge w:val="restart"/>
            <w:tcBorders>
              <w:top w:val="single" w:color="auto" w:sz="6" w:space="0"/>
              <w:left w:val="single" w:color="auto" w:sz="6" w:space="0"/>
              <w:bottom w:val="single" w:color="auto" w:sz="6" w:space="0"/>
              <w:right w:val="single" w:color="auto" w:sz="6" w:space="0"/>
            </w:tcBorders>
            <w:noWrap w:val="0"/>
            <w:vAlign w:val="center"/>
          </w:tcPr>
          <w:p w14:paraId="533B1764">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2.2.2（1）</w:t>
            </w:r>
          </w:p>
        </w:tc>
        <w:tc>
          <w:tcPr>
            <w:tcW w:w="900" w:type="dxa"/>
            <w:gridSpan w:val="2"/>
            <w:vMerge w:val="restart"/>
            <w:tcBorders>
              <w:top w:val="single" w:color="auto" w:sz="6" w:space="0"/>
              <w:left w:val="single" w:color="auto" w:sz="6" w:space="0"/>
              <w:bottom w:val="single" w:color="auto" w:sz="6" w:space="0"/>
              <w:right w:val="single" w:color="auto" w:sz="6" w:space="0"/>
            </w:tcBorders>
            <w:noWrap w:val="0"/>
            <w:vAlign w:val="center"/>
          </w:tcPr>
          <w:p w14:paraId="0E1872DA">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施工组织设计</w:t>
            </w:r>
          </w:p>
        </w:tc>
        <w:tc>
          <w:tcPr>
            <w:tcW w:w="675" w:type="dxa"/>
            <w:vMerge w:val="restart"/>
            <w:tcBorders>
              <w:top w:val="single" w:color="auto" w:sz="6" w:space="0"/>
              <w:left w:val="single" w:color="auto" w:sz="6" w:space="0"/>
              <w:bottom w:val="single" w:color="auto" w:sz="6" w:space="0"/>
              <w:right w:val="single" w:color="auto" w:sz="6" w:space="0"/>
            </w:tcBorders>
            <w:noWrap w:val="0"/>
            <w:vAlign w:val="center"/>
          </w:tcPr>
          <w:p w14:paraId="15B4FE84">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40分</w:t>
            </w:r>
          </w:p>
        </w:tc>
        <w:tc>
          <w:tcPr>
            <w:tcW w:w="1320" w:type="dxa"/>
            <w:tcBorders>
              <w:top w:val="single" w:color="auto" w:sz="6" w:space="0"/>
              <w:left w:val="single" w:color="auto" w:sz="6" w:space="0"/>
              <w:bottom w:val="single" w:color="auto" w:sz="6" w:space="0"/>
              <w:right w:val="single" w:color="auto" w:sz="6" w:space="0"/>
            </w:tcBorders>
            <w:noWrap w:val="0"/>
            <w:vAlign w:val="center"/>
          </w:tcPr>
          <w:p w14:paraId="635132BF">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施工总体</w:t>
            </w:r>
          </w:p>
          <w:p w14:paraId="0D07F4F6">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计划</w:t>
            </w:r>
          </w:p>
        </w:tc>
        <w:tc>
          <w:tcPr>
            <w:tcW w:w="675" w:type="dxa"/>
            <w:tcBorders>
              <w:top w:val="single" w:color="auto" w:sz="6" w:space="0"/>
              <w:left w:val="single" w:color="auto" w:sz="6" w:space="0"/>
              <w:bottom w:val="single" w:color="auto" w:sz="6" w:space="0"/>
              <w:right w:val="single" w:color="auto" w:sz="6" w:space="0"/>
            </w:tcBorders>
            <w:noWrap w:val="0"/>
            <w:vAlign w:val="center"/>
          </w:tcPr>
          <w:p w14:paraId="25A28114">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8分</w:t>
            </w:r>
          </w:p>
        </w:tc>
        <w:tc>
          <w:tcPr>
            <w:tcW w:w="5055" w:type="dxa"/>
            <w:tcBorders>
              <w:top w:val="single" w:color="auto" w:sz="6" w:space="0"/>
              <w:left w:val="single" w:color="auto" w:sz="6" w:space="0"/>
              <w:bottom w:val="single" w:color="auto" w:sz="6" w:space="0"/>
              <w:right w:val="single" w:color="auto" w:sz="6" w:space="0"/>
            </w:tcBorders>
            <w:noWrap w:val="0"/>
            <w:vAlign w:val="center"/>
          </w:tcPr>
          <w:p w14:paraId="5DDCE8BC">
            <w:pPr>
              <w:keepNext w:val="0"/>
              <w:keepLines w:val="0"/>
              <w:pageBreakBefore w:val="0"/>
              <w:widowControl w:val="0"/>
              <w:kinsoku/>
              <w:wordWrap/>
              <w:overflowPunct/>
              <w:topLinePunct w:val="0"/>
              <w:bidi w:val="0"/>
              <w:snapToGrid/>
              <w:spacing w:line="400" w:lineRule="exact"/>
              <w:jc w:val="left"/>
              <w:textAlignment w:val="auto"/>
              <w:rPr>
                <w:rFonts w:hint="eastAsia" w:ascii="Times New Roman" w:hAnsi="Times New Roman" w:eastAsia="宋体" w:cs="Times New Roman"/>
                <w:color w:val="auto"/>
                <w:spacing w:val="-6"/>
                <w:sz w:val="21"/>
                <w:szCs w:val="21"/>
                <w:highlight w:val="none"/>
                <w:lang w:val="en-US" w:eastAsia="zh-CN"/>
              </w:rPr>
            </w:pPr>
            <w:r>
              <w:rPr>
                <w:rFonts w:hint="default" w:ascii="Times New Roman" w:hAnsi="Times New Roman" w:eastAsia="宋体" w:cs="Times New Roman"/>
                <w:color w:val="auto"/>
                <w:spacing w:val="-6"/>
                <w:sz w:val="21"/>
                <w:szCs w:val="21"/>
                <w:highlight w:val="none"/>
                <w:lang w:val="en-US" w:eastAsia="zh-CN"/>
              </w:rPr>
              <w:fldChar w:fldCharType="begin"/>
            </w:r>
            <w:r>
              <w:rPr>
                <w:rFonts w:hint="default" w:ascii="Times New Roman" w:hAnsi="Times New Roman" w:eastAsia="宋体" w:cs="Times New Roman"/>
                <w:color w:val="auto"/>
                <w:spacing w:val="-6"/>
                <w:sz w:val="21"/>
                <w:szCs w:val="21"/>
                <w:highlight w:val="none"/>
                <w:lang w:val="en-US" w:eastAsia="zh-CN"/>
              </w:rPr>
              <w:instrText xml:space="preserve"> = 1 \* GB3 </w:instrText>
            </w:r>
            <w:r>
              <w:rPr>
                <w:rFonts w:hint="default" w:ascii="Times New Roman" w:hAnsi="Times New Roman" w:eastAsia="宋体" w:cs="Times New Roman"/>
                <w:color w:val="auto"/>
                <w:spacing w:val="-6"/>
                <w:sz w:val="21"/>
                <w:szCs w:val="21"/>
                <w:highlight w:val="none"/>
                <w:lang w:val="en-US" w:eastAsia="zh-CN"/>
              </w:rPr>
              <w:fldChar w:fldCharType="separate"/>
            </w:r>
            <w:r>
              <w:rPr>
                <w:rFonts w:hint="default" w:ascii="Times New Roman" w:hAnsi="Times New Roman" w:eastAsia="宋体" w:cs="Times New Roman"/>
                <w:color w:val="auto"/>
                <w:spacing w:val="-6"/>
                <w:sz w:val="21"/>
                <w:szCs w:val="21"/>
                <w:highlight w:val="none"/>
                <w:lang w:val="en-US" w:eastAsia="zh-CN"/>
              </w:rPr>
              <w:t>①</w:t>
            </w:r>
            <w:r>
              <w:rPr>
                <w:rFonts w:hint="default" w:ascii="Times New Roman" w:hAnsi="Times New Roman" w:eastAsia="宋体" w:cs="Times New Roman"/>
                <w:color w:val="auto"/>
                <w:spacing w:val="-6"/>
                <w:sz w:val="21"/>
                <w:szCs w:val="21"/>
                <w:highlight w:val="none"/>
                <w:lang w:val="en-US" w:eastAsia="zh-CN"/>
              </w:rPr>
              <w:fldChar w:fldCharType="end"/>
            </w:r>
            <w:r>
              <w:rPr>
                <w:rFonts w:hint="default" w:ascii="Times New Roman" w:hAnsi="Times New Roman" w:eastAsia="宋体" w:cs="Times New Roman"/>
                <w:color w:val="auto"/>
                <w:spacing w:val="-6"/>
                <w:sz w:val="21"/>
                <w:szCs w:val="21"/>
                <w:highlight w:val="none"/>
                <w:lang w:val="en-US" w:eastAsia="zh-CN"/>
              </w:rPr>
              <w:t>项目进度计划、质量目标、工期目标、安全目标详细程度、合理性、针对性</w:t>
            </w:r>
            <w:r>
              <w:rPr>
                <w:rFonts w:hint="eastAsia" w:ascii="Times New Roman" w:hAnsi="Times New Roman" w:eastAsia="宋体" w:cs="Times New Roman"/>
                <w:color w:val="auto"/>
                <w:spacing w:val="-6"/>
                <w:sz w:val="21"/>
                <w:szCs w:val="21"/>
                <w:highlight w:val="none"/>
                <w:lang w:val="en-US" w:eastAsia="zh-CN"/>
              </w:rPr>
              <w:t>一般的</w:t>
            </w:r>
            <w:r>
              <w:rPr>
                <w:rFonts w:hint="default" w:ascii="Times New Roman" w:hAnsi="Times New Roman" w:eastAsia="宋体" w:cs="Times New Roman"/>
                <w:color w:val="auto"/>
                <w:spacing w:val="-6"/>
                <w:sz w:val="21"/>
                <w:szCs w:val="21"/>
                <w:highlight w:val="none"/>
                <w:lang w:val="en-US" w:eastAsia="zh-CN"/>
              </w:rPr>
              <w:t>，</w:t>
            </w:r>
            <w:r>
              <w:rPr>
                <w:rFonts w:hint="eastAsia" w:ascii="Times New Roman" w:hAnsi="Times New Roman" w:eastAsia="宋体" w:cs="Times New Roman"/>
                <w:color w:val="auto"/>
                <w:spacing w:val="-6"/>
                <w:sz w:val="21"/>
                <w:szCs w:val="21"/>
                <w:highlight w:val="none"/>
                <w:lang w:val="en-US" w:eastAsia="zh-CN"/>
              </w:rPr>
              <w:t>得4.8</w:t>
            </w:r>
            <w:r>
              <w:rPr>
                <w:rFonts w:hint="default" w:ascii="Times New Roman" w:hAnsi="Times New Roman" w:eastAsia="宋体" w:cs="Times New Roman"/>
                <w:color w:val="auto"/>
                <w:spacing w:val="-6"/>
                <w:sz w:val="21"/>
                <w:szCs w:val="21"/>
                <w:highlight w:val="none"/>
                <w:lang w:val="en-US" w:eastAsia="zh-CN"/>
              </w:rPr>
              <w:t>～</w:t>
            </w:r>
            <w:r>
              <w:rPr>
                <w:rFonts w:hint="eastAsia" w:ascii="Times New Roman" w:hAnsi="Times New Roman" w:eastAsia="宋体" w:cs="Times New Roman"/>
                <w:color w:val="auto"/>
                <w:spacing w:val="-6"/>
                <w:sz w:val="21"/>
                <w:szCs w:val="21"/>
                <w:highlight w:val="none"/>
                <w:lang w:val="en-US" w:eastAsia="zh-CN"/>
              </w:rPr>
              <w:t>5.8</w:t>
            </w:r>
            <w:r>
              <w:rPr>
                <w:rFonts w:hint="default" w:ascii="Times New Roman" w:hAnsi="Times New Roman" w:eastAsia="宋体" w:cs="Times New Roman"/>
                <w:color w:val="auto"/>
                <w:spacing w:val="-6"/>
                <w:sz w:val="21"/>
                <w:szCs w:val="21"/>
                <w:highlight w:val="none"/>
                <w:lang w:val="en-US" w:eastAsia="zh-CN"/>
              </w:rPr>
              <w:t>分</w:t>
            </w:r>
            <w:r>
              <w:rPr>
                <w:rFonts w:hint="eastAsia" w:ascii="Times New Roman" w:hAnsi="Times New Roman" w:eastAsia="宋体" w:cs="Times New Roman"/>
                <w:color w:val="auto"/>
                <w:spacing w:val="-6"/>
                <w:sz w:val="21"/>
                <w:szCs w:val="21"/>
                <w:highlight w:val="none"/>
                <w:lang w:val="en-US" w:eastAsia="zh-CN"/>
              </w:rPr>
              <w:t>；</w:t>
            </w:r>
          </w:p>
          <w:p w14:paraId="7ABD630F">
            <w:pPr>
              <w:keepNext w:val="0"/>
              <w:keepLines w:val="0"/>
              <w:pageBreakBefore w:val="0"/>
              <w:widowControl w:val="0"/>
              <w:kinsoku/>
              <w:wordWrap/>
              <w:overflowPunct/>
              <w:topLinePunct w:val="0"/>
              <w:bidi w:val="0"/>
              <w:snapToGrid/>
              <w:spacing w:line="400" w:lineRule="exact"/>
              <w:jc w:val="left"/>
              <w:textAlignment w:val="auto"/>
              <w:rPr>
                <w:rFonts w:hint="default" w:ascii="Times New Roman" w:hAnsi="Times New Roman" w:eastAsia="宋体" w:cs="Times New Roman"/>
                <w:color w:val="auto"/>
                <w:spacing w:val="-6"/>
                <w:sz w:val="21"/>
                <w:szCs w:val="21"/>
                <w:highlight w:val="none"/>
                <w:lang w:val="en-US" w:eastAsia="zh-CN"/>
              </w:rPr>
            </w:pPr>
            <w:r>
              <w:rPr>
                <w:rFonts w:hint="default" w:ascii="Times New Roman" w:hAnsi="Times New Roman" w:eastAsia="宋体" w:cs="Times New Roman"/>
                <w:color w:val="auto"/>
                <w:spacing w:val="-6"/>
                <w:sz w:val="21"/>
                <w:szCs w:val="21"/>
                <w:highlight w:val="none"/>
              </w:rPr>
              <w:fldChar w:fldCharType="begin"/>
            </w:r>
            <w:r>
              <w:rPr>
                <w:rFonts w:hint="default" w:ascii="Times New Roman" w:hAnsi="Times New Roman" w:eastAsia="宋体" w:cs="Times New Roman"/>
                <w:color w:val="auto"/>
                <w:spacing w:val="-6"/>
                <w:sz w:val="21"/>
                <w:szCs w:val="21"/>
                <w:highlight w:val="none"/>
              </w:rPr>
              <w:instrText xml:space="preserve"> = 2 \* GB3 </w:instrText>
            </w:r>
            <w:r>
              <w:rPr>
                <w:rFonts w:hint="default" w:ascii="Times New Roman" w:hAnsi="Times New Roman" w:eastAsia="宋体" w:cs="Times New Roman"/>
                <w:color w:val="auto"/>
                <w:spacing w:val="-6"/>
                <w:sz w:val="21"/>
                <w:szCs w:val="21"/>
                <w:highlight w:val="none"/>
              </w:rPr>
              <w:fldChar w:fldCharType="separate"/>
            </w:r>
            <w:r>
              <w:rPr>
                <w:rFonts w:hint="default" w:ascii="Times New Roman" w:hAnsi="Times New Roman" w:eastAsia="宋体" w:cs="Times New Roman"/>
                <w:color w:val="auto"/>
                <w:spacing w:val="-6"/>
                <w:sz w:val="21"/>
                <w:szCs w:val="21"/>
                <w:highlight w:val="none"/>
              </w:rPr>
              <w:t>②</w:t>
            </w:r>
            <w:r>
              <w:rPr>
                <w:rFonts w:hint="default" w:ascii="Times New Roman" w:hAnsi="Times New Roman" w:eastAsia="宋体" w:cs="Times New Roman"/>
                <w:color w:val="auto"/>
                <w:spacing w:val="-6"/>
                <w:sz w:val="21"/>
                <w:szCs w:val="21"/>
                <w:highlight w:val="none"/>
              </w:rPr>
              <w:fldChar w:fldCharType="end"/>
            </w:r>
            <w:r>
              <w:rPr>
                <w:rFonts w:hint="default" w:ascii="Times New Roman" w:hAnsi="Times New Roman" w:eastAsia="宋体" w:cs="Times New Roman"/>
                <w:color w:val="auto"/>
                <w:spacing w:val="-6"/>
                <w:sz w:val="21"/>
                <w:szCs w:val="21"/>
                <w:highlight w:val="none"/>
                <w:lang w:val="en-US" w:eastAsia="zh-CN"/>
              </w:rPr>
              <w:t>项目进度计划、质量目标、工期目标、安全目标详细程度、合理性、针对性较好的，得</w:t>
            </w:r>
            <w:r>
              <w:rPr>
                <w:rFonts w:hint="eastAsia" w:ascii="Times New Roman" w:hAnsi="Times New Roman" w:eastAsia="宋体" w:cs="Times New Roman"/>
                <w:color w:val="auto"/>
                <w:spacing w:val="-6"/>
                <w:sz w:val="21"/>
                <w:szCs w:val="21"/>
                <w:highlight w:val="none"/>
                <w:lang w:val="en-US" w:eastAsia="zh-CN"/>
              </w:rPr>
              <w:t>5.8</w:t>
            </w:r>
            <w:r>
              <w:rPr>
                <w:rFonts w:hint="default" w:ascii="Times New Roman" w:hAnsi="Times New Roman" w:eastAsia="宋体" w:cs="Times New Roman"/>
                <w:color w:val="auto"/>
                <w:spacing w:val="-6"/>
                <w:sz w:val="21"/>
                <w:szCs w:val="21"/>
                <w:highlight w:val="none"/>
                <w:lang w:val="en-US" w:eastAsia="zh-CN"/>
              </w:rPr>
              <w:t>～</w:t>
            </w:r>
            <w:r>
              <w:rPr>
                <w:rFonts w:hint="eastAsia" w:ascii="Times New Roman" w:hAnsi="Times New Roman" w:eastAsia="宋体" w:cs="Times New Roman"/>
                <w:color w:val="auto"/>
                <w:spacing w:val="-6"/>
                <w:sz w:val="21"/>
                <w:szCs w:val="21"/>
                <w:highlight w:val="none"/>
                <w:lang w:val="en-US" w:eastAsia="zh-CN"/>
              </w:rPr>
              <w:t>6.9</w:t>
            </w:r>
            <w:r>
              <w:rPr>
                <w:rFonts w:hint="default" w:ascii="Times New Roman" w:hAnsi="Times New Roman" w:eastAsia="宋体" w:cs="Times New Roman"/>
                <w:color w:val="auto"/>
                <w:spacing w:val="-6"/>
                <w:sz w:val="21"/>
                <w:szCs w:val="21"/>
                <w:highlight w:val="none"/>
                <w:lang w:val="en-US" w:eastAsia="zh-CN"/>
              </w:rPr>
              <w:t>分；</w:t>
            </w:r>
          </w:p>
          <w:p w14:paraId="0C439171">
            <w:pPr>
              <w:keepNext w:val="0"/>
              <w:keepLines w:val="0"/>
              <w:pageBreakBefore w:val="0"/>
              <w:widowControl w:val="0"/>
              <w:kinsoku/>
              <w:wordWrap/>
              <w:overflowPunct/>
              <w:topLinePunct w:val="0"/>
              <w:bidi w:val="0"/>
              <w:snapToGrid/>
              <w:spacing w:line="400" w:lineRule="exact"/>
              <w:jc w:val="left"/>
              <w:textAlignment w:val="auto"/>
              <w:rPr>
                <w:rFonts w:hint="default"/>
              </w:rPr>
            </w:pPr>
            <w:r>
              <w:rPr>
                <w:rFonts w:hint="default" w:ascii="Times New Roman" w:hAnsi="Times New Roman" w:eastAsia="宋体" w:cs="Times New Roman"/>
                <w:color w:val="auto"/>
                <w:spacing w:val="-6"/>
                <w:sz w:val="21"/>
                <w:szCs w:val="21"/>
                <w:highlight w:val="none"/>
              </w:rPr>
              <w:t>③项目进度计划、质量目标、工期目标、安全目标详细程度、合理性、针对性好的，得</w:t>
            </w:r>
            <w:r>
              <w:rPr>
                <w:rFonts w:hint="eastAsia" w:ascii="Times New Roman" w:hAnsi="Times New Roman" w:eastAsia="宋体" w:cs="Times New Roman"/>
                <w:color w:val="auto"/>
                <w:spacing w:val="-6"/>
                <w:sz w:val="21"/>
                <w:szCs w:val="21"/>
                <w:highlight w:val="none"/>
                <w:lang w:val="en-US" w:eastAsia="zh-CN"/>
              </w:rPr>
              <w:t>6.9</w:t>
            </w:r>
            <w:r>
              <w:rPr>
                <w:rFonts w:hint="default" w:ascii="Times New Roman" w:hAnsi="Times New Roman" w:eastAsia="宋体" w:cs="Times New Roman"/>
                <w:color w:val="auto"/>
                <w:spacing w:val="-6"/>
                <w:sz w:val="21"/>
                <w:szCs w:val="21"/>
                <w:highlight w:val="none"/>
              </w:rPr>
              <w:t>～8分</w:t>
            </w:r>
            <w:r>
              <w:rPr>
                <w:rFonts w:hint="eastAsia" w:ascii="Times New Roman" w:hAnsi="Times New Roman" w:eastAsia="宋体" w:cs="Times New Roman"/>
                <w:color w:val="auto"/>
                <w:spacing w:val="-6"/>
                <w:sz w:val="21"/>
                <w:szCs w:val="21"/>
                <w:highlight w:val="none"/>
                <w:lang w:eastAsia="zh-CN"/>
              </w:rPr>
              <w:t>。</w:t>
            </w:r>
          </w:p>
        </w:tc>
      </w:tr>
      <w:tr w14:paraId="7F162A6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27" w:hRule="atLeast"/>
        </w:trPr>
        <w:tc>
          <w:tcPr>
            <w:tcW w:w="758" w:type="dxa"/>
            <w:vMerge w:val="continue"/>
            <w:tcBorders>
              <w:top w:val="single" w:color="auto" w:sz="6" w:space="0"/>
              <w:left w:val="single" w:color="auto" w:sz="6" w:space="0"/>
              <w:bottom w:val="single" w:color="auto" w:sz="6" w:space="0"/>
              <w:right w:val="single" w:color="auto" w:sz="6" w:space="0"/>
            </w:tcBorders>
            <w:noWrap w:val="0"/>
            <w:vAlign w:val="center"/>
          </w:tcPr>
          <w:p w14:paraId="60A62DA1">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宋体" w:cs="Times New Roman"/>
                <w:color w:val="auto"/>
                <w:sz w:val="21"/>
                <w:szCs w:val="21"/>
                <w:highlight w:val="none"/>
              </w:rPr>
            </w:pPr>
          </w:p>
        </w:tc>
        <w:tc>
          <w:tcPr>
            <w:tcW w:w="900"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78B5AC6E">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宋体" w:cs="Times New Roman"/>
                <w:color w:val="auto"/>
                <w:sz w:val="21"/>
                <w:szCs w:val="21"/>
                <w:highlight w:val="none"/>
              </w:rPr>
            </w:pPr>
          </w:p>
        </w:tc>
        <w:tc>
          <w:tcPr>
            <w:tcW w:w="675" w:type="dxa"/>
            <w:vMerge w:val="continue"/>
            <w:tcBorders>
              <w:top w:val="single" w:color="auto" w:sz="6" w:space="0"/>
              <w:left w:val="single" w:color="auto" w:sz="6" w:space="0"/>
              <w:bottom w:val="single" w:color="auto" w:sz="6" w:space="0"/>
              <w:right w:val="single" w:color="auto" w:sz="6" w:space="0"/>
            </w:tcBorders>
            <w:noWrap w:val="0"/>
            <w:vAlign w:val="center"/>
          </w:tcPr>
          <w:p w14:paraId="1883BB09">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宋体" w:cs="Times New Roman"/>
                <w:color w:val="auto"/>
                <w:sz w:val="21"/>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center"/>
          </w:tcPr>
          <w:p w14:paraId="549C4184">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color w:val="auto"/>
                <w:w w:val="98"/>
                <w:sz w:val="21"/>
                <w:szCs w:val="21"/>
                <w:highlight w:val="none"/>
              </w:rPr>
            </w:pPr>
            <w:r>
              <w:rPr>
                <w:rFonts w:hint="default" w:ascii="Times New Roman" w:hAnsi="Times New Roman" w:eastAsia="宋体" w:cs="Times New Roman"/>
                <w:color w:val="auto"/>
                <w:sz w:val="21"/>
                <w:szCs w:val="21"/>
                <w:highlight w:val="none"/>
              </w:rPr>
              <w:t>关键工程的施工方案、方法与技术措施</w:t>
            </w:r>
          </w:p>
        </w:tc>
        <w:tc>
          <w:tcPr>
            <w:tcW w:w="675" w:type="dxa"/>
            <w:tcBorders>
              <w:top w:val="single" w:color="auto" w:sz="6" w:space="0"/>
              <w:left w:val="single" w:color="auto" w:sz="6" w:space="0"/>
              <w:bottom w:val="single" w:color="auto" w:sz="6" w:space="0"/>
              <w:right w:val="single" w:color="auto" w:sz="6" w:space="0"/>
            </w:tcBorders>
            <w:noWrap w:val="0"/>
            <w:vAlign w:val="center"/>
          </w:tcPr>
          <w:p w14:paraId="65368562">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20分</w:t>
            </w:r>
          </w:p>
        </w:tc>
        <w:tc>
          <w:tcPr>
            <w:tcW w:w="5055" w:type="dxa"/>
            <w:tcBorders>
              <w:top w:val="single" w:color="auto" w:sz="6" w:space="0"/>
              <w:left w:val="single" w:color="auto" w:sz="6" w:space="0"/>
              <w:bottom w:val="single" w:color="auto" w:sz="6" w:space="0"/>
              <w:right w:val="single" w:color="auto" w:sz="6" w:space="0"/>
            </w:tcBorders>
            <w:noWrap w:val="0"/>
            <w:vAlign w:val="center"/>
          </w:tcPr>
          <w:p w14:paraId="0F0236F2">
            <w:pPr>
              <w:keepNext w:val="0"/>
              <w:keepLines w:val="0"/>
              <w:pageBreakBefore w:val="0"/>
              <w:widowControl w:val="0"/>
              <w:kinsoku/>
              <w:wordWrap/>
              <w:overflowPunct/>
              <w:topLinePunct w:val="0"/>
              <w:bidi w:val="0"/>
              <w:snapToGrid/>
              <w:spacing w:line="400" w:lineRule="exact"/>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 1 \* GB3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①</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sz w:val="21"/>
                <w:szCs w:val="21"/>
                <w:highlight w:val="none"/>
              </w:rPr>
              <w:t>重点、关键和难点工程的施工方案、方法与技术措施比较详</w:t>
            </w:r>
            <w:r>
              <w:rPr>
                <w:rFonts w:hint="default" w:ascii="Times New Roman" w:hAnsi="Times New Roman" w:eastAsia="宋体" w:cs="Times New Roman"/>
                <w:color w:val="auto"/>
                <w:spacing w:val="-6"/>
                <w:sz w:val="21"/>
                <w:szCs w:val="21"/>
                <w:highlight w:val="none"/>
              </w:rPr>
              <w:t>细、比较合理，操作性</w:t>
            </w:r>
            <w:r>
              <w:rPr>
                <w:rFonts w:hint="eastAsia" w:ascii="Times New Roman" w:hAnsi="Times New Roman" w:eastAsia="宋体" w:cs="Times New Roman"/>
                <w:color w:val="auto"/>
                <w:spacing w:val="-6"/>
                <w:sz w:val="21"/>
                <w:szCs w:val="21"/>
                <w:highlight w:val="none"/>
                <w:lang w:eastAsia="zh-CN"/>
              </w:rPr>
              <w:t>一般</w:t>
            </w:r>
            <w:r>
              <w:rPr>
                <w:rFonts w:hint="default" w:ascii="Times New Roman" w:hAnsi="Times New Roman" w:eastAsia="宋体" w:cs="Times New Roman"/>
                <w:color w:val="auto"/>
                <w:spacing w:val="-6"/>
                <w:sz w:val="21"/>
                <w:szCs w:val="21"/>
                <w:highlight w:val="none"/>
              </w:rPr>
              <w:t>，得12～14</w:t>
            </w:r>
            <w:r>
              <w:rPr>
                <w:rFonts w:hint="default" w:ascii="Times New Roman" w:hAnsi="Times New Roman" w:eastAsia="宋体" w:cs="Times New Roman"/>
                <w:color w:val="auto"/>
                <w:sz w:val="21"/>
                <w:szCs w:val="21"/>
                <w:highlight w:val="none"/>
              </w:rPr>
              <w:t>分；</w:t>
            </w:r>
          </w:p>
          <w:p w14:paraId="28B0C943">
            <w:pPr>
              <w:keepNext w:val="0"/>
              <w:keepLines w:val="0"/>
              <w:pageBreakBefore w:val="0"/>
              <w:widowControl w:val="0"/>
              <w:kinsoku/>
              <w:wordWrap/>
              <w:overflowPunct/>
              <w:topLinePunct w:val="0"/>
              <w:bidi w:val="0"/>
              <w:snapToGrid/>
              <w:spacing w:line="400" w:lineRule="exact"/>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2 \* GB3</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②</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sz w:val="21"/>
                <w:szCs w:val="21"/>
                <w:highlight w:val="none"/>
              </w:rPr>
              <w:t>重点、关键和难点工程的施工方案、方法与技术措施详细、合理，操作性强，得14～17分；</w:t>
            </w:r>
          </w:p>
          <w:p w14:paraId="349E8155">
            <w:pPr>
              <w:keepNext w:val="0"/>
              <w:keepLines w:val="0"/>
              <w:pageBreakBefore w:val="0"/>
              <w:widowControl w:val="0"/>
              <w:kinsoku/>
              <w:wordWrap/>
              <w:overflowPunct/>
              <w:topLinePunct w:val="0"/>
              <w:bidi w:val="0"/>
              <w:snapToGrid/>
              <w:spacing w:line="400" w:lineRule="exact"/>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③重点、关键和难点工程的施工方案、方法与技术措施详细、合理，操作性强，新冠肺炎防疫和生产保障措施详细合理；保证施工和公路正常运行的方案措施合理可行，得17～20分。</w:t>
            </w:r>
          </w:p>
        </w:tc>
      </w:tr>
      <w:tr w14:paraId="132814D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01" w:hRule="atLeast"/>
        </w:trPr>
        <w:tc>
          <w:tcPr>
            <w:tcW w:w="758" w:type="dxa"/>
            <w:vMerge w:val="continue"/>
            <w:tcBorders>
              <w:top w:val="single" w:color="auto" w:sz="6" w:space="0"/>
              <w:left w:val="single" w:color="auto" w:sz="6" w:space="0"/>
              <w:bottom w:val="single" w:color="auto" w:sz="6" w:space="0"/>
              <w:right w:val="single" w:color="auto" w:sz="6" w:space="0"/>
            </w:tcBorders>
            <w:noWrap w:val="0"/>
            <w:vAlign w:val="center"/>
          </w:tcPr>
          <w:p w14:paraId="51736D3B">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宋体" w:cs="Times New Roman"/>
                <w:color w:val="auto"/>
                <w:sz w:val="21"/>
                <w:szCs w:val="21"/>
                <w:highlight w:val="none"/>
              </w:rPr>
            </w:pPr>
          </w:p>
        </w:tc>
        <w:tc>
          <w:tcPr>
            <w:tcW w:w="900"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268615C4">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宋体" w:cs="Times New Roman"/>
                <w:color w:val="auto"/>
                <w:sz w:val="21"/>
                <w:szCs w:val="21"/>
                <w:highlight w:val="none"/>
              </w:rPr>
            </w:pPr>
          </w:p>
        </w:tc>
        <w:tc>
          <w:tcPr>
            <w:tcW w:w="675" w:type="dxa"/>
            <w:vMerge w:val="continue"/>
            <w:tcBorders>
              <w:top w:val="single" w:color="auto" w:sz="6" w:space="0"/>
              <w:left w:val="single" w:color="auto" w:sz="6" w:space="0"/>
              <w:bottom w:val="single" w:color="auto" w:sz="6" w:space="0"/>
              <w:right w:val="single" w:color="auto" w:sz="6" w:space="0"/>
            </w:tcBorders>
            <w:noWrap w:val="0"/>
            <w:vAlign w:val="center"/>
          </w:tcPr>
          <w:p w14:paraId="6AC0B8F1">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宋体" w:cs="Times New Roman"/>
                <w:color w:val="auto"/>
                <w:sz w:val="21"/>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center"/>
          </w:tcPr>
          <w:p w14:paraId="75D5AB6C">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spacing w:val="-17"/>
                <w:sz w:val="21"/>
                <w:szCs w:val="21"/>
                <w:highlight w:val="none"/>
              </w:rPr>
            </w:pPr>
            <w:r>
              <w:rPr>
                <w:rFonts w:hint="default" w:ascii="Times New Roman" w:hAnsi="Times New Roman" w:eastAsia="宋体" w:cs="Times New Roman"/>
                <w:color w:val="auto"/>
                <w:spacing w:val="-17"/>
                <w:sz w:val="21"/>
                <w:szCs w:val="21"/>
                <w:highlight w:val="none"/>
              </w:rPr>
              <w:t>质量、安全、</w:t>
            </w:r>
          </w:p>
          <w:p w14:paraId="1BEF0C5E">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spacing w:val="-11"/>
                <w:w w:val="98"/>
                <w:sz w:val="21"/>
                <w:szCs w:val="21"/>
                <w:highlight w:val="none"/>
              </w:rPr>
            </w:pPr>
            <w:r>
              <w:rPr>
                <w:rFonts w:hint="default" w:ascii="Times New Roman" w:hAnsi="Times New Roman" w:eastAsia="宋体" w:cs="Times New Roman"/>
                <w:color w:val="auto"/>
                <w:spacing w:val="-17"/>
                <w:sz w:val="21"/>
                <w:szCs w:val="21"/>
                <w:highlight w:val="none"/>
              </w:rPr>
              <w:t>环保、水保、文明、文物、</w:t>
            </w:r>
            <w:r>
              <w:rPr>
                <w:rFonts w:hint="default" w:ascii="Times New Roman" w:hAnsi="Times New Roman" w:eastAsia="宋体" w:cs="Times New Roman"/>
                <w:color w:val="auto"/>
                <w:spacing w:val="0"/>
                <w:sz w:val="21"/>
                <w:szCs w:val="21"/>
                <w:highlight w:val="none"/>
              </w:rPr>
              <w:t>进度保证措施及合理化建议</w:t>
            </w:r>
          </w:p>
        </w:tc>
        <w:tc>
          <w:tcPr>
            <w:tcW w:w="675" w:type="dxa"/>
            <w:tcBorders>
              <w:top w:val="single" w:color="auto" w:sz="6" w:space="0"/>
              <w:left w:val="single" w:color="auto" w:sz="6" w:space="0"/>
              <w:bottom w:val="single" w:color="auto" w:sz="6" w:space="0"/>
              <w:right w:val="single" w:color="auto" w:sz="6" w:space="0"/>
            </w:tcBorders>
            <w:noWrap w:val="0"/>
            <w:vAlign w:val="center"/>
          </w:tcPr>
          <w:p w14:paraId="7FEDD3B2">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12分</w:t>
            </w:r>
          </w:p>
        </w:tc>
        <w:tc>
          <w:tcPr>
            <w:tcW w:w="5055" w:type="dxa"/>
            <w:tcBorders>
              <w:top w:val="single" w:color="auto" w:sz="6" w:space="0"/>
              <w:left w:val="single" w:color="auto" w:sz="6" w:space="0"/>
              <w:bottom w:val="single" w:color="auto" w:sz="6" w:space="0"/>
              <w:right w:val="single" w:color="auto" w:sz="6" w:space="0"/>
            </w:tcBorders>
            <w:noWrap w:val="0"/>
            <w:vAlign w:val="center"/>
          </w:tcPr>
          <w:p w14:paraId="6537450D">
            <w:pPr>
              <w:keepNext w:val="0"/>
              <w:keepLines w:val="0"/>
              <w:pageBreakBefore w:val="0"/>
              <w:widowControl w:val="0"/>
              <w:kinsoku/>
              <w:wordWrap/>
              <w:overflowPunct/>
              <w:topLinePunct w:val="0"/>
              <w:bidi w:val="0"/>
              <w:snapToGrid/>
              <w:spacing w:line="400" w:lineRule="exact"/>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 1 \* GB3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①</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sz w:val="21"/>
                <w:szCs w:val="21"/>
                <w:highlight w:val="none"/>
              </w:rPr>
              <w:t>质量、安全、环保、水保、文明、文物、进度保证措施及合理化建议详细程度、合理性、针对性</w:t>
            </w:r>
            <w:r>
              <w:rPr>
                <w:rFonts w:hint="eastAsia" w:ascii="Times New Roman" w:hAnsi="Times New Roman" w:eastAsia="宋体" w:cs="Times New Roman"/>
                <w:color w:val="auto"/>
                <w:sz w:val="21"/>
                <w:szCs w:val="21"/>
                <w:highlight w:val="none"/>
                <w:lang w:val="en-US" w:eastAsia="zh-CN"/>
              </w:rPr>
              <w:t>一般</w:t>
            </w:r>
            <w:r>
              <w:rPr>
                <w:rFonts w:hint="default" w:ascii="Times New Roman" w:hAnsi="Times New Roman" w:eastAsia="宋体" w:cs="Times New Roman"/>
                <w:color w:val="auto"/>
                <w:sz w:val="21"/>
                <w:szCs w:val="21"/>
                <w:highlight w:val="none"/>
              </w:rPr>
              <w:t>的，得</w:t>
            </w:r>
            <w:r>
              <w:rPr>
                <w:rFonts w:hint="eastAsia" w:ascii="Times New Roman" w:hAnsi="Times New Roman" w:eastAsia="宋体" w:cs="Times New Roman"/>
                <w:color w:val="auto"/>
                <w:sz w:val="21"/>
                <w:szCs w:val="21"/>
                <w:highlight w:val="none"/>
                <w:lang w:val="en-US" w:eastAsia="zh-CN"/>
              </w:rPr>
              <w:t>7.2</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8.8</w:t>
            </w:r>
            <w:r>
              <w:rPr>
                <w:rFonts w:hint="default" w:ascii="Times New Roman" w:hAnsi="Times New Roman" w:eastAsia="宋体" w:cs="Times New Roman"/>
                <w:color w:val="auto"/>
                <w:sz w:val="21"/>
                <w:szCs w:val="21"/>
                <w:highlight w:val="none"/>
              </w:rPr>
              <w:t>分；</w:t>
            </w:r>
          </w:p>
          <w:p w14:paraId="67477789">
            <w:pPr>
              <w:keepNext w:val="0"/>
              <w:keepLines w:val="0"/>
              <w:pageBreakBefore w:val="0"/>
              <w:widowControl w:val="0"/>
              <w:kinsoku/>
              <w:wordWrap/>
              <w:overflowPunct/>
              <w:topLinePunct w:val="0"/>
              <w:bidi w:val="0"/>
              <w:snapToGrid/>
              <w:spacing w:line="400" w:lineRule="exact"/>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 2 \* GB3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②</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sz w:val="21"/>
                <w:szCs w:val="21"/>
                <w:highlight w:val="none"/>
              </w:rPr>
              <w:t>质量、安全、环保、水保、文明、文物、进度保证措施及合理化建议详细程度、合理性、针对性较好的，得</w:t>
            </w:r>
            <w:r>
              <w:rPr>
                <w:rFonts w:hint="eastAsia" w:ascii="Times New Roman" w:hAnsi="Times New Roman" w:eastAsia="宋体" w:cs="Times New Roman"/>
                <w:color w:val="auto"/>
                <w:sz w:val="21"/>
                <w:szCs w:val="21"/>
                <w:highlight w:val="none"/>
                <w:lang w:val="en-US" w:eastAsia="zh-CN"/>
              </w:rPr>
              <w:t>8.8</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10.4</w:t>
            </w:r>
            <w:r>
              <w:rPr>
                <w:rFonts w:hint="default" w:ascii="Times New Roman" w:hAnsi="Times New Roman" w:eastAsia="宋体" w:cs="Times New Roman"/>
                <w:color w:val="auto"/>
                <w:sz w:val="21"/>
                <w:szCs w:val="21"/>
                <w:highlight w:val="none"/>
              </w:rPr>
              <w:t>分；</w:t>
            </w:r>
          </w:p>
          <w:p w14:paraId="19CC02E6">
            <w:pPr>
              <w:keepNext w:val="0"/>
              <w:keepLines w:val="0"/>
              <w:pageBreakBefore w:val="0"/>
              <w:widowControl w:val="0"/>
              <w:kinsoku/>
              <w:wordWrap/>
              <w:overflowPunct/>
              <w:topLinePunct w:val="0"/>
              <w:bidi w:val="0"/>
              <w:snapToGrid/>
              <w:spacing w:line="400" w:lineRule="exact"/>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③质量、安全、环保、水保、文明、文物、进度保证措施及合理化建议详细程度、合理性、针对性好的，得</w:t>
            </w:r>
            <w:r>
              <w:rPr>
                <w:rFonts w:hint="eastAsia" w:ascii="Times New Roman" w:hAnsi="Times New Roman" w:eastAsia="宋体" w:cs="Times New Roman"/>
                <w:color w:val="auto"/>
                <w:sz w:val="21"/>
                <w:szCs w:val="21"/>
                <w:highlight w:val="none"/>
                <w:lang w:val="en-US" w:eastAsia="zh-CN"/>
              </w:rPr>
              <w:t>10.4</w:t>
            </w:r>
            <w:r>
              <w:rPr>
                <w:rFonts w:hint="default" w:ascii="Times New Roman" w:hAnsi="Times New Roman" w:eastAsia="宋体" w:cs="Times New Roman"/>
                <w:color w:val="auto"/>
                <w:sz w:val="21"/>
                <w:szCs w:val="21"/>
                <w:highlight w:val="none"/>
              </w:rPr>
              <w:t>～12分。</w:t>
            </w:r>
          </w:p>
        </w:tc>
      </w:tr>
      <w:tr w14:paraId="16E9D5D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758" w:type="dxa"/>
            <w:vMerge w:val="restart"/>
            <w:tcBorders>
              <w:top w:val="single" w:color="auto" w:sz="6" w:space="0"/>
              <w:left w:val="single" w:color="auto" w:sz="6" w:space="0"/>
              <w:bottom w:val="single" w:color="auto" w:sz="6" w:space="0"/>
              <w:right w:val="single" w:color="auto" w:sz="6" w:space="0"/>
            </w:tcBorders>
            <w:noWrap w:val="0"/>
            <w:vAlign w:val="center"/>
          </w:tcPr>
          <w:p w14:paraId="387D254D">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2.2.2（2）</w:t>
            </w:r>
          </w:p>
        </w:tc>
        <w:tc>
          <w:tcPr>
            <w:tcW w:w="900" w:type="dxa"/>
            <w:gridSpan w:val="2"/>
            <w:vMerge w:val="restart"/>
            <w:tcBorders>
              <w:top w:val="single" w:color="auto" w:sz="6" w:space="0"/>
              <w:left w:val="single" w:color="auto" w:sz="6" w:space="0"/>
              <w:bottom w:val="single" w:color="auto" w:sz="6" w:space="0"/>
              <w:right w:val="single" w:color="auto" w:sz="6" w:space="0"/>
            </w:tcBorders>
            <w:noWrap w:val="0"/>
            <w:vAlign w:val="center"/>
          </w:tcPr>
          <w:p w14:paraId="0180DFB0">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主要人员</w:t>
            </w:r>
          </w:p>
        </w:tc>
        <w:tc>
          <w:tcPr>
            <w:tcW w:w="675" w:type="dxa"/>
            <w:vMerge w:val="restart"/>
            <w:tcBorders>
              <w:top w:val="single" w:color="auto" w:sz="6" w:space="0"/>
              <w:left w:val="single" w:color="auto" w:sz="6" w:space="0"/>
              <w:bottom w:val="single" w:color="auto" w:sz="6" w:space="0"/>
              <w:right w:val="single" w:color="auto" w:sz="6" w:space="0"/>
            </w:tcBorders>
            <w:noWrap w:val="0"/>
            <w:vAlign w:val="center"/>
          </w:tcPr>
          <w:p w14:paraId="46FA17E7">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25分</w:t>
            </w:r>
          </w:p>
        </w:tc>
        <w:tc>
          <w:tcPr>
            <w:tcW w:w="1320" w:type="dxa"/>
            <w:tcBorders>
              <w:top w:val="single" w:color="auto" w:sz="6" w:space="0"/>
              <w:left w:val="single" w:color="auto" w:sz="6" w:space="0"/>
              <w:bottom w:val="single" w:color="auto" w:sz="6" w:space="0"/>
              <w:right w:val="single" w:color="auto" w:sz="6" w:space="0"/>
            </w:tcBorders>
            <w:noWrap w:val="0"/>
            <w:vAlign w:val="center"/>
          </w:tcPr>
          <w:p w14:paraId="3252782E">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项目经理</w:t>
            </w:r>
          </w:p>
          <w:p w14:paraId="63E7075C">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任职资格</w:t>
            </w:r>
          </w:p>
          <w:p w14:paraId="061DEA42">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与业绩</w:t>
            </w:r>
          </w:p>
        </w:tc>
        <w:tc>
          <w:tcPr>
            <w:tcW w:w="675" w:type="dxa"/>
            <w:tcBorders>
              <w:top w:val="single" w:color="auto" w:sz="6" w:space="0"/>
              <w:left w:val="single" w:color="auto" w:sz="6" w:space="0"/>
              <w:bottom w:val="single" w:color="auto" w:sz="6" w:space="0"/>
              <w:right w:val="single" w:color="auto" w:sz="6" w:space="0"/>
            </w:tcBorders>
            <w:noWrap w:val="0"/>
            <w:vAlign w:val="center"/>
          </w:tcPr>
          <w:p w14:paraId="11257B6F">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12.5分</w:t>
            </w:r>
          </w:p>
        </w:tc>
        <w:tc>
          <w:tcPr>
            <w:tcW w:w="5055" w:type="dxa"/>
            <w:tcBorders>
              <w:top w:val="single" w:color="auto" w:sz="6" w:space="0"/>
              <w:left w:val="single" w:color="auto" w:sz="6" w:space="0"/>
              <w:bottom w:val="single" w:color="auto" w:sz="6" w:space="0"/>
              <w:right w:val="single" w:color="auto" w:sz="6" w:space="0"/>
            </w:tcBorders>
            <w:noWrap w:val="0"/>
            <w:vAlign w:val="center"/>
          </w:tcPr>
          <w:p w14:paraId="33D52E49">
            <w:pPr>
              <w:pStyle w:val="6"/>
              <w:keepNext w:val="0"/>
              <w:keepLines w:val="0"/>
              <w:pageBreakBefore w:val="0"/>
              <w:widowControl w:val="0"/>
              <w:kinsoku/>
              <w:wordWrap/>
              <w:overflowPunct/>
              <w:topLinePunct w:val="0"/>
              <w:bidi w:val="0"/>
              <w:snapToGrid/>
              <w:spacing w:line="400" w:lineRule="exact"/>
              <w:ind w:left="10"/>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满足资格审查条件(项目经理最低要求)，得</w:t>
            </w:r>
            <w:r>
              <w:rPr>
                <w:rFonts w:hint="eastAsia" w:ascii="Times New Roman" w:hAnsi="Times New Roman" w:eastAsia="宋体" w:cs="Times New Roman"/>
                <w:color w:val="auto"/>
                <w:kern w:val="2"/>
                <w:sz w:val="21"/>
                <w:szCs w:val="21"/>
                <w:highlight w:val="none"/>
                <w:lang w:val="en-US" w:eastAsia="zh-CN"/>
              </w:rPr>
              <w:t>12.5</w:t>
            </w:r>
            <w:r>
              <w:rPr>
                <w:rFonts w:hint="default" w:ascii="Times New Roman" w:hAnsi="Times New Roman" w:eastAsia="宋体" w:cs="Times New Roman"/>
                <w:color w:val="auto"/>
                <w:kern w:val="2"/>
                <w:sz w:val="21"/>
                <w:szCs w:val="21"/>
                <w:highlight w:val="none"/>
              </w:rPr>
              <w:t>分；</w:t>
            </w:r>
          </w:p>
        </w:tc>
      </w:tr>
      <w:tr w14:paraId="3A8057A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89" w:hRule="atLeast"/>
        </w:trPr>
        <w:tc>
          <w:tcPr>
            <w:tcW w:w="758" w:type="dxa"/>
            <w:vMerge w:val="continue"/>
            <w:tcBorders>
              <w:top w:val="single" w:color="auto" w:sz="6" w:space="0"/>
              <w:left w:val="single" w:color="auto" w:sz="6" w:space="0"/>
              <w:bottom w:val="single" w:color="auto" w:sz="4" w:space="0"/>
              <w:right w:val="single" w:color="auto" w:sz="6" w:space="0"/>
            </w:tcBorders>
            <w:noWrap w:val="0"/>
            <w:vAlign w:val="center"/>
          </w:tcPr>
          <w:p w14:paraId="0D629387">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宋体" w:cs="Times New Roman"/>
                <w:color w:val="auto"/>
                <w:sz w:val="21"/>
                <w:szCs w:val="21"/>
                <w:highlight w:val="none"/>
              </w:rPr>
            </w:pPr>
          </w:p>
        </w:tc>
        <w:tc>
          <w:tcPr>
            <w:tcW w:w="900" w:type="dxa"/>
            <w:gridSpan w:val="2"/>
            <w:vMerge w:val="continue"/>
            <w:tcBorders>
              <w:top w:val="single" w:color="auto" w:sz="6" w:space="0"/>
              <w:left w:val="single" w:color="auto" w:sz="6" w:space="0"/>
              <w:bottom w:val="single" w:color="auto" w:sz="4" w:space="0"/>
              <w:right w:val="single" w:color="auto" w:sz="6" w:space="0"/>
            </w:tcBorders>
            <w:noWrap w:val="0"/>
            <w:vAlign w:val="center"/>
          </w:tcPr>
          <w:p w14:paraId="1BD7960D">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宋体" w:cs="Times New Roman"/>
                <w:color w:val="auto"/>
                <w:sz w:val="21"/>
                <w:szCs w:val="21"/>
                <w:highlight w:val="none"/>
              </w:rPr>
            </w:pPr>
          </w:p>
        </w:tc>
        <w:tc>
          <w:tcPr>
            <w:tcW w:w="675" w:type="dxa"/>
            <w:vMerge w:val="continue"/>
            <w:tcBorders>
              <w:top w:val="single" w:color="auto" w:sz="6" w:space="0"/>
              <w:left w:val="single" w:color="auto" w:sz="6" w:space="0"/>
              <w:bottom w:val="single" w:color="auto" w:sz="4" w:space="0"/>
              <w:right w:val="single" w:color="auto" w:sz="6" w:space="0"/>
            </w:tcBorders>
            <w:noWrap w:val="0"/>
            <w:vAlign w:val="center"/>
          </w:tcPr>
          <w:p w14:paraId="7389BAA3">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宋体" w:cs="Times New Roman"/>
                <w:color w:val="auto"/>
                <w:sz w:val="21"/>
                <w:szCs w:val="21"/>
                <w:highlight w:val="none"/>
              </w:rPr>
            </w:pPr>
          </w:p>
        </w:tc>
        <w:tc>
          <w:tcPr>
            <w:tcW w:w="1320" w:type="dxa"/>
            <w:tcBorders>
              <w:top w:val="single" w:color="auto" w:sz="6" w:space="0"/>
              <w:left w:val="single" w:color="auto" w:sz="6" w:space="0"/>
              <w:bottom w:val="single" w:color="auto" w:sz="4" w:space="0"/>
              <w:right w:val="single" w:color="auto" w:sz="6" w:space="0"/>
            </w:tcBorders>
            <w:noWrap w:val="0"/>
            <w:vAlign w:val="center"/>
          </w:tcPr>
          <w:p w14:paraId="45B7035B">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项目总工</w:t>
            </w:r>
          </w:p>
          <w:p w14:paraId="36C48D53">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任职资格</w:t>
            </w:r>
          </w:p>
          <w:p w14:paraId="3E0689C1">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与业绩</w:t>
            </w:r>
          </w:p>
        </w:tc>
        <w:tc>
          <w:tcPr>
            <w:tcW w:w="675" w:type="dxa"/>
            <w:tcBorders>
              <w:top w:val="single" w:color="auto" w:sz="6" w:space="0"/>
              <w:left w:val="single" w:color="auto" w:sz="6" w:space="0"/>
              <w:bottom w:val="single" w:color="auto" w:sz="4" w:space="0"/>
              <w:right w:val="single" w:color="auto" w:sz="6" w:space="0"/>
            </w:tcBorders>
            <w:noWrap w:val="0"/>
            <w:vAlign w:val="center"/>
          </w:tcPr>
          <w:p w14:paraId="4BA5BA4B">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12.5分</w:t>
            </w:r>
          </w:p>
        </w:tc>
        <w:tc>
          <w:tcPr>
            <w:tcW w:w="5055" w:type="dxa"/>
            <w:tcBorders>
              <w:top w:val="single" w:color="auto" w:sz="6" w:space="0"/>
              <w:left w:val="single" w:color="auto" w:sz="6" w:space="0"/>
              <w:bottom w:val="single" w:color="auto" w:sz="4" w:space="0"/>
              <w:right w:val="single" w:color="auto" w:sz="6" w:space="0"/>
            </w:tcBorders>
            <w:noWrap w:val="0"/>
            <w:vAlign w:val="center"/>
          </w:tcPr>
          <w:p w14:paraId="6F710257">
            <w:pPr>
              <w:pStyle w:val="6"/>
              <w:keepNext w:val="0"/>
              <w:keepLines w:val="0"/>
              <w:pageBreakBefore w:val="0"/>
              <w:widowControl w:val="0"/>
              <w:kinsoku/>
              <w:wordWrap/>
              <w:overflowPunct/>
              <w:topLinePunct w:val="0"/>
              <w:bidi w:val="0"/>
              <w:snapToGrid/>
              <w:spacing w:line="400" w:lineRule="exact"/>
              <w:ind w:left="10" w:right="-29"/>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满足资格审查条件(项目总工最低要求)，得</w:t>
            </w:r>
            <w:r>
              <w:rPr>
                <w:rFonts w:hint="eastAsia" w:ascii="Times New Roman" w:hAnsi="Times New Roman" w:eastAsia="宋体" w:cs="Times New Roman"/>
                <w:color w:val="auto"/>
                <w:kern w:val="2"/>
                <w:sz w:val="21"/>
                <w:szCs w:val="21"/>
                <w:highlight w:val="none"/>
                <w:lang w:val="en-US" w:eastAsia="zh-CN"/>
              </w:rPr>
              <w:t>12.5</w:t>
            </w:r>
            <w:r>
              <w:rPr>
                <w:rFonts w:hint="default" w:ascii="Times New Roman" w:hAnsi="Times New Roman" w:eastAsia="宋体" w:cs="Times New Roman"/>
                <w:color w:val="auto"/>
                <w:kern w:val="2"/>
                <w:sz w:val="21"/>
                <w:szCs w:val="21"/>
                <w:highlight w:val="none"/>
              </w:rPr>
              <w:t>分；</w:t>
            </w:r>
          </w:p>
        </w:tc>
      </w:tr>
      <w:tr w14:paraId="2F1CD55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82" w:hRule="atLeast"/>
        </w:trPr>
        <w:tc>
          <w:tcPr>
            <w:tcW w:w="758" w:type="dxa"/>
            <w:vMerge w:val="restart"/>
            <w:tcBorders>
              <w:top w:val="single" w:color="auto" w:sz="4" w:space="0"/>
              <w:left w:val="single" w:color="auto" w:sz="4" w:space="0"/>
              <w:bottom w:val="single" w:color="auto" w:sz="4" w:space="0"/>
              <w:right w:val="single" w:color="auto" w:sz="4" w:space="0"/>
            </w:tcBorders>
            <w:noWrap w:val="0"/>
            <w:vAlign w:val="center"/>
          </w:tcPr>
          <w:p w14:paraId="4782BAB2">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2.2.2（3）</w:t>
            </w:r>
          </w:p>
        </w:tc>
        <w:tc>
          <w:tcPr>
            <w:tcW w:w="407" w:type="dxa"/>
            <w:vMerge w:val="restart"/>
            <w:tcBorders>
              <w:top w:val="single" w:color="auto" w:sz="4" w:space="0"/>
              <w:left w:val="single" w:color="auto" w:sz="4" w:space="0"/>
              <w:bottom w:val="single" w:color="auto" w:sz="4" w:space="0"/>
              <w:right w:val="single" w:color="auto" w:sz="4" w:space="0"/>
            </w:tcBorders>
            <w:noWrap w:val="0"/>
            <w:vAlign w:val="center"/>
          </w:tcPr>
          <w:p w14:paraId="01171AB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其他因素</w:t>
            </w:r>
          </w:p>
        </w:tc>
        <w:tc>
          <w:tcPr>
            <w:tcW w:w="493" w:type="dxa"/>
            <w:tcBorders>
              <w:top w:val="single" w:color="auto" w:sz="4" w:space="0"/>
              <w:left w:val="single" w:color="auto" w:sz="4" w:space="0"/>
              <w:bottom w:val="single" w:color="auto" w:sz="4" w:space="0"/>
              <w:right w:val="single" w:color="auto" w:sz="4" w:space="0"/>
            </w:tcBorders>
            <w:noWrap w:val="0"/>
            <w:vAlign w:val="center"/>
          </w:tcPr>
          <w:p w14:paraId="6441C8D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技术能力</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5B6DC7C">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10分</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3A247D5D">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科研开发和技术创新能力</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0581674">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10分</w:t>
            </w:r>
          </w:p>
        </w:tc>
        <w:tc>
          <w:tcPr>
            <w:tcW w:w="5055" w:type="dxa"/>
            <w:tcBorders>
              <w:top w:val="single" w:color="auto" w:sz="4" w:space="0"/>
              <w:left w:val="single" w:color="auto" w:sz="4" w:space="0"/>
              <w:bottom w:val="single" w:color="auto" w:sz="4" w:space="0"/>
              <w:right w:val="single" w:color="auto" w:sz="4" w:space="0"/>
            </w:tcBorders>
            <w:noWrap w:val="0"/>
            <w:vAlign w:val="center"/>
          </w:tcPr>
          <w:p w14:paraId="29F67275">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宋体" w:cs="Times New Roman"/>
                <w:color w:val="auto"/>
                <w:sz w:val="21"/>
                <w:szCs w:val="21"/>
                <w:highlight w:val="none"/>
                <w:shd w:val="clear" w:color="auto" w:fill="FF0000"/>
              </w:rPr>
            </w:pPr>
            <w:r>
              <w:rPr>
                <w:rFonts w:hint="default" w:ascii="Times New Roman" w:hAnsi="Times New Roman" w:eastAsia="宋体" w:cs="Times New Roman"/>
                <w:color w:val="auto"/>
                <w:sz w:val="21"/>
                <w:szCs w:val="21"/>
                <w:highlight w:val="none"/>
              </w:rPr>
              <w:t>投标人均得10分。</w:t>
            </w:r>
          </w:p>
        </w:tc>
      </w:tr>
      <w:tr w14:paraId="40E0B9D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758" w:type="dxa"/>
            <w:vMerge w:val="continue"/>
            <w:tcBorders>
              <w:top w:val="single" w:color="auto" w:sz="4" w:space="0"/>
              <w:left w:val="single" w:color="auto" w:sz="4" w:space="0"/>
              <w:bottom w:val="single" w:color="auto" w:sz="4" w:space="0"/>
              <w:right w:val="single" w:color="auto" w:sz="4" w:space="0"/>
            </w:tcBorders>
            <w:noWrap w:val="0"/>
            <w:vAlign w:val="center"/>
          </w:tcPr>
          <w:p w14:paraId="1DBD1AFC">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color w:val="auto"/>
                <w:sz w:val="21"/>
                <w:szCs w:val="21"/>
                <w:highlight w:val="none"/>
              </w:rPr>
            </w:pPr>
          </w:p>
        </w:tc>
        <w:tc>
          <w:tcPr>
            <w:tcW w:w="407" w:type="dxa"/>
            <w:vMerge w:val="continue"/>
            <w:tcBorders>
              <w:top w:val="single" w:color="auto" w:sz="4" w:space="0"/>
              <w:left w:val="single" w:color="auto" w:sz="4" w:space="0"/>
              <w:bottom w:val="single" w:color="auto" w:sz="4" w:space="0"/>
              <w:right w:val="single" w:color="auto" w:sz="4" w:space="0"/>
            </w:tcBorders>
            <w:noWrap w:val="0"/>
            <w:vAlign w:val="center"/>
          </w:tcPr>
          <w:p w14:paraId="455FAD53">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color w:val="auto"/>
                <w:sz w:val="21"/>
                <w:szCs w:val="21"/>
                <w:highlight w:val="none"/>
              </w:rPr>
            </w:pPr>
          </w:p>
        </w:tc>
        <w:tc>
          <w:tcPr>
            <w:tcW w:w="493" w:type="dxa"/>
            <w:tcBorders>
              <w:top w:val="single" w:color="auto" w:sz="4" w:space="0"/>
              <w:left w:val="single" w:color="auto" w:sz="4" w:space="0"/>
              <w:bottom w:val="single" w:color="auto" w:sz="4" w:space="0"/>
              <w:right w:val="single" w:color="auto" w:sz="4" w:space="0"/>
            </w:tcBorders>
            <w:noWrap w:val="0"/>
            <w:vAlign w:val="center"/>
          </w:tcPr>
          <w:p w14:paraId="78CA390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履约信誉</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8253C36">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15分</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3B3979F1">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履约信誉</w:t>
            </w:r>
          </w:p>
          <w:p w14:paraId="7BCEC97F">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及信用评价</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1A5E449">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15分</w:t>
            </w:r>
          </w:p>
        </w:tc>
        <w:tc>
          <w:tcPr>
            <w:tcW w:w="5055" w:type="dxa"/>
            <w:tcBorders>
              <w:top w:val="single" w:color="auto" w:sz="4" w:space="0"/>
              <w:left w:val="single" w:color="auto" w:sz="4" w:space="0"/>
              <w:bottom w:val="single" w:color="auto" w:sz="4" w:space="0"/>
              <w:right w:val="single" w:color="auto" w:sz="4" w:space="0"/>
            </w:tcBorders>
            <w:noWrap w:val="0"/>
            <w:vAlign w:val="center"/>
          </w:tcPr>
          <w:p w14:paraId="184025AB">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满足资格审查条件，得12分；加分条件如下：</w:t>
            </w:r>
          </w:p>
          <w:p w14:paraId="221C6F08">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 1 \* GB3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kern w:val="2"/>
                <w:sz w:val="21"/>
                <w:szCs w:val="21"/>
                <w:highlight w:val="none"/>
                <w:lang w:val="en-US" w:eastAsia="zh-CN" w:bidi="ar-SA"/>
              </w:rPr>
              <w:t>①</w:t>
            </w:r>
            <w:r>
              <w:rPr>
                <w:rFonts w:hint="default" w:ascii="Times New Roman" w:hAnsi="Times New Roman" w:eastAsia="宋体" w:cs="Times New Roman"/>
                <w:color w:val="auto"/>
                <w:kern w:val="2"/>
                <w:sz w:val="21"/>
                <w:szCs w:val="21"/>
                <w:highlight w:val="none"/>
                <w:lang w:val="en-US" w:eastAsia="zh-CN" w:bidi="ar-SA"/>
              </w:rPr>
              <w:fldChar w:fldCharType="end"/>
            </w:r>
            <w:r>
              <w:rPr>
                <w:rFonts w:hint="default" w:ascii="Times New Roman" w:hAnsi="Times New Roman" w:eastAsia="宋体" w:cs="Times New Roman"/>
                <w:color w:val="auto"/>
                <w:kern w:val="2"/>
                <w:sz w:val="21"/>
                <w:szCs w:val="21"/>
                <w:highlight w:val="none"/>
                <w:lang w:val="en-US" w:eastAsia="zh-CN" w:bidi="ar-SA"/>
              </w:rPr>
              <w:t>在202</w:t>
            </w:r>
            <w:r>
              <w:rPr>
                <w:rFonts w:hint="eastAsia" w:ascii="Times New Roman" w:hAnsi="Times New Roman" w:eastAsia="宋体" w:cs="Times New Roman"/>
                <w:color w:val="auto"/>
                <w:kern w:val="2"/>
                <w:sz w:val="21"/>
                <w:szCs w:val="21"/>
                <w:highlight w:val="none"/>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年度黑龙江省交通运输厅公路施工企业信用评价或202</w:t>
            </w:r>
            <w:r>
              <w:rPr>
                <w:rFonts w:hint="eastAsia" w:ascii="Times New Roman" w:hAnsi="Times New Roman" w:eastAsia="宋体" w:cs="Times New Roman"/>
                <w:color w:val="auto"/>
                <w:kern w:val="2"/>
                <w:sz w:val="21"/>
                <w:szCs w:val="21"/>
                <w:highlight w:val="none"/>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年交通运输部公路施工企业全国综合信用评价中被评定为A级的，加2分；</w:t>
            </w:r>
          </w:p>
          <w:p w14:paraId="4A9DA6D0">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②在202</w:t>
            </w:r>
            <w:r>
              <w:rPr>
                <w:rFonts w:hint="eastAsia" w:ascii="Times New Roman" w:hAnsi="Times New Roman" w:eastAsia="宋体" w:cs="Times New Roman"/>
                <w:color w:val="auto"/>
                <w:kern w:val="2"/>
                <w:sz w:val="21"/>
                <w:szCs w:val="21"/>
                <w:highlight w:val="none"/>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年度黑龙江省交通运输厅公路施工企业信用评价或202</w:t>
            </w:r>
            <w:r>
              <w:rPr>
                <w:rFonts w:hint="eastAsia" w:ascii="Times New Roman" w:hAnsi="Times New Roman" w:eastAsia="宋体" w:cs="Times New Roman"/>
                <w:color w:val="auto"/>
                <w:kern w:val="2"/>
                <w:sz w:val="21"/>
                <w:szCs w:val="21"/>
                <w:highlight w:val="none"/>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年交通运输部公路施工企业全国综合信用评价中被评定为AA级的，加3分。</w:t>
            </w:r>
          </w:p>
          <w:p w14:paraId="28176D5F">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注：a.加分不累加，</w:t>
            </w: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 1 \* GB3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kern w:val="2"/>
                <w:sz w:val="21"/>
                <w:szCs w:val="21"/>
                <w:highlight w:val="none"/>
                <w:lang w:val="en-US" w:eastAsia="zh-CN" w:bidi="ar-SA"/>
              </w:rPr>
              <w:t>①</w:t>
            </w:r>
            <w:r>
              <w:rPr>
                <w:rFonts w:hint="default" w:ascii="Times New Roman" w:hAnsi="Times New Roman" w:eastAsia="宋体" w:cs="Times New Roman"/>
                <w:color w:val="auto"/>
                <w:kern w:val="2"/>
                <w:sz w:val="21"/>
                <w:szCs w:val="21"/>
                <w:highlight w:val="none"/>
                <w:lang w:val="en-US" w:eastAsia="zh-CN" w:bidi="ar-SA"/>
              </w:rPr>
              <w:fldChar w:fldCharType="end"/>
            </w:r>
            <w:r>
              <w:rPr>
                <w:rFonts w:hint="default" w:ascii="Times New Roman" w:hAnsi="Times New Roman" w:eastAsia="宋体" w:cs="Times New Roman"/>
                <w:color w:val="auto"/>
                <w:kern w:val="2"/>
                <w:sz w:val="21"/>
                <w:szCs w:val="21"/>
                <w:highlight w:val="none"/>
                <w:lang w:val="en-US" w:eastAsia="zh-CN" w:bidi="ar-SA"/>
              </w:rPr>
              <w:t>②只计一次最高分，本项最高加3分。</w:t>
            </w:r>
          </w:p>
          <w:p w14:paraId="688A21AF">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bidi="ar-SA"/>
              </w:rPr>
              <w:t>b.投标人未参加202</w:t>
            </w:r>
            <w:r>
              <w:rPr>
                <w:rFonts w:hint="eastAsia" w:ascii="Times New Roman" w:hAnsi="Times New Roman" w:eastAsia="宋体" w:cs="Times New Roman"/>
                <w:color w:val="auto"/>
                <w:kern w:val="2"/>
                <w:sz w:val="21"/>
                <w:szCs w:val="21"/>
                <w:highlight w:val="none"/>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年度黑龙江省交通运输厅公路施工企业信用评价或202</w:t>
            </w:r>
            <w:r>
              <w:rPr>
                <w:rFonts w:hint="eastAsia" w:ascii="Times New Roman" w:hAnsi="Times New Roman" w:eastAsia="宋体" w:cs="Times New Roman"/>
                <w:color w:val="auto"/>
                <w:kern w:val="2"/>
                <w:sz w:val="21"/>
                <w:szCs w:val="21"/>
                <w:highlight w:val="none"/>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年交通运输部公路施工企业全国综合信用评价的，采用202</w:t>
            </w:r>
            <w:r>
              <w:rPr>
                <w:rFonts w:hint="eastAsia" w:ascii="Times New Roman" w:hAnsi="Times New Roman" w:eastAsia="宋体" w:cs="Times New Roman"/>
                <w:color w:val="auto"/>
                <w:kern w:val="2"/>
                <w:sz w:val="21"/>
                <w:szCs w:val="21"/>
                <w:highlight w:val="none"/>
                <w:lang w:val="en-US" w:eastAsia="zh-CN" w:bidi="ar-SA"/>
              </w:rPr>
              <w:t>1</w:t>
            </w:r>
            <w:r>
              <w:rPr>
                <w:rFonts w:hint="default" w:ascii="Times New Roman" w:hAnsi="Times New Roman" w:eastAsia="宋体" w:cs="Times New Roman"/>
                <w:color w:val="auto"/>
                <w:kern w:val="2"/>
                <w:sz w:val="21"/>
                <w:szCs w:val="21"/>
                <w:highlight w:val="none"/>
                <w:lang w:val="en-US" w:eastAsia="zh-CN" w:bidi="ar-SA"/>
              </w:rPr>
              <w:t>年度黑龙江省交通运输厅公路施工企业信用评价或202</w:t>
            </w:r>
            <w:r>
              <w:rPr>
                <w:rFonts w:hint="eastAsia" w:ascii="Times New Roman" w:hAnsi="Times New Roman" w:eastAsia="宋体" w:cs="Times New Roman"/>
                <w:color w:val="auto"/>
                <w:kern w:val="2"/>
                <w:sz w:val="21"/>
                <w:szCs w:val="21"/>
                <w:highlight w:val="none"/>
                <w:lang w:val="en-US" w:eastAsia="zh-CN" w:bidi="ar-SA"/>
              </w:rPr>
              <w:t>1</w:t>
            </w:r>
            <w:r>
              <w:rPr>
                <w:rFonts w:hint="default" w:ascii="Times New Roman" w:hAnsi="Times New Roman" w:eastAsia="宋体" w:cs="Times New Roman"/>
                <w:color w:val="auto"/>
                <w:kern w:val="2"/>
                <w:sz w:val="21"/>
                <w:szCs w:val="21"/>
                <w:highlight w:val="none"/>
                <w:lang w:val="en-US" w:eastAsia="zh-CN" w:bidi="ar-SA"/>
              </w:rPr>
              <w:t>年交通运输部公路施工企业全国综合信用评价结果。国务院有关部门许可资质的公路施工企业初次进入黑龙江省，其信用评价等级按照交通运输部公路施工企业全国综合信用评价结果确定；尚无交通运输部公路施工企业全国综合信用评价的企业，若无不良信用记录，按A级对待。（如果省级或部级评价等级不一致，以最高的信用评价等级认定）。</w:t>
            </w:r>
          </w:p>
        </w:tc>
      </w:tr>
      <w:tr w14:paraId="5DAA55E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15" w:hRule="atLeast"/>
        </w:trPr>
        <w:tc>
          <w:tcPr>
            <w:tcW w:w="758" w:type="dxa"/>
            <w:vMerge w:val="continue"/>
            <w:tcBorders>
              <w:top w:val="single" w:color="auto" w:sz="4" w:space="0"/>
              <w:left w:val="single" w:color="auto" w:sz="4" w:space="0"/>
              <w:bottom w:val="single" w:color="auto" w:sz="4" w:space="0"/>
              <w:right w:val="single" w:color="auto" w:sz="4" w:space="0"/>
            </w:tcBorders>
            <w:noWrap w:val="0"/>
            <w:vAlign w:val="center"/>
          </w:tcPr>
          <w:p w14:paraId="210C8D75">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宋体" w:cs="Times New Roman"/>
                <w:color w:val="auto"/>
                <w:sz w:val="21"/>
                <w:szCs w:val="21"/>
                <w:highlight w:val="none"/>
              </w:rPr>
            </w:pPr>
          </w:p>
        </w:tc>
        <w:tc>
          <w:tcPr>
            <w:tcW w:w="407" w:type="dxa"/>
            <w:vMerge w:val="continue"/>
            <w:tcBorders>
              <w:top w:val="single" w:color="auto" w:sz="4" w:space="0"/>
              <w:left w:val="single" w:color="auto" w:sz="4" w:space="0"/>
              <w:bottom w:val="single" w:color="auto" w:sz="4" w:space="0"/>
              <w:right w:val="single" w:color="auto" w:sz="4" w:space="0"/>
            </w:tcBorders>
            <w:noWrap w:val="0"/>
            <w:vAlign w:val="center"/>
          </w:tcPr>
          <w:p w14:paraId="2A9AFADD">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宋体" w:cs="Times New Roman"/>
                <w:color w:val="auto"/>
                <w:sz w:val="21"/>
                <w:szCs w:val="21"/>
                <w:highlight w:val="none"/>
              </w:rPr>
            </w:pPr>
          </w:p>
        </w:tc>
        <w:tc>
          <w:tcPr>
            <w:tcW w:w="493" w:type="dxa"/>
            <w:tcBorders>
              <w:top w:val="single" w:color="auto" w:sz="4" w:space="0"/>
              <w:left w:val="single" w:color="auto" w:sz="4" w:space="0"/>
              <w:bottom w:val="single" w:color="auto" w:sz="4" w:space="0"/>
              <w:right w:val="single" w:color="auto" w:sz="4" w:space="0"/>
            </w:tcBorders>
            <w:noWrap w:val="0"/>
            <w:vAlign w:val="center"/>
          </w:tcPr>
          <w:p w14:paraId="401278A1">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业绩</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53FFE38">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10分</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0A904551">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企业业绩</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6FC05D92">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10分</w:t>
            </w:r>
          </w:p>
        </w:tc>
        <w:tc>
          <w:tcPr>
            <w:tcW w:w="5055" w:type="dxa"/>
            <w:tcBorders>
              <w:top w:val="single" w:color="auto" w:sz="4" w:space="0"/>
              <w:left w:val="single" w:color="auto" w:sz="4" w:space="0"/>
              <w:bottom w:val="single" w:color="auto" w:sz="4" w:space="0"/>
              <w:right w:val="single" w:color="auto" w:sz="4" w:space="0"/>
            </w:tcBorders>
            <w:noWrap w:val="0"/>
            <w:vAlign w:val="center"/>
          </w:tcPr>
          <w:p w14:paraId="1F0CCE2A">
            <w:pPr>
              <w:pStyle w:val="6"/>
              <w:keepNext w:val="0"/>
              <w:keepLines w:val="0"/>
              <w:pageBreakBefore w:val="0"/>
              <w:widowControl w:val="0"/>
              <w:kinsoku/>
              <w:wordWrap/>
              <w:overflowPunct/>
              <w:topLinePunct w:val="0"/>
              <w:autoSpaceDE w:val="0"/>
              <w:autoSpaceDN w:val="0"/>
              <w:bidi w:val="0"/>
              <w:adjustRightInd w:val="0"/>
              <w:snapToGrid/>
              <w:spacing w:line="420" w:lineRule="exact"/>
              <w:ind w:left="11" w:right="-28"/>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满足资格审查条件（业绩最低要求），得</w:t>
            </w:r>
            <w:r>
              <w:rPr>
                <w:rFonts w:hint="eastAsia" w:ascii="Times New Roman" w:hAnsi="Times New Roman" w:eastAsia="宋体" w:cs="Times New Roman"/>
                <w:color w:val="auto"/>
                <w:kern w:val="2"/>
                <w:sz w:val="21"/>
                <w:szCs w:val="21"/>
                <w:highlight w:val="none"/>
                <w:lang w:val="en-US" w:eastAsia="zh-CN"/>
              </w:rPr>
              <w:t>6</w:t>
            </w:r>
            <w:r>
              <w:rPr>
                <w:rFonts w:hint="default" w:ascii="Times New Roman" w:hAnsi="Times New Roman" w:eastAsia="宋体" w:cs="Times New Roman"/>
                <w:color w:val="auto"/>
                <w:kern w:val="2"/>
                <w:sz w:val="21"/>
                <w:szCs w:val="21"/>
                <w:highlight w:val="none"/>
              </w:rPr>
              <w:t>分，在资格审查条件基础上，加分条件如下：</w:t>
            </w:r>
          </w:p>
          <w:p w14:paraId="651AE4F9">
            <w:pPr>
              <w:pStyle w:val="6"/>
              <w:keepNext w:val="0"/>
              <w:keepLines w:val="0"/>
              <w:pageBreakBefore w:val="0"/>
              <w:widowControl w:val="0"/>
              <w:kinsoku/>
              <w:wordWrap/>
              <w:overflowPunct/>
              <w:topLinePunct w:val="0"/>
              <w:autoSpaceDE w:val="0"/>
              <w:autoSpaceDN w:val="0"/>
              <w:bidi w:val="0"/>
              <w:adjustRightInd w:val="0"/>
              <w:snapToGrid/>
              <w:spacing w:line="420" w:lineRule="exact"/>
              <w:ind w:left="11" w:right="-28"/>
              <w:textAlignment w:val="auto"/>
              <w:rPr>
                <w:rFonts w:hint="eastAsia"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b w:val="0"/>
                <w:bCs w:val="0"/>
                <w:color w:val="auto"/>
                <w:kern w:val="2"/>
                <w:sz w:val="21"/>
                <w:szCs w:val="21"/>
                <w:highlight w:val="none"/>
                <w:lang w:val="en-US" w:eastAsia="zh-CN" w:bidi="ar-SA"/>
              </w:rPr>
              <w:t>近五年（2019年08月01日～投标文件递交截止时间止，以实际交/竣工日期为准，完成且交</w:t>
            </w:r>
            <w:r>
              <w:rPr>
                <w:rFonts w:hint="eastAsia" w:ascii="Times New Roman" w:hAnsi="Times New Roman" w:eastAsia="宋体" w:cs="Times New Roman"/>
                <w:b w:val="0"/>
                <w:bCs w:val="0"/>
                <w:color w:val="000000"/>
                <w:kern w:val="2"/>
                <w:sz w:val="21"/>
                <w:szCs w:val="21"/>
                <w:highlight w:val="none"/>
                <w:lang w:val="en-US" w:eastAsia="zh-CN" w:bidi="ar-SA"/>
              </w:rPr>
              <w:t>/竣工验收达到合格标准的项目）：独立完成过1个合同金额不少于本次招标控制价的旧桥加固、维修工程、</w:t>
            </w:r>
            <w:r>
              <w:rPr>
                <w:rFonts w:hint="eastAsia" w:ascii="Times New Roman" w:hAnsi="Times New Roman" w:eastAsia="宋体" w:cs="Times New Roman"/>
                <w:b w:val="0"/>
                <w:bCs w:val="0"/>
                <w:color w:val="auto"/>
                <w:kern w:val="2"/>
                <w:sz w:val="21"/>
                <w:szCs w:val="21"/>
                <w:highlight w:val="none"/>
                <w:lang w:val="en-US" w:eastAsia="zh-CN" w:bidi="ar-SA"/>
              </w:rPr>
              <w:t>危桥改造项目</w:t>
            </w:r>
            <w:r>
              <w:rPr>
                <w:rFonts w:hint="default" w:ascii="Times New Roman" w:hAnsi="Times New Roman" w:eastAsia="宋体" w:cs="Times New Roman"/>
                <w:color w:val="auto"/>
                <w:kern w:val="2"/>
                <w:sz w:val="21"/>
                <w:szCs w:val="21"/>
                <w:highlight w:val="none"/>
              </w:rPr>
              <w:t>加</w:t>
            </w:r>
            <w:r>
              <w:rPr>
                <w:rFonts w:hint="eastAsia" w:ascii="Times New Roman" w:hAnsi="Times New Roman" w:eastAsia="宋体" w:cs="Times New Roman"/>
                <w:color w:val="auto"/>
                <w:kern w:val="2"/>
                <w:sz w:val="21"/>
                <w:szCs w:val="21"/>
                <w:highlight w:val="none"/>
                <w:lang w:val="en-US" w:eastAsia="zh-CN"/>
              </w:rPr>
              <w:t>2</w:t>
            </w:r>
            <w:r>
              <w:rPr>
                <w:rFonts w:hint="default" w:ascii="Times New Roman" w:hAnsi="Times New Roman" w:eastAsia="宋体" w:cs="Times New Roman"/>
                <w:color w:val="auto"/>
                <w:kern w:val="2"/>
                <w:sz w:val="21"/>
                <w:szCs w:val="21"/>
                <w:highlight w:val="none"/>
              </w:rPr>
              <w:t>分，最多加</w:t>
            </w:r>
            <w:r>
              <w:rPr>
                <w:rFonts w:hint="eastAsia" w:ascii="Times New Roman" w:hAnsi="Times New Roman" w:eastAsia="宋体" w:cs="Times New Roman"/>
                <w:color w:val="auto"/>
                <w:kern w:val="2"/>
                <w:sz w:val="21"/>
                <w:szCs w:val="21"/>
                <w:highlight w:val="none"/>
                <w:lang w:val="en-US" w:eastAsia="zh-CN"/>
              </w:rPr>
              <w:t>4</w:t>
            </w:r>
            <w:r>
              <w:rPr>
                <w:rFonts w:hint="default" w:ascii="Times New Roman" w:hAnsi="Times New Roman" w:eastAsia="宋体" w:cs="Times New Roman"/>
                <w:color w:val="auto"/>
                <w:kern w:val="2"/>
                <w:sz w:val="21"/>
                <w:szCs w:val="21"/>
                <w:highlight w:val="none"/>
              </w:rPr>
              <w:t>分。</w:t>
            </w:r>
          </w:p>
        </w:tc>
      </w:tr>
    </w:tbl>
    <w:p w14:paraId="401B7C6C">
      <w:pPr>
        <w:keepNext w:val="0"/>
        <w:keepLines w:val="0"/>
        <w:pageBreakBefore w:val="0"/>
        <w:widowControl w:val="0"/>
        <w:kinsoku/>
        <w:wordWrap/>
        <w:overflowPunct/>
        <w:topLinePunct w:val="0"/>
        <w:bidi w:val="0"/>
        <w:snapToGrid/>
        <w:spacing w:line="400" w:lineRule="exact"/>
        <w:ind w:firstLine="360" w:firstLineChars="20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注：</w:t>
      </w:r>
    </w:p>
    <w:p w14:paraId="3A82A7BA">
      <w:pPr>
        <w:keepNext w:val="0"/>
        <w:keepLines w:val="0"/>
        <w:pageBreakBefore w:val="0"/>
        <w:widowControl w:val="0"/>
        <w:kinsoku/>
        <w:wordWrap/>
        <w:overflowPunct/>
        <w:topLinePunct w:val="0"/>
        <w:bidi w:val="0"/>
        <w:snapToGrid/>
        <w:spacing w:line="400" w:lineRule="exact"/>
        <w:ind w:firstLine="360" w:firstLineChars="200"/>
        <w:jc w:val="left"/>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1.评标委员会各成员的单项打分分值小数点后保留一位，计算过程及计算结果小数点后保留两位小数，小数点后第三位“四舍五入”；</w:t>
      </w:r>
      <w:r>
        <w:rPr>
          <w:rFonts w:hint="default" w:ascii="Times New Roman" w:hAnsi="Times New Roman" w:eastAsia="宋体" w:cs="Times New Roman"/>
          <w:color w:val="auto"/>
          <w:sz w:val="18"/>
          <w:szCs w:val="18"/>
          <w:highlight w:val="none"/>
          <w:lang w:val="en-US" w:eastAsia="zh-CN"/>
        </w:rPr>
        <w:t>评标委员会成员总数为7人及以上时，该平均值以去掉一个最高分和一个最低分后计算。</w:t>
      </w:r>
    </w:p>
    <w:p w14:paraId="5ED79FD6">
      <w:pPr>
        <w:keepNext w:val="0"/>
        <w:keepLines w:val="0"/>
        <w:pageBreakBefore w:val="0"/>
        <w:widowControl w:val="0"/>
        <w:kinsoku/>
        <w:wordWrap/>
        <w:overflowPunct/>
        <w:topLinePunct w:val="0"/>
        <w:bidi w:val="0"/>
        <w:snapToGrid/>
        <w:spacing w:line="400" w:lineRule="exact"/>
        <w:ind w:firstLine="360" w:firstLineChars="200"/>
        <w:jc w:val="left"/>
        <w:textAlignment w:val="auto"/>
        <w:rPr>
          <w:rFonts w:hint="default" w:ascii="Times New Roman" w:hAnsi="Times New Roman" w:eastAsia="宋体" w:cs="Times New Roman"/>
          <w:color w:val="auto"/>
          <w:sz w:val="18"/>
          <w:highlight w:val="none"/>
        </w:rPr>
      </w:pPr>
      <w:r>
        <w:rPr>
          <w:rFonts w:hint="eastAsia" w:ascii="Times New Roman" w:hAnsi="Times New Roman" w:eastAsia="宋体" w:cs="Times New Roman"/>
          <w:color w:val="auto"/>
          <w:sz w:val="18"/>
          <w:szCs w:val="18"/>
          <w:highlight w:val="none"/>
          <w:lang w:val="en-US" w:eastAsia="zh-CN"/>
        </w:rPr>
        <w:t>2</w:t>
      </w:r>
      <w:r>
        <w:rPr>
          <w:rFonts w:hint="default" w:ascii="Times New Roman" w:hAnsi="Times New Roman" w:eastAsia="宋体" w:cs="Times New Roman"/>
          <w:color w:val="auto"/>
          <w:sz w:val="18"/>
          <w:szCs w:val="18"/>
          <w:highlight w:val="none"/>
        </w:rPr>
        <w:t>.</w:t>
      </w:r>
      <w:r>
        <w:rPr>
          <w:rStyle w:val="7"/>
          <w:rFonts w:hint="default" w:ascii="Times New Roman" w:hAnsi="Times New Roman" w:eastAsia="宋体" w:cs="Times New Roman"/>
          <w:color w:val="auto"/>
          <w:sz w:val="18"/>
          <w:szCs w:val="18"/>
          <w:highlight w:val="none"/>
        </w:rPr>
        <w:t>表中区间分值下限为不含，上限为包含。</w:t>
      </w:r>
    </w:p>
    <w:p w14:paraId="2FF57F6B">
      <w:pPr>
        <w:autoSpaceDE w:val="0"/>
        <w:spacing w:line="420" w:lineRule="exact"/>
        <w:ind w:firstLine="424" w:firstLineChars="202"/>
        <w:rPr>
          <w:rStyle w:val="5"/>
          <w:color w:val="000000"/>
        </w:rPr>
      </w:pPr>
      <w:bookmarkStart w:id="1" w:name="_GoBack"/>
      <w:bookmarkEnd w:id="1"/>
    </w:p>
    <w:sectPr>
      <w:pgSz w:w="11906" w:h="16838"/>
      <w:pgMar w:top="1134" w:right="1247"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大宋简">
    <w:altName w:val="宋体"/>
    <w:panose1 w:val="00000000000000000000"/>
    <w:charset w:val="00"/>
    <w:family w:val="auto"/>
    <w:pitch w:val="default"/>
    <w:sig w:usb0="00000000" w:usb1="00000000" w:usb2="00000000" w:usb3="00000000" w:csb0="00000000" w:csb1="00000000"/>
  </w:font>
  <w:font w:name="汉仪大宋简">
    <w:panose1 w:val="02010600000101010101"/>
    <w:charset w:val="86"/>
    <w:family w:val="modern"/>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6EB89"/>
    <w:multiLevelType w:val="singleLevel"/>
    <w:tmpl w:val="1C06EB8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jYmRmODEyNzM3YTljZjQzMjkyODU0ODQwODZmMTUifQ=="/>
  </w:docVars>
  <w:rsids>
    <w:rsidRoot w:val="00BA21BF"/>
    <w:rsid w:val="00371D7D"/>
    <w:rsid w:val="009517FF"/>
    <w:rsid w:val="00BA21BF"/>
    <w:rsid w:val="00BE552D"/>
    <w:rsid w:val="42D72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widowControl w:val="0"/>
      <w:spacing w:before="340" w:after="330" w:line="576" w:lineRule="auto"/>
      <w:outlineLvl w:val="0"/>
    </w:pPr>
    <w:rPr>
      <w:rFonts w:eastAsia="汉仪大宋简"/>
      <w:b/>
      <w:bCs/>
      <w:kern w:val="44"/>
      <w:sz w:val="48"/>
      <w:szCs w:val="44"/>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Hyperlink"/>
    <w:basedOn w:val="4"/>
    <w:unhideWhenUsed/>
    <w:qFormat/>
    <w:uiPriority w:val="99"/>
    <w:rPr>
      <w:color w:val="0000FF"/>
      <w:u w:val="single"/>
    </w:rPr>
  </w:style>
  <w:style w:type="paragraph" w:customStyle="1" w:styleId="6">
    <w:name w:val="Table Paragraph"/>
    <w:basedOn w:val="1"/>
    <w:qFormat/>
    <w:uiPriority w:val="0"/>
    <w:pPr>
      <w:autoSpaceDE w:val="0"/>
      <w:autoSpaceDN w:val="0"/>
      <w:adjustRightInd w:val="0"/>
      <w:jc w:val="left"/>
    </w:pPr>
    <w:rPr>
      <w:kern w:val="0"/>
      <w:sz w:val="24"/>
    </w:rPr>
  </w:style>
  <w:style w:type="character" w:customStyle="1" w:styleId="7">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3506</Words>
  <Characters>3928</Characters>
  <Lines>29</Lines>
  <Paragraphs>8</Paragraphs>
  <TotalTime>0</TotalTime>
  <ScaleCrop>false</ScaleCrop>
  <LinksUpToDate>false</LinksUpToDate>
  <CharactersWithSpaces>3978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2024-09-04T03:22:00Z</dcterms:created>
  <dc:creator>微软用户</dc:creator>
  <cp:lastModifiedBy>黑龙江业杰招标代理有限公司</cp:lastModifiedBy>
  <dcterms:modified xsi:type="dcterms:W3CDTF">2024-09-04T07:46:38Z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95E276C4F0CE4C47AC2D762251E17FB6_13</vt:lpwstr>
  </property>
</Properties>
</file>