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D9320">
      <w:pPr>
        <w:tabs>
          <w:tab w:val="left" w:pos="3220"/>
          <w:tab w:val="left" w:pos="5602"/>
        </w:tabs>
        <w:spacing w:before="224" w:line="440" w:lineRule="exact"/>
        <w:jc w:val="center"/>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省道绥棱至拉哈公路绥棱至四海店段改扩建工程施工</w:t>
      </w:r>
      <w:r>
        <w:rPr>
          <w:rFonts w:hint="eastAsia" w:ascii="宋体" w:hAnsi="宋体"/>
          <w:color w:val="auto"/>
          <w:sz w:val="28"/>
          <w:szCs w:val="28"/>
          <w:highlight w:val="none"/>
          <w:lang w:val="en-US" w:eastAsia="zh-CN"/>
        </w:rPr>
        <w:t>项目</w:t>
      </w:r>
    </w:p>
    <w:p w14:paraId="1BE2255F">
      <w:pPr>
        <w:tabs>
          <w:tab w:val="left" w:pos="3220"/>
          <w:tab w:val="left" w:pos="5602"/>
        </w:tabs>
        <w:spacing w:before="224" w:line="440" w:lineRule="exact"/>
        <w:jc w:val="center"/>
        <w:rPr>
          <w:rFonts w:ascii="宋体"/>
          <w:color w:val="auto"/>
          <w:sz w:val="28"/>
          <w:szCs w:val="28"/>
          <w:highlight w:val="none"/>
        </w:rPr>
      </w:pPr>
      <w:r>
        <w:rPr>
          <w:rFonts w:hint="eastAsia" w:ascii="宋体" w:hAnsi="宋体"/>
          <w:color w:val="auto"/>
          <w:sz w:val="28"/>
          <w:szCs w:val="28"/>
          <w:highlight w:val="none"/>
        </w:rPr>
        <w:t>招标公告</w:t>
      </w:r>
    </w:p>
    <w:p w14:paraId="40730260">
      <w:pPr>
        <w:spacing w:line="440" w:lineRule="exact"/>
        <w:jc w:val="center"/>
        <w:rPr>
          <w:rFonts w:ascii="宋体"/>
          <w:color w:val="auto"/>
          <w:szCs w:val="21"/>
          <w:highlight w:val="none"/>
        </w:rPr>
      </w:pPr>
      <w:r>
        <w:rPr>
          <w:rFonts w:hint="eastAsia" w:ascii="宋体" w:hAnsi="宋体"/>
          <w:color w:val="auto"/>
          <w:szCs w:val="21"/>
          <w:highlight w:val="none"/>
        </w:rPr>
        <w:t>（招标编号：GXTC-A1-24200107）</w:t>
      </w:r>
      <w:bookmarkStart w:id="19" w:name="_GoBack"/>
      <w:bookmarkEnd w:id="19"/>
    </w:p>
    <w:p w14:paraId="1AFB9658">
      <w:pPr>
        <w:spacing w:before="120" w:beforeLines="50" w:after="120" w:afterLines="50" w:line="400" w:lineRule="exact"/>
        <w:outlineLvl w:val="1"/>
        <w:rPr>
          <w:rFonts w:ascii="宋体"/>
          <w:b/>
          <w:bCs/>
          <w:color w:val="auto"/>
          <w:sz w:val="24"/>
          <w:szCs w:val="24"/>
          <w:highlight w:val="none"/>
        </w:rPr>
      </w:pPr>
      <w:bookmarkStart w:id="0" w:name="_Toc509334288"/>
      <w:bookmarkStart w:id="1" w:name="_Toc509819250"/>
      <w:r>
        <w:rPr>
          <w:rFonts w:ascii="宋体" w:hAnsi="宋体"/>
          <w:b/>
          <w:bCs/>
          <w:color w:val="auto"/>
          <w:sz w:val="24"/>
          <w:szCs w:val="24"/>
          <w:highlight w:val="none"/>
        </w:rPr>
        <w:t>1</w:t>
      </w:r>
      <w:r>
        <w:rPr>
          <w:rFonts w:hint="eastAsia" w:ascii="宋体" w:hAnsi="宋体"/>
          <w:b/>
          <w:bCs/>
          <w:color w:val="auto"/>
          <w:sz w:val="24"/>
          <w:szCs w:val="24"/>
          <w:highlight w:val="none"/>
        </w:rPr>
        <w:t>．招标条件</w:t>
      </w:r>
      <w:bookmarkEnd w:id="0"/>
      <w:bookmarkEnd w:id="1"/>
    </w:p>
    <w:p w14:paraId="1FC26965">
      <w:pPr>
        <w:spacing w:line="400" w:lineRule="exact"/>
        <w:ind w:firstLine="420" w:firstLineChars="200"/>
        <w:rPr>
          <w:rFonts w:ascii="宋体"/>
          <w:color w:val="auto"/>
          <w:szCs w:val="21"/>
          <w:highlight w:val="none"/>
        </w:rPr>
      </w:pPr>
      <w:r>
        <w:rPr>
          <w:rFonts w:hint="eastAsia" w:ascii="宋体" w:hAnsi="宋体"/>
          <w:color w:val="auto"/>
          <w:szCs w:val="21"/>
          <w:highlight w:val="none"/>
        </w:rPr>
        <w:t>省道绥棱至拉哈公路绥棱至四海店段改扩建工程（以下简称“本项目”）可行性研究报告已由黑龙江省发展和改革委员会以《关于省道绥棱至拉哈公路绥棱至四海店段改扩建工程可行性研究报告的批复》（黑发改交通【</w:t>
      </w:r>
      <w:r>
        <w:rPr>
          <w:rFonts w:ascii="宋体" w:hAnsi="宋体"/>
          <w:color w:val="auto"/>
          <w:szCs w:val="21"/>
          <w:highlight w:val="none"/>
        </w:rPr>
        <w:t>2022</w:t>
      </w:r>
      <w:r>
        <w:rPr>
          <w:rFonts w:hint="eastAsia" w:ascii="宋体" w:hAnsi="宋体"/>
          <w:color w:val="auto"/>
          <w:szCs w:val="21"/>
          <w:highlight w:val="none"/>
        </w:rPr>
        <w:t>】</w:t>
      </w:r>
      <w:r>
        <w:rPr>
          <w:rFonts w:ascii="宋体" w:hAnsi="宋体"/>
          <w:color w:val="auto"/>
          <w:szCs w:val="21"/>
          <w:highlight w:val="none"/>
        </w:rPr>
        <w:t>253</w:t>
      </w:r>
      <w:r>
        <w:rPr>
          <w:rFonts w:hint="eastAsia" w:ascii="宋体" w:hAnsi="宋体"/>
          <w:color w:val="auto"/>
          <w:szCs w:val="21"/>
          <w:highlight w:val="none"/>
        </w:rPr>
        <w:t>号）批复，初步设计已由黑龙江省交通运输厅以《黑龙江省交通运输厅关于省道绥棱至拉哈公路绥棱至四海店段改扩建工程初步设计的批复》（黑交发〔</w:t>
      </w:r>
      <w:r>
        <w:rPr>
          <w:rFonts w:ascii="宋体" w:hAnsi="宋体"/>
          <w:color w:val="auto"/>
          <w:szCs w:val="21"/>
          <w:highlight w:val="none"/>
        </w:rPr>
        <w:t>2022</w:t>
      </w:r>
      <w:r>
        <w:rPr>
          <w:rFonts w:hint="eastAsia" w:ascii="宋体" w:hAnsi="宋体"/>
          <w:color w:val="auto"/>
          <w:szCs w:val="21"/>
          <w:highlight w:val="none"/>
        </w:rPr>
        <w:t>〕</w:t>
      </w:r>
      <w:r>
        <w:rPr>
          <w:rFonts w:ascii="宋体" w:hAnsi="宋体"/>
          <w:color w:val="auto"/>
          <w:szCs w:val="21"/>
          <w:highlight w:val="none"/>
        </w:rPr>
        <w:t>420</w:t>
      </w:r>
      <w:r>
        <w:rPr>
          <w:rFonts w:hint="eastAsia" w:ascii="宋体" w:hAnsi="宋体"/>
          <w:color w:val="auto"/>
          <w:szCs w:val="21"/>
          <w:highlight w:val="none"/>
        </w:rPr>
        <w:t>号）批复，施工图设计已由黑龙江省交通运输厅以《黑龙江省交通运输厅关于省道绥棱至拉哈公路绥棱至四海店段改扩建工程施工图设计的批复》（黑交发〔2022〕490号）批复，</w:t>
      </w:r>
      <w:r>
        <w:rPr>
          <w:rFonts w:hint="eastAsia" w:ascii="宋体" w:hAnsi="宋体"/>
          <w:color w:val="auto"/>
          <w:szCs w:val="21"/>
          <w:highlight w:val="none"/>
          <w:lang w:val="en-US" w:eastAsia="zh-CN"/>
        </w:rPr>
        <w:t>项目建设资金已落实</w:t>
      </w:r>
      <w:r>
        <w:rPr>
          <w:rFonts w:hint="eastAsia" w:ascii="宋体" w:hAnsi="宋体"/>
          <w:color w:val="auto"/>
          <w:szCs w:val="21"/>
          <w:highlight w:val="none"/>
        </w:rPr>
        <w:t>，由省级资金补贴和绥棱县人民政府自筹。招标人为绥棱县交通运输局</w:t>
      </w:r>
      <w:r>
        <w:rPr>
          <w:rFonts w:hint="eastAsia" w:ascii="宋体" w:hAnsi="宋体"/>
          <w:color w:val="auto"/>
          <w:szCs w:val="21"/>
          <w:highlight w:val="none"/>
          <w:lang w:val="en-US" w:eastAsia="zh-CN"/>
        </w:rPr>
        <w:t>,项目法人为绥棱县交通运输局</w:t>
      </w:r>
      <w:r>
        <w:rPr>
          <w:rFonts w:hint="eastAsia" w:ascii="宋体" w:hAnsi="宋体"/>
          <w:color w:val="auto"/>
          <w:szCs w:val="21"/>
          <w:highlight w:val="none"/>
        </w:rPr>
        <w:t>。项目已具备招标条件，现对该项目的施工进行公开招标。</w:t>
      </w:r>
    </w:p>
    <w:p w14:paraId="2212CF54">
      <w:pPr>
        <w:spacing w:before="120" w:beforeLines="50" w:after="120" w:afterLines="50" w:line="400" w:lineRule="exact"/>
        <w:outlineLvl w:val="1"/>
        <w:rPr>
          <w:rFonts w:ascii="宋体"/>
          <w:b/>
          <w:bCs/>
          <w:color w:val="auto"/>
          <w:sz w:val="24"/>
          <w:szCs w:val="24"/>
          <w:highlight w:val="none"/>
        </w:rPr>
      </w:pPr>
      <w:bookmarkStart w:id="2" w:name="_Toc509334289"/>
      <w:bookmarkStart w:id="3" w:name="_Toc509819251"/>
      <w:r>
        <w:rPr>
          <w:rFonts w:ascii="宋体" w:hAnsi="宋体"/>
          <w:b/>
          <w:bCs/>
          <w:color w:val="auto"/>
          <w:sz w:val="24"/>
          <w:szCs w:val="24"/>
          <w:highlight w:val="none"/>
        </w:rPr>
        <w:t>2</w:t>
      </w:r>
      <w:r>
        <w:rPr>
          <w:rFonts w:hint="eastAsia" w:ascii="宋体" w:hAnsi="宋体"/>
          <w:b/>
          <w:bCs/>
          <w:color w:val="auto"/>
          <w:sz w:val="24"/>
          <w:szCs w:val="24"/>
          <w:highlight w:val="none"/>
        </w:rPr>
        <w:t>．项目概况</w:t>
      </w:r>
      <w:bookmarkEnd w:id="2"/>
      <w:r>
        <w:rPr>
          <w:rFonts w:hint="eastAsia" w:ascii="宋体" w:hAnsi="宋体"/>
          <w:b/>
          <w:bCs/>
          <w:color w:val="auto"/>
          <w:sz w:val="24"/>
          <w:szCs w:val="24"/>
          <w:highlight w:val="none"/>
        </w:rPr>
        <w:t>和招标范围</w:t>
      </w:r>
      <w:bookmarkEnd w:id="3"/>
    </w:p>
    <w:p w14:paraId="5E8C9497">
      <w:pPr>
        <w:spacing w:line="400" w:lineRule="exact"/>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2.1</w:t>
      </w:r>
      <w:r>
        <w:rPr>
          <w:rFonts w:hint="eastAsia" w:ascii="宋体" w:hAnsi="宋体" w:cs="宋体"/>
          <w:color w:val="auto"/>
          <w:kern w:val="0"/>
          <w:szCs w:val="21"/>
          <w:highlight w:val="none"/>
          <w:lang w:val="zh-CN"/>
        </w:rPr>
        <w:t>项目概况：</w:t>
      </w:r>
    </w:p>
    <w:p w14:paraId="132C8556">
      <w:pPr>
        <w:spacing w:line="40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(一)</w:t>
      </w:r>
      <w:r>
        <w:rPr>
          <w:rFonts w:hint="eastAsia" w:ascii="宋体" w:hAnsi="宋体" w:cs="宋体"/>
          <w:color w:val="auto"/>
          <w:kern w:val="0"/>
          <w:szCs w:val="21"/>
          <w:highlight w:val="none"/>
          <w:lang w:val="zh-CN" w:eastAsia="zh-CN"/>
        </w:rPr>
        <w:t>本项目起自绥棱镇东侧，接既有一级公路，沿旧路布线，经阁山镇，止于四海店镇北侧，与绥棱林业局交界处，路线全长44.735公里。全线设置桥梁201.68米/7座(其中拆除重建中桥100.28米/2座、拆除重建小桥101.40米/5座),涵洞38道(其中拆除重建19道、新建17道、利用2道)；与铁路平面交叉1处，与等级公路平面交叉49处;养护道班1处，交通量观测站1处，汽车停靠站7处(14座)。</w:t>
      </w:r>
    </w:p>
    <w:p w14:paraId="448DFB7E">
      <w:pPr>
        <w:spacing w:line="400" w:lineRule="exact"/>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(二)本项目采用二级公路标准建设，设计速度80公里/小时，路基宽度12.0米。桥涵设计汽车荷载等级采用公路-I级，其他技术指标按《公路工程技术标准》(JTGB01-2014)执行。</w:t>
      </w:r>
    </w:p>
    <w:p w14:paraId="393FD874">
      <w:pPr>
        <w:spacing w:line="400" w:lineRule="exact"/>
        <w:ind w:firstLine="420" w:firstLineChars="200"/>
        <w:jc w:val="left"/>
        <w:rPr>
          <w:rFonts w:asci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建设地点：黑龙江省绥棱县境内。</w:t>
      </w:r>
    </w:p>
    <w:p w14:paraId="532A363D">
      <w:pPr>
        <w:spacing w:line="400" w:lineRule="exact"/>
        <w:ind w:firstLine="420" w:firstLineChars="200"/>
        <w:jc w:val="left"/>
        <w:rPr>
          <w:rFonts w:ascii="宋体"/>
          <w:color w:val="auto"/>
          <w:szCs w:val="21"/>
          <w:highlight w:val="none"/>
        </w:rPr>
      </w:pPr>
      <w:r>
        <w:rPr>
          <w:rFonts w:ascii="宋体" w:hAnsi="宋体"/>
          <w:color w:val="auto"/>
          <w:szCs w:val="21"/>
          <w:highlight w:val="none"/>
        </w:rPr>
        <w:t>2.3</w:t>
      </w:r>
      <w:r>
        <w:rPr>
          <w:rFonts w:hint="eastAsia" w:ascii="宋体" w:hAnsi="宋体"/>
          <w:color w:val="auto"/>
          <w:szCs w:val="21"/>
          <w:highlight w:val="none"/>
        </w:rPr>
        <w:t>计划工期：总工期</w:t>
      </w:r>
      <w:r>
        <w:rPr>
          <w:rFonts w:ascii="宋体" w:hAnsi="宋体"/>
          <w:color w:val="auto"/>
          <w:szCs w:val="21"/>
          <w:highlight w:val="none"/>
        </w:rPr>
        <w:t>24</w:t>
      </w:r>
      <w:r>
        <w:rPr>
          <w:rFonts w:hint="eastAsia" w:ascii="宋体" w:hAnsi="宋体"/>
          <w:color w:val="auto"/>
          <w:szCs w:val="21"/>
          <w:highlight w:val="none"/>
        </w:rPr>
        <w:t>个月，计划开工日期：</w:t>
      </w: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ascii="宋体" w:hAnsi="宋体"/>
          <w:color w:val="auto"/>
          <w:szCs w:val="21"/>
          <w:highlight w:val="none"/>
        </w:rPr>
        <w:t>12</w:t>
      </w:r>
      <w:r>
        <w:rPr>
          <w:rFonts w:hint="eastAsia" w:ascii="宋体" w:hAnsi="宋体"/>
          <w:color w:val="auto"/>
          <w:szCs w:val="21"/>
          <w:highlight w:val="none"/>
        </w:rPr>
        <w:t>月，计划交工日期：</w:t>
      </w:r>
      <w:r>
        <w:rPr>
          <w:rFonts w:ascii="宋体" w:hAnsi="宋体"/>
          <w:color w:val="auto"/>
          <w:szCs w:val="21"/>
          <w:highlight w:val="none"/>
        </w:rPr>
        <w:t>202</w:t>
      </w:r>
      <w:r>
        <w:rPr>
          <w:rFonts w:hint="eastAsia" w:ascii="宋体" w:hAnsi="宋体"/>
          <w:color w:val="auto"/>
          <w:szCs w:val="21"/>
          <w:highlight w:val="none"/>
          <w:lang w:val="en-US" w:eastAsia="zh-CN"/>
        </w:rPr>
        <w:t>6</w:t>
      </w:r>
      <w:r>
        <w:rPr>
          <w:rFonts w:hint="eastAsia" w:ascii="宋体" w:hAnsi="宋体"/>
          <w:color w:val="auto"/>
          <w:szCs w:val="21"/>
          <w:highlight w:val="none"/>
        </w:rPr>
        <w:t>年</w:t>
      </w:r>
      <w:r>
        <w:rPr>
          <w:rFonts w:ascii="宋体" w:hAnsi="宋体"/>
          <w:color w:val="auto"/>
          <w:szCs w:val="21"/>
          <w:highlight w:val="none"/>
        </w:rPr>
        <w:t>12</w:t>
      </w:r>
      <w:r>
        <w:rPr>
          <w:rFonts w:hint="eastAsia" w:ascii="宋体" w:hAnsi="宋体"/>
          <w:color w:val="auto"/>
          <w:szCs w:val="21"/>
          <w:highlight w:val="none"/>
        </w:rPr>
        <w:t>月。缺陷责任期自实际交工日期起计算</w:t>
      </w:r>
      <w:r>
        <w:rPr>
          <w:rFonts w:ascii="宋体" w:hAnsi="宋体"/>
          <w:color w:val="auto"/>
          <w:szCs w:val="21"/>
          <w:highlight w:val="none"/>
        </w:rPr>
        <w:t>24</w:t>
      </w:r>
      <w:r>
        <w:rPr>
          <w:rFonts w:hint="eastAsia" w:ascii="宋体" w:hAnsi="宋体"/>
          <w:color w:val="auto"/>
          <w:szCs w:val="21"/>
          <w:highlight w:val="none"/>
        </w:rPr>
        <w:t>个月。上述时间仅作为编制投标文件的统一标准，实际开工日期按施工合同相关条款规定执行。</w:t>
      </w:r>
    </w:p>
    <w:p w14:paraId="78370FD8">
      <w:pPr>
        <w:spacing w:line="400" w:lineRule="exact"/>
        <w:ind w:firstLine="420" w:firstLineChars="200"/>
        <w:jc w:val="left"/>
        <w:rPr>
          <w:rFonts w:ascii="宋体"/>
          <w:color w:val="auto"/>
          <w:szCs w:val="21"/>
          <w:highlight w:val="none"/>
        </w:rPr>
      </w:pPr>
      <w:r>
        <w:rPr>
          <w:rFonts w:ascii="宋体" w:hAnsi="宋体"/>
          <w:color w:val="auto"/>
          <w:szCs w:val="21"/>
          <w:highlight w:val="none"/>
        </w:rPr>
        <w:t>2.4</w:t>
      </w:r>
      <w:r>
        <w:rPr>
          <w:rFonts w:hint="eastAsia" w:ascii="宋体" w:hAnsi="宋体"/>
          <w:color w:val="auto"/>
          <w:szCs w:val="21"/>
          <w:highlight w:val="none"/>
        </w:rPr>
        <w:t>招标范围：</w:t>
      </w:r>
      <w:bookmarkStart w:id="4" w:name="_Hlk111801504"/>
      <w:r>
        <w:rPr>
          <w:rFonts w:hint="eastAsia" w:ascii="宋体" w:hAnsi="宋体"/>
          <w:color w:val="auto"/>
          <w:szCs w:val="21"/>
          <w:highlight w:val="none"/>
        </w:rPr>
        <w:t>本项目路基、路面、桥梁涵洞、交叉工程、绿化及环境保护工程施工</w:t>
      </w:r>
      <w:bookmarkEnd w:id="4"/>
      <w:r>
        <w:rPr>
          <w:rFonts w:hint="eastAsia" w:ascii="宋体" w:hAnsi="宋体"/>
          <w:color w:val="auto"/>
          <w:szCs w:val="21"/>
          <w:highlight w:val="none"/>
        </w:rPr>
        <w:t>及缺陷责任修复。</w:t>
      </w:r>
    </w:p>
    <w:p w14:paraId="65F7FBED">
      <w:pPr>
        <w:spacing w:line="400" w:lineRule="exact"/>
        <w:ind w:firstLine="420" w:firstLineChars="200"/>
        <w:jc w:val="left"/>
        <w:rPr>
          <w:rFonts w:ascii="宋体"/>
          <w:color w:val="auto"/>
          <w:szCs w:val="21"/>
          <w:highlight w:val="none"/>
        </w:rPr>
      </w:pPr>
      <w:r>
        <w:rPr>
          <w:rFonts w:ascii="宋体" w:hAnsi="宋体"/>
          <w:color w:val="auto"/>
          <w:szCs w:val="21"/>
          <w:highlight w:val="none"/>
        </w:rPr>
        <w:t>2.5</w:t>
      </w:r>
      <w:r>
        <w:rPr>
          <w:rFonts w:hint="eastAsia" w:ascii="宋体" w:hAnsi="宋体"/>
          <w:color w:val="auto"/>
          <w:szCs w:val="21"/>
          <w:highlight w:val="none"/>
        </w:rPr>
        <w:t>质量要求：</w:t>
      </w:r>
      <w:r>
        <w:rPr>
          <w:rFonts w:hint="eastAsia" w:ascii="宋体" w:hAnsi="宋体"/>
          <w:b/>
          <w:color w:val="auto"/>
          <w:kern w:val="0"/>
          <w:szCs w:val="21"/>
          <w:highlight w:val="none"/>
        </w:rPr>
        <w:t>公路工程</w:t>
      </w:r>
      <w:r>
        <w:rPr>
          <w:rFonts w:hint="eastAsia" w:ascii="宋体" w:hAnsi="宋体" w:cs="宋体"/>
          <w:color w:val="auto"/>
          <w:szCs w:val="21"/>
          <w:highlight w:val="none"/>
        </w:rPr>
        <w:t>工程质量应符合《公路工程质量检验评定标准》（</w:t>
      </w:r>
      <w:r>
        <w:rPr>
          <w:rFonts w:ascii="宋体" w:hAnsi="宋体" w:cs="宋体"/>
          <w:color w:val="auto"/>
          <w:szCs w:val="21"/>
          <w:highlight w:val="none"/>
        </w:rPr>
        <w:t>JTGF80/1-2017</w:t>
      </w:r>
      <w:r>
        <w:rPr>
          <w:rFonts w:hint="eastAsia" w:ascii="宋体" w:hAnsi="宋体" w:cs="宋体"/>
          <w:color w:val="auto"/>
          <w:szCs w:val="21"/>
          <w:highlight w:val="none"/>
        </w:rPr>
        <w:t>），竣（交）工验收依据《公路工程竣（交）工验收办法实施细则》（交公路发〔</w:t>
      </w:r>
      <w:r>
        <w:rPr>
          <w:rFonts w:ascii="宋体" w:hAnsi="宋体" w:cs="宋体"/>
          <w:color w:val="auto"/>
          <w:szCs w:val="21"/>
          <w:highlight w:val="none"/>
        </w:rPr>
        <w:t>2010</w:t>
      </w:r>
      <w:r>
        <w:rPr>
          <w:rFonts w:hint="eastAsia" w:ascii="宋体" w:hAnsi="宋体" w:cs="宋体"/>
          <w:color w:val="auto"/>
          <w:szCs w:val="21"/>
          <w:highlight w:val="none"/>
        </w:rPr>
        <w:t>〕</w:t>
      </w:r>
      <w:r>
        <w:rPr>
          <w:rFonts w:ascii="宋体" w:hAnsi="宋体" w:cs="宋体"/>
          <w:color w:val="auto"/>
          <w:szCs w:val="21"/>
          <w:highlight w:val="none"/>
        </w:rPr>
        <w:t>65</w:t>
      </w:r>
      <w:r>
        <w:rPr>
          <w:rFonts w:hint="eastAsia" w:ascii="宋体" w:hAnsi="宋体" w:cs="宋体"/>
          <w:color w:val="auto"/>
          <w:szCs w:val="21"/>
          <w:highlight w:val="none"/>
        </w:rPr>
        <w:t>号）规定，标段交工验收质量评定为合格；竣工验收质量评定为优良。</w:t>
      </w:r>
    </w:p>
    <w:p w14:paraId="45349FF4">
      <w:pPr>
        <w:spacing w:line="400" w:lineRule="exact"/>
        <w:ind w:firstLine="420" w:firstLineChars="200"/>
        <w:jc w:val="left"/>
        <w:rPr>
          <w:rFonts w:ascii="宋体"/>
          <w:color w:val="auto"/>
          <w:szCs w:val="21"/>
          <w:highlight w:val="none"/>
        </w:rPr>
      </w:pPr>
      <w:r>
        <w:rPr>
          <w:rFonts w:ascii="宋体" w:hAnsi="宋体"/>
          <w:color w:val="auto"/>
          <w:szCs w:val="21"/>
          <w:highlight w:val="none"/>
        </w:rPr>
        <w:t>2.6</w:t>
      </w:r>
      <w:r>
        <w:rPr>
          <w:rFonts w:hint="eastAsia" w:ascii="宋体" w:hAnsi="宋体"/>
          <w:color w:val="auto"/>
          <w:szCs w:val="21"/>
          <w:highlight w:val="none"/>
        </w:rPr>
        <w:t>安全目标：在项目建设过程中杜绝重大安全责任事故，避免发生较大安全责任事故，</w:t>
      </w:r>
      <w:r>
        <w:rPr>
          <w:rFonts w:hint="eastAsia" w:ascii="宋体" w:hAnsi="宋体"/>
          <w:color w:val="auto"/>
          <w:szCs w:val="21"/>
          <w:highlight w:val="none"/>
          <w:lang w:val="en-US" w:eastAsia="zh-CN"/>
        </w:rPr>
        <w:t>减少一般安全责任事故，实现安全责任事故零死亡</w:t>
      </w:r>
      <w:r>
        <w:rPr>
          <w:rFonts w:hint="eastAsia" w:ascii="宋体" w:hAnsi="宋体"/>
          <w:color w:val="auto"/>
          <w:szCs w:val="21"/>
          <w:highlight w:val="none"/>
        </w:rPr>
        <w:t>。</w:t>
      </w:r>
    </w:p>
    <w:p w14:paraId="3BE6E7BD">
      <w:pPr>
        <w:spacing w:line="400" w:lineRule="exact"/>
        <w:ind w:firstLine="420" w:firstLineChars="200"/>
        <w:jc w:val="left"/>
        <w:rPr>
          <w:rFonts w:ascii="宋体"/>
          <w:color w:val="auto"/>
          <w:szCs w:val="21"/>
          <w:highlight w:val="none"/>
        </w:rPr>
      </w:pPr>
      <w:r>
        <w:rPr>
          <w:rFonts w:ascii="宋体" w:hAnsi="宋体"/>
          <w:color w:val="auto"/>
          <w:szCs w:val="21"/>
          <w:highlight w:val="none"/>
        </w:rPr>
        <w:t>2.7</w:t>
      </w:r>
      <w:r>
        <w:rPr>
          <w:rFonts w:hint="eastAsia" w:ascii="宋体" w:hAnsi="宋体"/>
          <w:color w:val="auto"/>
          <w:szCs w:val="21"/>
          <w:highlight w:val="none"/>
        </w:rPr>
        <w:t>标段划分：</w:t>
      </w:r>
      <w:r>
        <w:rPr>
          <w:rFonts w:hint="eastAsia" w:ascii="宋体" w:hAnsi="宋体" w:cs="宋体"/>
          <w:color w:val="auto"/>
          <w:szCs w:val="21"/>
          <w:highlight w:val="none"/>
        </w:rPr>
        <w:t>本项目划分为1个标段。主要工程内容情况见下表：</w:t>
      </w:r>
    </w:p>
    <w:tbl>
      <w:tblPr>
        <w:tblStyle w:val="4"/>
        <w:tblW w:w="9626" w:type="dxa"/>
        <w:tblInd w:w="93"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821"/>
        <w:gridCol w:w="1378"/>
        <w:gridCol w:w="4089"/>
        <w:gridCol w:w="1651"/>
      </w:tblGrid>
      <w:tr w14:paraId="4B6A4D2C">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Borders>
              <w:top w:val="double" w:color="auto" w:sz="4" w:space="0"/>
            </w:tcBorders>
            <w:noWrap/>
            <w:vAlign w:val="center"/>
          </w:tcPr>
          <w:p w14:paraId="75C74A9F">
            <w:pPr>
              <w:widowControl/>
              <w:jc w:val="center"/>
              <w:rPr>
                <w:rFonts w:ascii="宋体" w:cs="宋体"/>
                <w:bCs/>
                <w:color w:val="auto"/>
                <w:kern w:val="0"/>
                <w:szCs w:val="21"/>
                <w:highlight w:val="none"/>
              </w:rPr>
            </w:pPr>
            <w:r>
              <w:rPr>
                <w:rFonts w:hint="eastAsia" w:ascii="宋体" w:hAnsi="宋体" w:cs="宋体"/>
                <w:bCs/>
                <w:color w:val="auto"/>
                <w:kern w:val="0"/>
                <w:szCs w:val="21"/>
                <w:highlight w:val="none"/>
              </w:rPr>
              <w:t>标段</w:t>
            </w:r>
          </w:p>
        </w:tc>
        <w:tc>
          <w:tcPr>
            <w:tcW w:w="0" w:type="auto"/>
            <w:tcBorders>
              <w:top w:val="double" w:color="auto" w:sz="4" w:space="0"/>
            </w:tcBorders>
            <w:noWrap/>
            <w:vAlign w:val="center"/>
          </w:tcPr>
          <w:p w14:paraId="7E633A7F">
            <w:pPr>
              <w:widowControl/>
              <w:jc w:val="center"/>
              <w:rPr>
                <w:rFonts w:ascii="宋体" w:cs="宋体"/>
                <w:bCs/>
                <w:color w:val="auto"/>
                <w:kern w:val="0"/>
                <w:szCs w:val="21"/>
                <w:highlight w:val="none"/>
              </w:rPr>
            </w:pPr>
            <w:r>
              <w:rPr>
                <w:rFonts w:hint="eastAsia" w:ascii="宋体" w:hAnsi="宋体" w:cs="宋体"/>
                <w:bCs/>
                <w:color w:val="auto"/>
                <w:kern w:val="0"/>
                <w:szCs w:val="21"/>
                <w:highlight w:val="none"/>
              </w:rPr>
              <w:t>起讫桩号</w:t>
            </w:r>
          </w:p>
        </w:tc>
        <w:tc>
          <w:tcPr>
            <w:tcW w:w="1378" w:type="dxa"/>
            <w:tcBorders>
              <w:top w:val="double" w:color="auto" w:sz="4" w:space="0"/>
            </w:tcBorders>
            <w:noWrap/>
            <w:vAlign w:val="center"/>
          </w:tcPr>
          <w:p w14:paraId="04924439">
            <w:pPr>
              <w:widowControl/>
              <w:jc w:val="center"/>
              <w:rPr>
                <w:rFonts w:ascii="宋体" w:cs="宋体"/>
                <w:bCs/>
                <w:color w:val="auto"/>
                <w:kern w:val="0"/>
                <w:szCs w:val="21"/>
                <w:highlight w:val="none"/>
              </w:rPr>
            </w:pPr>
            <w:r>
              <w:rPr>
                <w:rFonts w:hint="eastAsia" w:ascii="宋体" w:hAnsi="宋体" w:cs="宋体"/>
                <w:bCs/>
                <w:color w:val="auto"/>
                <w:kern w:val="0"/>
                <w:szCs w:val="21"/>
                <w:highlight w:val="none"/>
              </w:rPr>
              <w:t>里程</w:t>
            </w:r>
            <w:r>
              <w:rPr>
                <w:rFonts w:ascii="宋体" w:hAnsi="宋体" w:cs="宋体"/>
                <w:bCs/>
                <w:color w:val="auto"/>
                <w:kern w:val="0"/>
                <w:szCs w:val="21"/>
                <w:highlight w:val="none"/>
              </w:rPr>
              <w:t>(</w:t>
            </w:r>
            <w:r>
              <w:rPr>
                <w:rFonts w:hint="eastAsia" w:ascii="宋体" w:hAnsi="宋体" w:cs="宋体"/>
                <w:bCs/>
                <w:color w:val="auto"/>
                <w:kern w:val="0"/>
                <w:szCs w:val="21"/>
                <w:highlight w:val="none"/>
              </w:rPr>
              <w:t>公里</w:t>
            </w:r>
            <w:r>
              <w:rPr>
                <w:rFonts w:ascii="宋体" w:hAnsi="宋体" w:cs="宋体"/>
                <w:bCs/>
                <w:color w:val="auto"/>
                <w:kern w:val="0"/>
                <w:szCs w:val="21"/>
                <w:highlight w:val="none"/>
              </w:rPr>
              <w:t>)</w:t>
            </w:r>
          </w:p>
        </w:tc>
        <w:tc>
          <w:tcPr>
            <w:tcW w:w="0" w:type="auto"/>
            <w:tcBorders>
              <w:top w:val="double" w:color="auto" w:sz="4" w:space="0"/>
            </w:tcBorders>
            <w:noWrap/>
            <w:vAlign w:val="center"/>
          </w:tcPr>
          <w:p w14:paraId="5449EE71">
            <w:pPr>
              <w:widowControl/>
              <w:jc w:val="center"/>
              <w:rPr>
                <w:rFonts w:ascii="宋体" w:cs="宋体"/>
                <w:bCs/>
                <w:color w:val="auto"/>
                <w:kern w:val="0"/>
                <w:szCs w:val="21"/>
                <w:highlight w:val="none"/>
              </w:rPr>
            </w:pPr>
            <w:r>
              <w:rPr>
                <w:rFonts w:hint="eastAsia" w:ascii="宋体" w:hAnsi="宋体" w:cs="宋体"/>
                <w:bCs/>
                <w:color w:val="auto"/>
                <w:kern w:val="0"/>
                <w:szCs w:val="21"/>
                <w:highlight w:val="none"/>
              </w:rPr>
              <w:t>主要工程内容</w:t>
            </w:r>
          </w:p>
        </w:tc>
        <w:tc>
          <w:tcPr>
            <w:tcW w:w="0" w:type="auto"/>
            <w:tcBorders>
              <w:top w:val="double" w:color="auto" w:sz="4" w:space="0"/>
            </w:tcBorders>
            <w:noWrap/>
            <w:vAlign w:val="center"/>
          </w:tcPr>
          <w:p w14:paraId="7878D4BE">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szCs w:val="21"/>
                <w:highlight w:val="none"/>
                <w:lang w:val="en-US" w:eastAsia="zh-CN"/>
              </w:rPr>
              <w:t>控制</w:t>
            </w:r>
            <w:r>
              <w:rPr>
                <w:rFonts w:hint="eastAsia" w:ascii="仿宋" w:hAnsi="仿宋" w:eastAsia="仿宋" w:cs="仿宋"/>
                <w:color w:val="auto"/>
                <w:szCs w:val="21"/>
                <w:highlight w:val="none"/>
              </w:rPr>
              <w:t>价</w:t>
            </w:r>
          </w:p>
          <w:p w14:paraId="4677E94F">
            <w:pPr>
              <w:widowControl/>
              <w:jc w:val="center"/>
              <w:rPr>
                <w:rFonts w:ascii="宋体" w:cs="宋体"/>
                <w:bCs/>
                <w:color w:val="auto"/>
                <w:kern w:val="0"/>
                <w:szCs w:val="21"/>
                <w:highlight w:val="none"/>
              </w:rPr>
            </w:pPr>
            <w:r>
              <w:rPr>
                <w:rFonts w:hint="eastAsia" w:ascii="仿宋" w:hAnsi="仿宋" w:eastAsia="仿宋" w:cs="仿宋"/>
                <w:color w:val="auto"/>
                <w:szCs w:val="21"/>
                <w:highlight w:val="none"/>
              </w:rPr>
              <w:t>（万元）</w:t>
            </w:r>
          </w:p>
        </w:tc>
      </w:tr>
      <w:tr w14:paraId="289EAB8B">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0" w:type="auto"/>
            <w:noWrap/>
            <w:vAlign w:val="center"/>
          </w:tcPr>
          <w:p w14:paraId="30533DAC">
            <w:pPr>
              <w:widowControl/>
              <w:jc w:val="center"/>
              <w:rPr>
                <w:rFonts w:ascii="宋体" w:cs="宋体"/>
                <w:color w:val="auto"/>
                <w:kern w:val="0"/>
                <w:szCs w:val="21"/>
                <w:highlight w:val="none"/>
              </w:rPr>
            </w:pPr>
            <w:r>
              <w:rPr>
                <w:rFonts w:hint="eastAsia" w:ascii="仿宋" w:hAnsi="仿宋" w:eastAsia="仿宋" w:cs="仿宋"/>
                <w:color w:val="auto"/>
                <w:szCs w:val="21"/>
                <w:highlight w:val="none"/>
              </w:rPr>
              <w:t>A1</w:t>
            </w:r>
          </w:p>
        </w:tc>
        <w:tc>
          <w:tcPr>
            <w:tcW w:w="0" w:type="auto"/>
            <w:noWrap/>
            <w:vAlign w:val="center"/>
          </w:tcPr>
          <w:p w14:paraId="60BECD2C">
            <w:pPr>
              <w:widowControl/>
              <w:jc w:val="center"/>
              <w:rPr>
                <w:rFonts w:ascii="仿宋" w:hAnsi="仿宋" w:eastAsia="仿宋" w:cs="仿宋"/>
                <w:color w:val="auto"/>
                <w:szCs w:val="21"/>
                <w:highlight w:val="none"/>
              </w:rPr>
            </w:pPr>
            <w:r>
              <w:rPr>
                <w:rFonts w:ascii="仿宋" w:hAnsi="仿宋" w:eastAsia="仿宋" w:cs="仿宋"/>
                <w:color w:val="auto"/>
                <w:szCs w:val="21"/>
                <w:highlight w:val="none"/>
              </w:rPr>
              <w:t>K6+</w:t>
            </w:r>
            <w:r>
              <w:rPr>
                <w:rFonts w:hint="eastAsia" w:ascii="仿宋" w:hAnsi="仿宋" w:eastAsia="仿宋" w:cs="仿宋"/>
                <w:color w:val="auto"/>
                <w:szCs w:val="21"/>
                <w:highlight w:val="none"/>
              </w:rPr>
              <w:t>196-</w:t>
            </w:r>
            <w:r>
              <w:rPr>
                <w:rFonts w:ascii="仿宋" w:hAnsi="仿宋" w:eastAsia="仿宋" w:cs="仿宋"/>
                <w:color w:val="auto"/>
                <w:szCs w:val="21"/>
                <w:highlight w:val="none"/>
              </w:rPr>
              <w:t>K50+</w:t>
            </w:r>
            <w:r>
              <w:rPr>
                <w:rFonts w:hint="eastAsia" w:ascii="仿宋" w:hAnsi="仿宋" w:eastAsia="仿宋" w:cs="仿宋"/>
                <w:color w:val="auto"/>
                <w:szCs w:val="21"/>
                <w:highlight w:val="none"/>
              </w:rPr>
              <w:t>931</w:t>
            </w:r>
          </w:p>
        </w:tc>
        <w:tc>
          <w:tcPr>
            <w:tcW w:w="1378" w:type="dxa"/>
            <w:noWrap/>
            <w:vAlign w:val="center"/>
          </w:tcPr>
          <w:p w14:paraId="31D14132">
            <w:pPr>
              <w:widowControl/>
              <w:jc w:val="center"/>
              <w:rPr>
                <w:rFonts w:ascii="仿宋" w:hAnsi="仿宋" w:eastAsia="仿宋" w:cs="仿宋"/>
                <w:color w:val="auto"/>
                <w:szCs w:val="21"/>
                <w:highlight w:val="none"/>
              </w:rPr>
            </w:pPr>
            <w:r>
              <w:rPr>
                <w:rFonts w:hint="eastAsia" w:ascii="宋体" w:hAnsi="宋体" w:cs="宋体"/>
                <w:color w:val="auto"/>
                <w:kern w:val="0"/>
                <w:szCs w:val="21"/>
                <w:highlight w:val="none"/>
                <w:lang w:val="zh-CN"/>
              </w:rPr>
              <w:t>44.735</w:t>
            </w:r>
          </w:p>
        </w:tc>
        <w:tc>
          <w:tcPr>
            <w:tcW w:w="0" w:type="auto"/>
            <w:vAlign w:val="center"/>
          </w:tcPr>
          <w:p w14:paraId="69336D09">
            <w:pPr>
              <w:widowControl/>
              <w:jc w:val="center"/>
              <w:rPr>
                <w:rFonts w:ascii="仿宋" w:hAnsi="仿宋" w:eastAsia="仿宋" w:cs="仿宋"/>
                <w:color w:val="auto"/>
                <w:szCs w:val="21"/>
                <w:highlight w:val="none"/>
              </w:rPr>
            </w:pPr>
            <w:r>
              <w:rPr>
                <w:rFonts w:hint="eastAsia" w:ascii="宋体" w:hAnsi="宋体"/>
                <w:color w:val="auto"/>
                <w:szCs w:val="21"/>
                <w:highlight w:val="none"/>
              </w:rPr>
              <w:t>路基、路面、桥梁涵洞、交叉工程施工</w:t>
            </w:r>
          </w:p>
        </w:tc>
        <w:tc>
          <w:tcPr>
            <w:tcW w:w="0" w:type="auto"/>
            <w:vAlign w:val="center"/>
          </w:tcPr>
          <w:p w14:paraId="6D04FAE3">
            <w:pPr>
              <w:widowControl/>
              <w:jc w:val="center"/>
              <w:rPr>
                <w:rFonts w:ascii="仿宋" w:hAnsi="仿宋" w:eastAsia="仿宋" w:cs="仿宋"/>
                <w:color w:val="auto"/>
                <w:szCs w:val="21"/>
                <w:highlight w:val="none"/>
              </w:rPr>
            </w:pPr>
            <w:r>
              <w:rPr>
                <w:rFonts w:hint="default" w:ascii="仿宋" w:hAnsi="仿宋" w:eastAsia="仿宋" w:cs="仿宋"/>
                <w:color w:val="auto"/>
                <w:szCs w:val="21"/>
                <w:highlight w:val="none"/>
                <w:lang w:val="en-US" w:eastAsia="zh-CN"/>
              </w:rPr>
              <w:t>15732.19万元</w:t>
            </w:r>
          </w:p>
        </w:tc>
      </w:tr>
    </w:tbl>
    <w:p w14:paraId="0558502F">
      <w:pPr>
        <w:spacing w:before="120" w:beforeLines="50" w:after="120" w:afterLines="50" w:line="400" w:lineRule="exact"/>
        <w:outlineLvl w:val="1"/>
        <w:rPr>
          <w:rFonts w:ascii="宋体" w:hAnsi="宋体"/>
          <w:b/>
          <w:bCs/>
          <w:color w:val="auto"/>
          <w:sz w:val="24"/>
          <w:szCs w:val="24"/>
          <w:highlight w:val="none"/>
        </w:rPr>
      </w:pPr>
      <w:bookmarkStart w:id="5" w:name="_Toc509334290"/>
      <w:bookmarkStart w:id="6" w:name="_Toc509819252"/>
      <w:r>
        <w:rPr>
          <w:rFonts w:hint="eastAsia" w:ascii="宋体" w:hAnsi="宋体" w:eastAsia="宋体" w:cs="宋体"/>
          <w:b/>
          <w:bCs/>
          <w:color w:val="auto"/>
          <w:kern w:val="0"/>
          <w:sz w:val="18"/>
          <w:szCs w:val="18"/>
          <w:highlight w:val="none"/>
          <w:lang w:val="en-US" w:eastAsia="zh-CN" w:bidi="ar"/>
        </w:rPr>
        <w:t>注：具体工程量以施工图纸和招标工程量清单为准。</w:t>
      </w:r>
    </w:p>
    <w:p w14:paraId="7ADF53D0">
      <w:pPr>
        <w:spacing w:before="120" w:beforeLines="50" w:after="120" w:afterLines="50" w:line="400" w:lineRule="exact"/>
        <w:outlineLvl w:val="1"/>
        <w:rPr>
          <w:rFonts w:ascii="宋体"/>
          <w:b/>
          <w:bCs/>
          <w:color w:val="auto"/>
          <w:sz w:val="24"/>
          <w:szCs w:val="24"/>
          <w:highlight w:val="none"/>
        </w:rPr>
      </w:pPr>
      <w:r>
        <w:rPr>
          <w:rFonts w:ascii="宋体" w:hAnsi="宋体"/>
          <w:b/>
          <w:bCs/>
          <w:color w:val="auto"/>
          <w:sz w:val="24"/>
          <w:szCs w:val="24"/>
          <w:highlight w:val="none"/>
        </w:rPr>
        <w:t>3</w:t>
      </w:r>
      <w:r>
        <w:rPr>
          <w:rFonts w:hint="eastAsia" w:ascii="宋体" w:hAnsi="宋体"/>
          <w:b/>
          <w:bCs/>
          <w:color w:val="auto"/>
          <w:sz w:val="24"/>
          <w:szCs w:val="24"/>
          <w:highlight w:val="none"/>
        </w:rPr>
        <w:t>．投标人资格要求</w:t>
      </w:r>
      <w:bookmarkEnd w:id="5"/>
      <w:bookmarkEnd w:id="6"/>
    </w:p>
    <w:p w14:paraId="349325DC">
      <w:pPr>
        <w:spacing w:line="400" w:lineRule="exact"/>
        <w:ind w:firstLine="420" w:firstLineChars="200"/>
        <w:rPr>
          <w:rFonts w:asci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本次招标要求投标人须具备国内独立法人资格，持有</w:t>
      </w:r>
      <w:r>
        <w:rPr>
          <w:rFonts w:hint="eastAsia" w:ascii="宋体" w:hAnsi="宋体"/>
          <w:color w:val="auto"/>
          <w:szCs w:val="21"/>
          <w:highlight w:val="none"/>
          <w:lang w:val="en-US" w:eastAsia="zh-CN"/>
        </w:rPr>
        <w:t>市场监督行政管理部门</w:t>
      </w:r>
      <w:r>
        <w:rPr>
          <w:rFonts w:hint="eastAsia" w:ascii="宋体" w:hAnsi="宋体"/>
          <w:color w:val="auto"/>
          <w:szCs w:val="21"/>
          <w:highlight w:val="none"/>
        </w:rPr>
        <w:t>核发的企业法人营业执照，具有有效的安全生产许可证，并在人员、设备、资金等方面具有相应的施工能力，且同时满足下列要求：</w:t>
      </w:r>
    </w:p>
    <w:p w14:paraId="78FC9ABC">
      <w:pPr>
        <w:spacing w:line="400" w:lineRule="exact"/>
        <w:ind w:firstLine="420" w:firstLineChars="200"/>
        <w:rPr>
          <w:rFonts w:ascii="宋体"/>
          <w:color w:val="auto"/>
          <w:szCs w:val="21"/>
          <w:highlight w:val="none"/>
        </w:rPr>
      </w:pPr>
      <w:r>
        <w:rPr>
          <w:rFonts w:hint="eastAsia" w:ascii="宋体" w:hAnsi="宋体"/>
          <w:color w:val="auto"/>
          <w:szCs w:val="21"/>
          <w:highlight w:val="none"/>
        </w:rPr>
        <w:t>3.1.1资质最低要求</w:t>
      </w:r>
    </w:p>
    <w:p w14:paraId="5A8C6E6A">
      <w:pPr>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具备</w:t>
      </w:r>
      <w:r>
        <w:rPr>
          <w:rFonts w:hint="eastAsia" w:ascii="宋体" w:hAnsi="宋体"/>
          <w:color w:val="auto"/>
          <w:highlight w:val="none"/>
        </w:rPr>
        <w:t>住房和城乡建设主管部门颁发的公路工程施工总承包三级及以上资质；</w:t>
      </w:r>
    </w:p>
    <w:p w14:paraId="389C89E7">
      <w:pPr>
        <w:spacing w:line="400" w:lineRule="exact"/>
        <w:ind w:firstLine="420" w:firstLineChars="200"/>
        <w:rPr>
          <w:rFonts w:ascii="宋体"/>
          <w:color w:val="auto"/>
          <w:szCs w:val="21"/>
          <w:highlight w:val="none"/>
        </w:rPr>
      </w:pPr>
      <w:r>
        <w:rPr>
          <w:rFonts w:hint="eastAsia" w:ascii="宋体"/>
          <w:color w:val="auto"/>
          <w:szCs w:val="21"/>
          <w:highlight w:val="none"/>
          <w:lang w:val="en-US" w:eastAsia="zh-CN"/>
        </w:rPr>
        <w:t>如投标人具有公路工程施工总承包一级及以上资质，应列入交通运输部“全国公路建设市场监督管理系统（http://hwdms.mot.gov.cn/）”中的施工企业名录，且投标人名称和资质与该名录中的相应企业名称和资质完全一致</w:t>
      </w:r>
      <w:r>
        <w:rPr>
          <w:rFonts w:hint="eastAsia" w:ascii="宋体"/>
          <w:color w:val="auto"/>
          <w:szCs w:val="21"/>
          <w:highlight w:val="none"/>
        </w:rPr>
        <w:t>。</w:t>
      </w:r>
    </w:p>
    <w:p w14:paraId="7DE29078">
      <w:pPr>
        <w:spacing w:line="400" w:lineRule="exact"/>
        <w:ind w:firstLine="420" w:firstLineChars="200"/>
        <w:rPr>
          <w:rFonts w:ascii="宋体"/>
          <w:b/>
          <w:bCs/>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lang w:val="en-US" w:eastAsia="zh-CN"/>
        </w:rPr>
        <w:t>2</w:t>
      </w:r>
      <w:r>
        <w:rPr>
          <w:rFonts w:hint="eastAsia" w:ascii="宋体" w:hAnsi="宋体"/>
          <w:bCs/>
          <w:color w:val="auto"/>
          <w:szCs w:val="21"/>
          <w:highlight w:val="none"/>
        </w:rPr>
        <w:t>项目经理和项目总工最低要求</w:t>
      </w:r>
    </w:p>
    <w:p w14:paraId="4AEEFE41">
      <w:pPr>
        <w:tabs>
          <w:tab w:val="left" w:pos="1300"/>
        </w:tabs>
        <w:spacing w:line="420" w:lineRule="exact"/>
        <w:ind w:firstLine="525" w:firstLineChars="250"/>
        <w:jc w:val="left"/>
        <w:rPr>
          <w:rFonts w:hint="eastAsia" w:ascii="宋体" w:hAnsi="宋体"/>
          <w:bCs/>
          <w:color w:val="auto"/>
          <w:szCs w:val="21"/>
          <w:highlight w:val="none"/>
        </w:rPr>
      </w:pPr>
      <w:r>
        <w:rPr>
          <w:rFonts w:hint="eastAsia" w:ascii="宋体" w:hAnsi="宋体"/>
          <w:bCs/>
          <w:color w:val="auto"/>
          <w:szCs w:val="21"/>
          <w:highlight w:val="none"/>
        </w:rPr>
        <w:t>项目经理：投标人拟派项目经理须具备</w:t>
      </w:r>
      <w:r>
        <w:rPr>
          <w:rFonts w:hint="eastAsia" w:ascii="宋体" w:hAnsi="宋体"/>
          <w:bCs/>
          <w:color w:val="auto"/>
          <w:szCs w:val="21"/>
          <w:highlight w:val="none"/>
          <w:lang w:val="en-US" w:eastAsia="zh-CN"/>
        </w:rPr>
        <w:t>相关行业部门</w:t>
      </w:r>
      <w:r>
        <w:rPr>
          <w:rFonts w:hint="eastAsia" w:ascii="宋体" w:hAnsi="宋体"/>
          <w:bCs/>
          <w:color w:val="auto"/>
          <w:szCs w:val="21"/>
          <w:highlight w:val="none"/>
        </w:rPr>
        <w:t>颁发的公路工程专业</w:t>
      </w:r>
      <w:r>
        <w:rPr>
          <w:rFonts w:hint="eastAsia" w:ascii="宋体" w:hAnsi="宋体"/>
          <w:bCs/>
          <w:color w:val="auto"/>
          <w:szCs w:val="21"/>
          <w:highlight w:val="none"/>
          <w:lang w:val="en-US" w:eastAsia="zh-CN"/>
        </w:rPr>
        <w:t>一</w:t>
      </w:r>
      <w:r>
        <w:rPr>
          <w:rFonts w:hint="eastAsia" w:ascii="宋体" w:hAnsi="宋体"/>
          <w:bCs/>
          <w:color w:val="auto"/>
          <w:szCs w:val="21"/>
          <w:highlight w:val="none"/>
        </w:rPr>
        <w:t>级注册建造师执业资格证书，并持有有效的B类安全生产考核合格证书，证企相符且</w:t>
      </w:r>
      <w:r>
        <w:rPr>
          <w:rFonts w:hint="eastAsia" w:ascii="宋体" w:hAnsi="宋体"/>
          <w:bCs/>
          <w:color w:val="auto"/>
          <w:szCs w:val="21"/>
          <w:highlight w:val="none"/>
          <w:lang w:val="en-US" w:eastAsia="zh-CN"/>
        </w:rPr>
        <w:t>“无在岗项目（指目前未在其他项目上任职，或虽在其他项目上任职但本项目中标后能够从该项目撤离）</w:t>
      </w:r>
      <w:r>
        <w:rPr>
          <w:rFonts w:hint="eastAsia" w:ascii="宋体" w:hAnsi="宋体"/>
          <w:bCs/>
          <w:color w:val="auto"/>
          <w:szCs w:val="21"/>
          <w:highlight w:val="none"/>
        </w:rPr>
        <w:t>。</w:t>
      </w:r>
    </w:p>
    <w:p w14:paraId="7A0C6A14">
      <w:pPr>
        <w:tabs>
          <w:tab w:val="left" w:pos="1300"/>
        </w:tabs>
        <w:spacing w:line="420" w:lineRule="exact"/>
        <w:ind w:firstLine="525" w:firstLineChars="250"/>
        <w:jc w:val="left"/>
        <w:rPr>
          <w:rFonts w:hint="eastAsia" w:ascii="宋体" w:hAnsi="宋体"/>
          <w:bCs/>
          <w:color w:val="auto"/>
          <w:szCs w:val="21"/>
          <w:highlight w:val="none"/>
        </w:rPr>
      </w:pPr>
      <w:r>
        <w:rPr>
          <w:rFonts w:hint="eastAsia" w:ascii="宋体" w:hAnsi="宋体"/>
          <w:bCs/>
          <w:color w:val="auto"/>
          <w:szCs w:val="21"/>
          <w:highlight w:val="none"/>
        </w:rPr>
        <w:t>项目总工：投标人拟派项目总工须具有公路工程相关专业高级及以上职称，</w:t>
      </w:r>
      <w:r>
        <w:rPr>
          <w:rFonts w:hint="eastAsia" w:ascii="宋体" w:hAnsi="宋体"/>
          <w:bCs/>
          <w:color w:val="auto"/>
          <w:szCs w:val="21"/>
          <w:highlight w:val="none"/>
          <w:lang w:val="en-US" w:eastAsia="zh-CN"/>
        </w:rPr>
        <w:t>“无在岗项目（指目前未在其他项目上任职，或虽在其他项目上任职但本项目中标后能够从该项目撤离）</w:t>
      </w:r>
      <w:r>
        <w:rPr>
          <w:rFonts w:hint="eastAsia" w:ascii="宋体" w:hAnsi="宋体"/>
          <w:bCs/>
          <w:color w:val="auto"/>
          <w:szCs w:val="21"/>
          <w:highlight w:val="none"/>
        </w:rPr>
        <w:t>。</w:t>
      </w:r>
    </w:p>
    <w:p w14:paraId="6112875D">
      <w:pPr>
        <w:tabs>
          <w:tab w:val="left" w:pos="1300"/>
        </w:tabs>
        <w:spacing w:line="420" w:lineRule="exact"/>
        <w:ind w:firstLine="547" w:firstLineChars="250"/>
        <w:jc w:val="left"/>
        <w:rPr>
          <w:rFonts w:ascii="宋体" w:hAnsi="宋体" w:eastAsia="宋体" w:cs="宋体"/>
          <w:b/>
          <w:bCs/>
          <w:color w:val="auto"/>
          <w:spacing w:val="9"/>
          <w:sz w:val="20"/>
          <w:szCs w:val="20"/>
          <w:highlight w:val="none"/>
        </w:rPr>
      </w:pPr>
      <w:r>
        <w:rPr>
          <w:rFonts w:ascii="宋体" w:hAnsi="宋体" w:eastAsia="宋体" w:cs="宋体"/>
          <w:b/>
          <w:bCs/>
          <w:color w:val="auto"/>
          <w:spacing w:val="9"/>
          <w:sz w:val="20"/>
          <w:szCs w:val="20"/>
          <w:highlight w:val="none"/>
        </w:rPr>
        <w:t>注</w:t>
      </w:r>
      <w:r>
        <w:rPr>
          <w:rFonts w:ascii="宋体" w:hAnsi="宋体" w:eastAsia="宋体" w:cs="宋体"/>
          <w:b/>
          <w:bCs/>
          <w:color w:val="auto"/>
          <w:spacing w:val="-22"/>
          <w:sz w:val="20"/>
          <w:szCs w:val="20"/>
          <w:highlight w:val="none"/>
        </w:rPr>
        <w:t>：（</w:t>
      </w:r>
      <w:r>
        <w:rPr>
          <w:rFonts w:ascii="Times New Roman" w:hAnsi="Times New Roman" w:eastAsia="Times New Roman" w:cs="Times New Roman"/>
          <w:b/>
          <w:bCs/>
          <w:color w:val="auto"/>
          <w:spacing w:val="9"/>
          <w:sz w:val="20"/>
          <w:szCs w:val="20"/>
          <w:highlight w:val="none"/>
        </w:rPr>
        <w:t>1</w:t>
      </w:r>
      <w:r>
        <w:rPr>
          <w:rFonts w:ascii="宋体" w:hAnsi="宋体" w:eastAsia="宋体" w:cs="宋体"/>
          <w:b/>
          <w:bCs/>
          <w:color w:val="auto"/>
          <w:spacing w:val="9"/>
          <w:sz w:val="20"/>
          <w:szCs w:val="20"/>
          <w:highlight w:val="none"/>
        </w:rPr>
        <w:t>）公路工程相关专业：公路、道路、桥梁、道桥、土建、土木、交通等专业。</w:t>
      </w:r>
    </w:p>
    <w:p w14:paraId="040EFF32">
      <w:pPr>
        <w:tabs>
          <w:tab w:val="left" w:pos="1300"/>
        </w:tabs>
        <w:spacing w:line="420" w:lineRule="exact"/>
        <w:ind w:firstLine="436" w:firstLineChars="200"/>
        <w:jc w:val="left"/>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cs="宋体"/>
          <w:b w:val="0"/>
          <w:bCs w:val="0"/>
          <w:color w:val="auto"/>
          <w:spacing w:val="9"/>
          <w:sz w:val="20"/>
          <w:szCs w:val="20"/>
          <w:highlight w:val="none"/>
          <w:lang w:val="en-US" w:eastAsia="zh-CN"/>
        </w:rPr>
        <w:t>3.1.3</w:t>
      </w:r>
      <w:r>
        <w:rPr>
          <w:rFonts w:hint="eastAsia" w:ascii="宋体" w:hAnsi="宋体" w:eastAsia="宋体" w:cs="宋体"/>
          <w:i w:val="0"/>
          <w:iCs w:val="0"/>
          <w:caps w:val="0"/>
          <w:color w:val="auto"/>
          <w:spacing w:val="0"/>
          <w:sz w:val="21"/>
          <w:szCs w:val="21"/>
          <w:highlight w:val="none"/>
          <w:shd w:val="clear" w:fill="FFFFFF"/>
        </w:rPr>
        <w:t>信誉要求</w:t>
      </w:r>
    </w:p>
    <w:p w14:paraId="2785CF9F">
      <w:pPr>
        <w:tabs>
          <w:tab w:val="left" w:pos="1300"/>
        </w:tabs>
        <w:spacing w:line="420" w:lineRule="exact"/>
        <w:ind w:firstLine="420" w:firstLineChars="200"/>
        <w:jc w:val="left"/>
        <w:rPr>
          <w:rFonts w:hint="default" w:ascii="宋体" w:hAnsi="宋体" w:eastAsia="宋体" w:cs="宋体"/>
          <w:i w:val="0"/>
          <w:iCs w:val="0"/>
          <w:caps w:val="0"/>
          <w:color w:val="auto"/>
          <w:spacing w:val="0"/>
          <w:sz w:val="21"/>
          <w:szCs w:val="21"/>
          <w:highlight w:val="none"/>
          <w:shd w:val="clear" w:fill="FFFFFF"/>
          <w:lang w:val="en-US" w:eastAsia="zh-CN"/>
        </w:rPr>
      </w:pPr>
      <w:r>
        <w:rPr>
          <w:rFonts w:hint="default" w:ascii="宋体" w:hAnsi="宋体" w:eastAsia="宋体" w:cs="宋体"/>
          <w:i w:val="0"/>
          <w:iCs w:val="0"/>
          <w:caps w:val="0"/>
          <w:color w:val="auto"/>
          <w:spacing w:val="0"/>
          <w:sz w:val="21"/>
          <w:szCs w:val="21"/>
          <w:highlight w:val="none"/>
          <w:shd w:val="clear" w:fill="FFFFFF"/>
          <w:lang w:val="en-US" w:eastAsia="zh-CN"/>
        </w:rPr>
        <w:t>①本项目不接受黑龙江省交通运输厅202</w:t>
      </w:r>
      <w:r>
        <w:rPr>
          <w:rFonts w:hint="eastAsia" w:ascii="宋体" w:hAnsi="宋体" w:cs="宋体"/>
          <w:i w:val="0"/>
          <w:iCs w:val="0"/>
          <w:caps w:val="0"/>
          <w:color w:val="auto"/>
          <w:spacing w:val="0"/>
          <w:sz w:val="21"/>
          <w:szCs w:val="21"/>
          <w:highlight w:val="none"/>
          <w:shd w:val="clear" w:fill="FFFFFF"/>
          <w:lang w:val="en-US" w:eastAsia="zh-CN"/>
        </w:rPr>
        <w:t>2</w:t>
      </w:r>
      <w:r>
        <w:rPr>
          <w:rFonts w:hint="default" w:ascii="宋体" w:hAnsi="宋体" w:eastAsia="宋体" w:cs="宋体"/>
          <w:i w:val="0"/>
          <w:iCs w:val="0"/>
          <w:caps w:val="0"/>
          <w:color w:val="auto"/>
          <w:spacing w:val="0"/>
          <w:sz w:val="21"/>
          <w:szCs w:val="21"/>
          <w:highlight w:val="none"/>
          <w:shd w:val="clear" w:fill="FFFFFF"/>
          <w:lang w:val="en-US" w:eastAsia="zh-CN"/>
        </w:rPr>
        <w:t>年度公路企业信用评价或交通运输部202</w:t>
      </w:r>
      <w:r>
        <w:rPr>
          <w:rFonts w:hint="eastAsia" w:ascii="宋体" w:hAnsi="宋体" w:cs="宋体"/>
          <w:i w:val="0"/>
          <w:iCs w:val="0"/>
          <w:caps w:val="0"/>
          <w:color w:val="auto"/>
          <w:spacing w:val="0"/>
          <w:sz w:val="21"/>
          <w:szCs w:val="21"/>
          <w:highlight w:val="none"/>
          <w:shd w:val="clear" w:fill="FFFFFF"/>
          <w:lang w:val="en-US" w:eastAsia="zh-CN"/>
        </w:rPr>
        <w:t>2</w:t>
      </w:r>
      <w:r>
        <w:rPr>
          <w:rFonts w:hint="default" w:ascii="宋体" w:hAnsi="宋体" w:eastAsia="宋体" w:cs="宋体"/>
          <w:i w:val="0"/>
          <w:iCs w:val="0"/>
          <w:caps w:val="0"/>
          <w:color w:val="auto"/>
          <w:spacing w:val="0"/>
          <w:sz w:val="21"/>
          <w:szCs w:val="21"/>
          <w:highlight w:val="none"/>
          <w:shd w:val="clear" w:fill="FFFFFF"/>
          <w:lang w:val="en-US" w:eastAsia="zh-CN"/>
        </w:rPr>
        <w:t>年度全国公路从业企业信用综合评价中认定为D级信用评价等级的施工单位提出的投标申请；</w:t>
      </w:r>
    </w:p>
    <w:p w14:paraId="41718DD0">
      <w:pPr>
        <w:tabs>
          <w:tab w:val="left" w:pos="1300"/>
        </w:tabs>
        <w:spacing w:line="420" w:lineRule="exact"/>
        <w:ind w:firstLine="420" w:firstLineChars="200"/>
        <w:jc w:val="left"/>
        <w:rPr>
          <w:rFonts w:hint="default" w:ascii="宋体" w:hAnsi="宋体" w:eastAsia="宋体" w:cs="宋体"/>
          <w:i w:val="0"/>
          <w:iCs w:val="0"/>
          <w:caps w:val="0"/>
          <w:color w:val="auto"/>
          <w:spacing w:val="0"/>
          <w:sz w:val="21"/>
          <w:szCs w:val="21"/>
          <w:highlight w:val="none"/>
          <w:shd w:val="clear" w:fill="FFFFFF"/>
          <w:lang w:val="en-US" w:eastAsia="zh-CN"/>
        </w:rPr>
      </w:pPr>
      <w:r>
        <w:rPr>
          <w:rFonts w:hint="default" w:ascii="宋体" w:hAnsi="宋体" w:eastAsia="宋体" w:cs="宋体"/>
          <w:i w:val="0"/>
          <w:iCs w:val="0"/>
          <w:caps w:val="0"/>
          <w:color w:val="auto"/>
          <w:spacing w:val="0"/>
          <w:sz w:val="21"/>
          <w:szCs w:val="21"/>
          <w:highlight w:val="none"/>
          <w:shd w:val="clear" w:fill="FFFFFF"/>
          <w:lang w:val="en-US" w:eastAsia="zh-CN"/>
        </w:rPr>
        <w:t>②须提供近三年内投标人本企业、法定代表人和项目负责人在“中国执行信息公开网”网站中未被列入失信被执行人名单的网页截图，“国家企业信用信息公示系统”中未被列入严重违法失信企业名单；以公告发布之日后查询结果为准，对属于失信被执行人的投标人,其投标将被否决；</w:t>
      </w:r>
    </w:p>
    <w:p w14:paraId="0B7A3CAE">
      <w:pPr>
        <w:tabs>
          <w:tab w:val="left" w:pos="1300"/>
        </w:tabs>
        <w:spacing w:line="420" w:lineRule="exact"/>
        <w:ind w:firstLine="420" w:firstLineChars="200"/>
        <w:jc w:val="left"/>
        <w:rPr>
          <w:rFonts w:hint="default" w:ascii="宋体" w:hAnsi="宋体" w:eastAsia="宋体" w:cs="宋体"/>
          <w:i w:val="0"/>
          <w:iCs w:val="0"/>
          <w:caps w:val="0"/>
          <w:color w:val="auto"/>
          <w:spacing w:val="0"/>
          <w:sz w:val="21"/>
          <w:szCs w:val="21"/>
          <w:highlight w:val="none"/>
          <w:shd w:val="clear" w:fill="FFFFFF"/>
          <w:lang w:val="en-US" w:eastAsia="zh-CN"/>
        </w:rPr>
      </w:pPr>
      <w:r>
        <w:rPr>
          <w:rFonts w:hint="default" w:ascii="宋体" w:hAnsi="宋体" w:eastAsia="宋体" w:cs="宋体"/>
          <w:i w:val="0"/>
          <w:iCs w:val="0"/>
          <w:caps w:val="0"/>
          <w:color w:val="auto"/>
          <w:spacing w:val="0"/>
          <w:sz w:val="21"/>
          <w:szCs w:val="21"/>
          <w:highlight w:val="none"/>
          <w:shd w:val="clear" w:fill="FFFFFF"/>
          <w:lang w:val="en-US" w:eastAsia="zh-CN"/>
        </w:rPr>
        <w:t>③须提供近三年内投标人本企业、法定代表人和项目负责人在“ 中国裁判文书网”查询的无行贿犯罪记录，以公告发布之日后查询结果为准，对属于有行贿犯罪记录的投标人,其投标将被否决；</w:t>
      </w:r>
    </w:p>
    <w:p w14:paraId="259DC521">
      <w:pPr>
        <w:tabs>
          <w:tab w:val="left" w:pos="1300"/>
        </w:tabs>
        <w:spacing w:line="420" w:lineRule="exact"/>
        <w:ind w:firstLine="420" w:firstLineChars="200"/>
        <w:jc w:val="left"/>
        <w:rPr>
          <w:rFonts w:hint="default" w:ascii="宋体" w:hAnsi="宋体" w:eastAsia="宋体" w:cs="宋体"/>
          <w:i w:val="0"/>
          <w:iCs w:val="0"/>
          <w:caps w:val="0"/>
          <w:color w:val="auto"/>
          <w:spacing w:val="0"/>
          <w:sz w:val="21"/>
          <w:szCs w:val="21"/>
          <w:highlight w:val="none"/>
          <w:shd w:val="clear" w:fill="FFFFFF"/>
          <w:lang w:val="en-US" w:eastAsia="zh-CN"/>
        </w:rPr>
      </w:pPr>
      <w:r>
        <w:rPr>
          <w:rFonts w:hint="default" w:ascii="宋体" w:hAnsi="宋体" w:eastAsia="宋体" w:cs="宋体"/>
          <w:i w:val="0"/>
          <w:iCs w:val="0"/>
          <w:caps w:val="0"/>
          <w:color w:val="auto"/>
          <w:spacing w:val="0"/>
          <w:sz w:val="21"/>
          <w:szCs w:val="21"/>
          <w:highlight w:val="none"/>
          <w:shd w:val="clear" w:fill="FFFFFF"/>
          <w:lang w:val="en-US" w:eastAsia="zh-CN"/>
        </w:rPr>
        <w:t>④投标人须提供无拖欠工程款和农民工工资承诺书（格式自拟），以证明投标人没有拖欠工程款和农民工工资的情形；</w:t>
      </w:r>
    </w:p>
    <w:p w14:paraId="5E75E136">
      <w:pPr>
        <w:tabs>
          <w:tab w:val="left" w:pos="1300"/>
        </w:tabs>
        <w:spacing w:line="420" w:lineRule="exact"/>
        <w:ind w:firstLine="420" w:firstLineChars="200"/>
        <w:jc w:val="left"/>
        <w:rPr>
          <w:rFonts w:hint="default" w:ascii="宋体" w:hAnsi="宋体" w:eastAsia="宋体" w:cs="宋体"/>
          <w:i w:val="0"/>
          <w:iCs w:val="0"/>
          <w:caps w:val="0"/>
          <w:color w:val="auto"/>
          <w:spacing w:val="0"/>
          <w:sz w:val="21"/>
          <w:szCs w:val="21"/>
          <w:highlight w:val="none"/>
          <w:shd w:val="clear" w:fill="FFFFFF"/>
          <w:lang w:val="en-US" w:eastAsia="zh-CN"/>
        </w:rPr>
      </w:pPr>
      <w:r>
        <w:rPr>
          <w:rFonts w:hint="default" w:ascii="宋体" w:hAnsi="宋体" w:eastAsia="宋体" w:cs="宋体"/>
          <w:i w:val="0"/>
          <w:iCs w:val="0"/>
          <w:caps w:val="0"/>
          <w:color w:val="auto"/>
          <w:spacing w:val="0"/>
          <w:sz w:val="21"/>
          <w:szCs w:val="21"/>
          <w:highlight w:val="none"/>
          <w:shd w:val="clear" w:fill="FFFFFF"/>
          <w:lang w:val="en-US" w:eastAsia="zh-CN"/>
        </w:rPr>
        <w:t>⑤投标人不得在合同中违约、被驱逐出现场、亦不曾因任何原因而被废除合同，如有不良纪录，不得参与本项目投标（提供承诺书，格式自拟）。</w:t>
      </w:r>
    </w:p>
    <w:p w14:paraId="43219A8B">
      <w:pPr>
        <w:tabs>
          <w:tab w:val="left" w:pos="1300"/>
        </w:tabs>
        <w:spacing w:line="420" w:lineRule="exact"/>
        <w:ind w:firstLine="422" w:firstLineChars="200"/>
        <w:jc w:val="left"/>
        <w:rPr>
          <w:rFonts w:hint="default" w:ascii="宋体" w:hAnsi="宋体" w:eastAsia="宋体" w:cs="宋体"/>
          <w:b/>
          <w:bCs/>
          <w:i w:val="0"/>
          <w:iCs w:val="0"/>
          <w:caps w:val="0"/>
          <w:color w:val="auto"/>
          <w:spacing w:val="0"/>
          <w:sz w:val="21"/>
          <w:szCs w:val="21"/>
          <w:highlight w:val="none"/>
          <w:shd w:val="clear" w:fill="FFFFFF"/>
          <w:lang w:val="en-US" w:eastAsia="zh-CN"/>
        </w:rPr>
      </w:pPr>
      <w:r>
        <w:rPr>
          <w:rFonts w:hint="default" w:ascii="宋体" w:hAnsi="宋体" w:eastAsia="宋体" w:cs="宋体"/>
          <w:b/>
          <w:bCs/>
          <w:i w:val="0"/>
          <w:iCs w:val="0"/>
          <w:caps w:val="0"/>
          <w:color w:val="auto"/>
          <w:spacing w:val="0"/>
          <w:sz w:val="21"/>
          <w:szCs w:val="21"/>
          <w:highlight w:val="none"/>
          <w:shd w:val="clear" w:fill="FFFFFF"/>
          <w:lang w:val="en-US" w:eastAsia="zh-CN"/>
        </w:rPr>
        <w:t>注：202</w:t>
      </w:r>
      <w:r>
        <w:rPr>
          <w:rFonts w:hint="eastAsia" w:ascii="宋体" w:hAnsi="宋体" w:cs="宋体"/>
          <w:b/>
          <w:bCs/>
          <w:i w:val="0"/>
          <w:iCs w:val="0"/>
          <w:caps w:val="0"/>
          <w:color w:val="auto"/>
          <w:spacing w:val="0"/>
          <w:sz w:val="21"/>
          <w:szCs w:val="21"/>
          <w:highlight w:val="none"/>
          <w:shd w:val="clear" w:fill="FFFFFF"/>
          <w:lang w:val="en-US" w:eastAsia="zh-CN"/>
        </w:rPr>
        <w:t>2</w:t>
      </w:r>
      <w:r>
        <w:rPr>
          <w:rFonts w:hint="default" w:ascii="宋体" w:hAnsi="宋体" w:eastAsia="宋体" w:cs="宋体"/>
          <w:b/>
          <w:bCs/>
          <w:i w:val="0"/>
          <w:iCs w:val="0"/>
          <w:caps w:val="0"/>
          <w:color w:val="auto"/>
          <w:spacing w:val="0"/>
          <w:sz w:val="21"/>
          <w:szCs w:val="21"/>
          <w:highlight w:val="none"/>
          <w:shd w:val="clear" w:fill="FFFFFF"/>
          <w:lang w:val="en-US" w:eastAsia="zh-CN"/>
        </w:rPr>
        <w:t>年度在交通运输部或202</w:t>
      </w:r>
      <w:r>
        <w:rPr>
          <w:rFonts w:hint="eastAsia" w:ascii="宋体" w:hAnsi="宋体" w:cs="宋体"/>
          <w:b/>
          <w:bCs/>
          <w:i w:val="0"/>
          <w:iCs w:val="0"/>
          <w:caps w:val="0"/>
          <w:color w:val="auto"/>
          <w:spacing w:val="0"/>
          <w:sz w:val="21"/>
          <w:szCs w:val="21"/>
          <w:highlight w:val="none"/>
          <w:shd w:val="clear" w:fill="FFFFFF"/>
          <w:lang w:val="en-US" w:eastAsia="zh-CN"/>
        </w:rPr>
        <w:t>2</w:t>
      </w:r>
      <w:r>
        <w:rPr>
          <w:rFonts w:hint="default" w:ascii="宋体" w:hAnsi="宋体" w:eastAsia="宋体" w:cs="宋体"/>
          <w:b/>
          <w:bCs/>
          <w:i w:val="0"/>
          <w:iCs w:val="0"/>
          <w:caps w:val="0"/>
          <w:color w:val="auto"/>
          <w:spacing w:val="0"/>
          <w:sz w:val="21"/>
          <w:szCs w:val="21"/>
          <w:highlight w:val="none"/>
          <w:shd w:val="clear" w:fill="FFFFFF"/>
          <w:lang w:val="en-US" w:eastAsia="zh-CN"/>
        </w:rPr>
        <w:t>年度在黑龙江省交通运输厅均无公路企业信用评价结果的，若无不良信用记录，按A级对待。</w:t>
      </w:r>
    </w:p>
    <w:p w14:paraId="4FF83936">
      <w:pPr>
        <w:spacing w:line="400" w:lineRule="exact"/>
        <w:ind w:firstLine="420" w:firstLineChars="200"/>
        <w:rPr>
          <w:rFonts w:ascii="宋体" w:hAnsi="宋体"/>
          <w:color w:val="auto"/>
          <w:highlight w:val="none"/>
        </w:rPr>
      </w:pPr>
      <w:r>
        <w:rPr>
          <w:rFonts w:ascii="宋体" w:hAnsi="宋体"/>
          <w:color w:val="auto"/>
          <w:highlight w:val="none"/>
        </w:rPr>
        <w:t>3.2</w:t>
      </w:r>
      <w:r>
        <w:rPr>
          <w:rFonts w:hint="eastAsia" w:ascii="宋体" w:hAnsi="宋体"/>
          <w:color w:val="auto"/>
          <w:highlight w:val="none"/>
        </w:rPr>
        <w:t>本项目不接受联合体投标。</w:t>
      </w:r>
    </w:p>
    <w:p w14:paraId="32F76B03">
      <w:pPr>
        <w:widowControl/>
        <w:shd w:val="clear" w:color="auto" w:fill="FFFFFF"/>
        <w:spacing w:line="36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3</w:t>
      </w:r>
      <w:r>
        <w:rPr>
          <w:rFonts w:hint="eastAsia" w:ascii="宋体" w:hAnsi="宋体" w:cs="宋体"/>
          <w:color w:val="auto"/>
          <w:kern w:val="0"/>
          <w:szCs w:val="21"/>
          <w:highlight w:val="none"/>
        </w:rPr>
        <w:t>与招标人存在利害关系可能影响招标公正性的单位，不得参加投标。单位负责人为同一人或存在控股、管理关系的不同单位，不得同时参加本项目投标，否则，相关投标均无效。</w:t>
      </w:r>
    </w:p>
    <w:p w14:paraId="069AF86E">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4</w:t>
      </w:r>
      <w:r>
        <w:rPr>
          <w:rFonts w:hint="eastAsia" w:ascii="宋体" w:hAnsi="宋体"/>
          <w:color w:val="auto"/>
          <w:szCs w:val="21"/>
          <w:highlight w:val="none"/>
        </w:rPr>
        <w:t>本次招标评标采用技术评分最低标价法。投标文件采用双信封形式包封，对投标人的资格审查采用资格后审的方式。</w:t>
      </w:r>
    </w:p>
    <w:p w14:paraId="63F6A203">
      <w:pPr>
        <w:spacing w:before="120" w:beforeLines="50" w:after="120" w:afterLines="50" w:line="400" w:lineRule="exact"/>
        <w:outlineLvl w:val="1"/>
        <w:rPr>
          <w:rFonts w:ascii="宋体"/>
          <w:b/>
          <w:bCs/>
          <w:color w:val="auto"/>
          <w:sz w:val="24"/>
          <w:szCs w:val="24"/>
          <w:highlight w:val="none"/>
        </w:rPr>
      </w:pPr>
      <w:bookmarkStart w:id="7" w:name="_Toc509819253"/>
      <w:bookmarkStart w:id="8" w:name="_Toc509334291"/>
      <w:r>
        <w:rPr>
          <w:rFonts w:ascii="宋体" w:hAnsi="宋体"/>
          <w:b/>
          <w:bCs/>
          <w:color w:val="auto"/>
          <w:sz w:val="24"/>
          <w:szCs w:val="24"/>
          <w:highlight w:val="none"/>
        </w:rPr>
        <w:t>4</w:t>
      </w:r>
      <w:r>
        <w:rPr>
          <w:rFonts w:hint="eastAsia" w:ascii="宋体" w:hAnsi="宋体"/>
          <w:b/>
          <w:bCs/>
          <w:color w:val="auto"/>
          <w:sz w:val="24"/>
          <w:szCs w:val="24"/>
          <w:highlight w:val="none"/>
        </w:rPr>
        <w:t>．招标文件的获取</w:t>
      </w:r>
      <w:bookmarkEnd w:id="7"/>
      <w:bookmarkEnd w:id="8"/>
    </w:p>
    <w:p w14:paraId="7D17E821">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bookmarkStart w:id="9" w:name="_Toc509819254"/>
      <w:bookmarkStart w:id="10" w:name="_Toc509334292"/>
      <w:r>
        <w:rPr>
          <w:rFonts w:hint="eastAsia" w:ascii="宋体" w:hAnsi="宋体"/>
          <w:color w:val="auto"/>
          <w:szCs w:val="21"/>
          <w:highlight w:val="none"/>
        </w:rPr>
        <w:t>4.1凡有意参加投标者，请在“黑龙江省公共资源交易网”进行用户注册、办理数字证书，使用数字证书登录“黑龙江省公共资源交易网”，选择相应项目，明确所投标段，下载招标文件等资料。下载时间为2024年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03</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时00分至2024年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09</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时00分（北京时间）。</w:t>
      </w:r>
    </w:p>
    <w:p w14:paraId="455E8387">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注：在下载截止时间内至少下载一次招标文件，下载一次后可不受时间限制进行下载招标文件或答疑文件。如在下载时间截止前未下载招标文件，投标人自行承担相应责任。</w:t>
      </w:r>
    </w:p>
    <w:p w14:paraId="208A7DA6">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有关手续请查看"黑龙江省公共资源交易网"中的《服务指南》黑龙江省公共资源交易平台投标文件制作操作手册、黑龙江省公共资源交易平台工程建设投标人操作视频、黑龙江省公共资源交易平台会员注册入库操作视频，技术支持咨询联系电话：4009980000。</w:t>
      </w:r>
    </w:p>
    <w:p w14:paraId="7297C80A">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4.2 投标人未按“黑龙江省公共资源交易网”的流程要求完成全部操作的，自行承担相应责任</w:t>
      </w:r>
    </w:p>
    <w:p w14:paraId="1EB1C8A4">
      <w:pPr>
        <w:spacing w:before="120" w:beforeLines="50" w:after="120" w:afterLines="50" w:line="400" w:lineRule="exact"/>
        <w:outlineLvl w:val="1"/>
        <w:rPr>
          <w:rFonts w:ascii="宋体"/>
          <w:b/>
          <w:bCs/>
          <w:color w:val="auto"/>
          <w:sz w:val="24"/>
          <w:szCs w:val="24"/>
          <w:highlight w:val="none"/>
        </w:rPr>
      </w:pPr>
      <w:r>
        <w:rPr>
          <w:rFonts w:ascii="宋体" w:hAnsi="宋体"/>
          <w:b/>
          <w:bCs/>
          <w:color w:val="auto"/>
          <w:sz w:val="24"/>
          <w:szCs w:val="24"/>
          <w:highlight w:val="none"/>
        </w:rPr>
        <w:t>5</w:t>
      </w:r>
      <w:r>
        <w:rPr>
          <w:rFonts w:hint="eastAsia" w:ascii="宋体" w:hAnsi="宋体"/>
          <w:b/>
          <w:bCs/>
          <w:color w:val="auto"/>
          <w:sz w:val="24"/>
          <w:szCs w:val="24"/>
          <w:highlight w:val="none"/>
        </w:rPr>
        <w:t>．投标文件的递交</w:t>
      </w:r>
      <w:bookmarkEnd w:id="9"/>
      <w:bookmarkEnd w:id="10"/>
      <w:r>
        <w:rPr>
          <w:rFonts w:hint="eastAsia" w:ascii="宋体" w:hAnsi="宋体"/>
          <w:b/>
          <w:bCs/>
          <w:color w:val="auto"/>
          <w:sz w:val="24"/>
          <w:szCs w:val="24"/>
          <w:highlight w:val="none"/>
        </w:rPr>
        <w:t>及相关事宜</w:t>
      </w:r>
    </w:p>
    <w:p w14:paraId="0308A146">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5.1招标人不组织踏勘现场，不召开投标预备会。</w:t>
      </w:r>
    </w:p>
    <w:p w14:paraId="5B92076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本项目为线上开标。开标时，投标人应在线上对其投标文件进行解密。各投标人须在开标时间前安装好数字证书驱动程序，提前登录“交易平台-不见面开标大厅”，按照“黑龙江省公共资源交易网-服务指南”中的操作手册完成开标程序。</w:t>
      </w:r>
    </w:p>
    <w:p w14:paraId="1A438DD9">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5.3电子投标文件递交截止时间为2024年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日09时</w:t>
      </w:r>
      <w:r>
        <w:rPr>
          <w:rFonts w:hint="eastAsia" w:ascii="宋体" w:hAnsi="宋体"/>
          <w:color w:val="auto"/>
          <w:szCs w:val="21"/>
          <w:highlight w:val="none"/>
          <w:lang w:val="en-US" w:eastAsia="zh-CN"/>
        </w:rPr>
        <w:t>0</w:t>
      </w:r>
      <w:r>
        <w:rPr>
          <w:rFonts w:hint="eastAsia" w:ascii="宋体" w:hAnsi="宋体"/>
          <w:color w:val="auto"/>
          <w:szCs w:val="21"/>
          <w:highlight w:val="none"/>
        </w:rPr>
        <w:t>0分(即开标时间)，投标人应于该截止时间前将加密的投标文件第一个信封(商务及技术文件)、第二个信封(报价文件)上传至“黑龙江公共资源交易网”上的“交易平台”进行网上投标。</w:t>
      </w:r>
    </w:p>
    <w:p w14:paraId="7942D802">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第一信封开标时间：2024年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25</w:t>
      </w:r>
      <w:r>
        <w:rPr>
          <w:rFonts w:hint="eastAsia" w:ascii="宋体" w:hAnsi="宋体"/>
          <w:color w:val="auto"/>
          <w:szCs w:val="21"/>
          <w:highlight w:val="none"/>
        </w:rPr>
        <w:t>日09时</w:t>
      </w:r>
      <w:r>
        <w:rPr>
          <w:rFonts w:hint="eastAsia" w:ascii="宋体" w:hAnsi="宋体"/>
          <w:color w:val="auto"/>
          <w:szCs w:val="21"/>
          <w:highlight w:val="none"/>
          <w:lang w:val="en-US" w:eastAsia="zh-CN"/>
        </w:rPr>
        <w:t>0</w:t>
      </w:r>
      <w:r>
        <w:rPr>
          <w:rFonts w:hint="eastAsia" w:ascii="宋体" w:hAnsi="宋体"/>
          <w:color w:val="auto"/>
          <w:szCs w:val="21"/>
          <w:highlight w:val="none"/>
        </w:rPr>
        <w:t>0分。投标人按照交易平台提示对上传至交易平台的投标文件第一信封商务和技术文件进行解密等操作。切勿出现有关报价内容，由于投标人自身原因导致投标报价在第一信封泄露，投标人自行承担责任。由于投标人自身原因导致第一信封解密失败等情况，投标人自行承担责任。</w:t>
      </w:r>
    </w:p>
    <w:p w14:paraId="334A1887">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第二信封开标时间：具体开标时间以第一个信封评审结束时间为准，请各投标人在开评标阶段持续关注交易平台开标页面，如因投标人原因导致未能在规定时间内进行第二信封的解密等操作，投标人自行承担责任。</w:t>
      </w:r>
    </w:p>
    <w:p w14:paraId="225009FC">
      <w:pPr>
        <w:tabs>
          <w:tab w:val="left" w:pos="0"/>
        </w:tabs>
        <w:spacing w:line="400" w:lineRule="exact"/>
        <w:ind w:left="0" w:leftChars="0" w:firstLine="420" w:firstLineChars="200"/>
        <w:jc w:val="left"/>
        <w:rPr>
          <w:rFonts w:hint="eastAsia" w:ascii="宋体" w:hAnsi="宋体"/>
          <w:color w:val="auto"/>
          <w:szCs w:val="21"/>
          <w:highlight w:val="none"/>
        </w:rPr>
      </w:pPr>
      <w:r>
        <w:rPr>
          <w:rFonts w:hint="eastAsia" w:ascii="宋体" w:hAnsi="宋体"/>
          <w:color w:val="auto"/>
          <w:szCs w:val="21"/>
          <w:highlight w:val="none"/>
        </w:rPr>
        <w:t>5.4本项目投标保证金金额：40</w:t>
      </w:r>
      <w:r>
        <w:rPr>
          <w:rFonts w:hint="eastAsia" w:ascii="宋体" w:hAnsi="宋体"/>
          <w:color w:val="auto"/>
          <w:highlight w:val="none"/>
        </w:rPr>
        <w:t>万元人民币。</w:t>
      </w:r>
      <w:r>
        <w:rPr>
          <w:rFonts w:hint="eastAsia" w:ascii="宋体" w:hAnsi="宋体"/>
          <w:color w:val="auto"/>
          <w:szCs w:val="21"/>
          <w:highlight w:val="none"/>
        </w:rPr>
        <w:t>投标保证金递交截止时间：202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24</w:t>
      </w:r>
      <w:r>
        <w:rPr>
          <w:rFonts w:hint="eastAsia" w:ascii="宋体" w:hAnsi="宋体"/>
          <w:color w:val="auto"/>
          <w:szCs w:val="21"/>
          <w:highlight w:val="none"/>
        </w:rPr>
        <w:t>日9时</w:t>
      </w:r>
      <w:r>
        <w:rPr>
          <w:rFonts w:hint="eastAsia" w:ascii="宋体" w:hAnsi="宋体"/>
          <w:color w:val="auto"/>
          <w:szCs w:val="21"/>
          <w:highlight w:val="none"/>
          <w:lang w:val="en-US" w:eastAsia="zh-CN"/>
        </w:rPr>
        <w:t>0</w:t>
      </w:r>
      <w:r>
        <w:rPr>
          <w:rFonts w:hint="eastAsia" w:ascii="宋体" w:hAnsi="宋体"/>
          <w:color w:val="auto"/>
          <w:szCs w:val="21"/>
          <w:highlight w:val="none"/>
        </w:rPr>
        <w:t>0分，投标保证金应采用网银转账、电汇或电子保函形式：①采用网银转账、电汇形式递交投标保证金的，投标保证金必须由投标人基本存款账户汇出，汇入与黑龙江省公共资源交易平台对接的银行虚拟子账户。②采用电子保函方式递交投标保证金的，投标人应按黑龙江省公共资源交易网的相关规定执行。</w:t>
      </w:r>
    </w:p>
    <w:p w14:paraId="5582EC5D">
      <w:pPr>
        <w:spacing w:before="120" w:beforeLines="50" w:after="120" w:afterLines="50" w:line="400" w:lineRule="exact"/>
        <w:outlineLvl w:val="1"/>
        <w:rPr>
          <w:rFonts w:ascii="宋体"/>
          <w:b/>
          <w:bCs/>
          <w:color w:val="auto"/>
          <w:sz w:val="24"/>
          <w:szCs w:val="24"/>
          <w:highlight w:val="none"/>
        </w:rPr>
      </w:pPr>
      <w:bookmarkStart w:id="11" w:name="_Toc509819255"/>
      <w:bookmarkStart w:id="12" w:name="_Toc509334293"/>
      <w:bookmarkStart w:id="13" w:name="_Toc491883082"/>
      <w:r>
        <w:rPr>
          <w:rFonts w:ascii="宋体" w:hAnsi="宋体"/>
          <w:b/>
          <w:bCs/>
          <w:color w:val="auto"/>
          <w:sz w:val="24"/>
          <w:szCs w:val="24"/>
          <w:highlight w:val="none"/>
        </w:rPr>
        <w:t>6</w:t>
      </w:r>
      <w:r>
        <w:rPr>
          <w:rFonts w:hint="eastAsia" w:ascii="宋体" w:hAnsi="宋体"/>
          <w:b/>
          <w:bCs/>
          <w:color w:val="auto"/>
          <w:sz w:val="24"/>
          <w:szCs w:val="24"/>
          <w:highlight w:val="none"/>
        </w:rPr>
        <w:t>．发布公告的媒介</w:t>
      </w:r>
    </w:p>
    <w:p w14:paraId="377E8B24">
      <w:pPr>
        <w:tabs>
          <w:tab w:val="left" w:pos="360"/>
        </w:tabs>
        <w:spacing w:line="400" w:lineRule="exact"/>
        <w:ind w:firstLine="420" w:firstLineChars="200"/>
        <w:rPr>
          <w:rFonts w:ascii="宋体" w:hAnsi="宋体"/>
          <w:color w:val="auto"/>
          <w:highlight w:val="none"/>
        </w:rPr>
      </w:pPr>
      <w:r>
        <w:rPr>
          <w:rFonts w:hint="eastAsia" w:ascii="宋体" w:hAnsi="宋体"/>
          <w:color w:val="auto"/>
          <w:szCs w:val="21"/>
          <w:highlight w:val="none"/>
        </w:rPr>
        <w:t>本次招标公告同时在黑龙江省公共资源交易网（http://www.hljggzyjyw.org.cn）、黑龙江省交通运输厅(https://jt.hlj.gov.cn/)网站上发布。</w:t>
      </w:r>
    </w:p>
    <w:p w14:paraId="344069C0">
      <w:pPr>
        <w:spacing w:before="120" w:beforeLines="50" w:after="120" w:afterLines="50" w:line="400" w:lineRule="exact"/>
        <w:outlineLvl w:val="1"/>
        <w:rPr>
          <w:rFonts w:ascii="宋体" w:hAnsi="宋体"/>
          <w:b/>
          <w:bCs/>
          <w:color w:val="auto"/>
          <w:sz w:val="24"/>
          <w:szCs w:val="24"/>
          <w:highlight w:val="none"/>
        </w:rPr>
      </w:pPr>
      <w:r>
        <w:rPr>
          <w:rFonts w:ascii="宋体" w:hAnsi="宋体"/>
          <w:b/>
          <w:color w:val="auto"/>
          <w:sz w:val="24"/>
          <w:highlight w:val="none"/>
        </w:rPr>
        <w:t>7</w:t>
      </w:r>
      <w:r>
        <w:rPr>
          <w:rFonts w:ascii="宋体" w:hAnsi="宋体"/>
          <w:b/>
          <w:bCs/>
          <w:color w:val="auto"/>
          <w:sz w:val="24"/>
          <w:szCs w:val="24"/>
          <w:highlight w:val="none"/>
        </w:rPr>
        <w:t>．中标候选人公示</w:t>
      </w:r>
    </w:p>
    <w:p w14:paraId="453EC687">
      <w:pPr>
        <w:tabs>
          <w:tab w:val="left" w:pos="3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本项目同时在黑龙江公共资源交易网（http://ggzyjyw.hlj.gov.cn/）及黑龙江省交通运输厅（https://jt.hlj.gov.cn/）网站上公示中标候选人，公示期为3日，公示内容包括：</w:t>
      </w:r>
    </w:p>
    <w:p w14:paraId="79426C60">
      <w:pPr>
        <w:tabs>
          <w:tab w:val="left" w:pos="3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（1）中标候选人排序、名称、投标报价、</w:t>
      </w:r>
      <w:r>
        <w:rPr>
          <w:rFonts w:hint="eastAsia" w:ascii="宋体" w:hAnsi="宋体"/>
          <w:color w:val="auto"/>
          <w:szCs w:val="21"/>
          <w:highlight w:val="none"/>
          <w:lang w:val="en-US" w:eastAsia="zh-CN"/>
        </w:rPr>
        <w:t>质量要求</w:t>
      </w:r>
      <w:r>
        <w:rPr>
          <w:rFonts w:hint="eastAsia" w:ascii="宋体" w:hAnsi="宋体"/>
          <w:color w:val="auto"/>
          <w:szCs w:val="21"/>
          <w:highlight w:val="none"/>
        </w:rPr>
        <w:t>、安全目标、工期；</w:t>
      </w:r>
    </w:p>
    <w:p w14:paraId="2C140BDE">
      <w:pPr>
        <w:tabs>
          <w:tab w:val="left" w:pos="3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（2）中标候选人在投标文件中承诺的项目经理和项目总工姓名、相关证书名称和编号；</w:t>
      </w:r>
    </w:p>
    <w:p w14:paraId="6BEBA35A">
      <w:pPr>
        <w:tabs>
          <w:tab w:val="left" w:pos="3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（3）被否决投标的投标人名称、否决依据和原因；</w:t>
      </w:r>
    </w:p>
    <w:p w14:paraId="2B3356BF">
      <w:pPr>
        <w:tabs>
          <w:tab w:val="left" w:pos="360"/>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（4）提出异议的渠道和方式。</w:t>
      </w:r>
    </w:p>
    <w:bookmarkEnd w:id="11"/>
    <w:bookmarkEnd w:id="12"/>
    <w:p w14:paraId="3746D43B">
      <w:pPr>
        <w:spacing w:before="120" w:beforeLines="50" w:after="120" w:afterLines="50" w:line="400" w:lineRule="exact"/>
        <w:outlineLvl w:val="1"/>
        <w:rPr>
          <w:rFonts w:ascii="宋体"/>
          <w:b/>
          <w:bCs/>
          <w:color w:val="auto"/>
          <w:sz w:val="24"/>
          <w:szCs w:val="24"/>
          <w:highlight w:val="none"/>
        </w:rPr>
      </w:pPr>
      <w:bookmarkStart w:id="14" w:name="_Toc509819256"/>
      <w:bookmarkStart w:id="15" w:name="_Toc509334294"/>
      <w:r>
        <w:rPr>
          <w:rFonts w:hint="eastAsia" w:ascii="宋体" w:hAnsi="宋体"/>
          <w:b/>
          <w:bCs/>
          <w:color w:val="auto"/>
          <w:sz w:val="24"/>
          <w:szCs w:val="24"/>
          <w:highlight w:val="none"/>
        </w:rPr>
        <w:t>8．</w:t>
      </w:r>
      <w:bookmarkEnd w:id="13"/>
      <w:bookmarkEnd w:id="14"/>
      <w:bookmarkEnd w:id="15"/>
      <w:bookmarkStart w:id="16" w:name="_Toc509819258"/>
      <w:bookmarkStart w:id="17" w:name="_Toc509334296"/>
      <w:r>
        <w:rPr>
          <w:rFonts w:hint="eastAsia" w:ascii="宋体" w:hAnsi="宋体"/>
          <w:b/>
          <w:bCs/>
          <w:color w:val="auto"/>
          <w:sz w:val="24"/>
          <w:szCs w:val="24"/>
          <w:highlight w:val="none"/>
        </w:rPr>
        <w:t>联系方式</w:t>
      </w:r>
      <w:bookmarkEnd w:id="16"/>
      <w:bookmarkEnd w:id="17"/>
    </w:p>
    <w:p w14:paraId="7233A2C6">
      <w:pPr>
        <w:adjustRightInd w:val="0"/>
        <w:snapToGrid w:val="0"/>
        <w:spacing w:line="400" w:lineRule="exact"/>
        <w:ind w:firstLine="420" w:firstLineChars="200"/>
        <w:jc w:val="left"/>
        <w:rPr>
          <w:rFonts w:ascii="宋体"/>
          <w:color w:val="auto"/>
          <w:szCs w:val="21"/>
          <w:highlight w:val="none"/>
        </w:rPr>
      </w:pPr>
      <w:bookmarkStart w:id="18" w:name="_Hlk120358434"/>
      <w:r>
        <w:rPr>
          <w:rFonts w:hint="eastAsia" w:ascii="宋体" w:hAnsi="宋体"/>
          <w:color w:val="auto"/>
          <w:szCs w:val="21"/>
          <w:highlight w:val="none"/>
        </w:rPr>
        <w:t>招标投标监督单位：绥化市交通运输局</w:t>
      </w:r>
    </w:p>
    <w:p w14:paraId="493659FC">
      <w:pPr>
        <w:adjustRightInd w:val="0"/>
        <w:snapToGrid w:val="0"/>
        <w:spacing w:line="400" w:lineRule="exact"/>
        <w:ind w:firstLine="420" w:firstLineChars="200"/>
        <w:jc w:val="left"/>
        <w:rPr>
          <w:rFonts w:ascii="宋体"/>
          <w:b/>
          <w:color w:val="auto"/>
          <w:szCs w:val="21"/>
          <w:highlight w:val="none"/>
        </w:rPr>
      </w:pPr>
      <w:r>
        <w:rPr>
          <w:rFonts w:hint="eastAsia" w:ascii="宋体" w:hAnsi="宋体"/>
          <w:color w:val="auto"/>
          <w:szCs w:val="21"/>
          <w:highlight w:val="none"/>
        </w:rPr>
        <w:t>电话：</w:t>
      </w:r>
      <w:bookmarkEnd w:id="18"/>
      <w:r>
        <w:rPr>
          <w:rFonts w:hint="eastAsia" w:ascii="宋体" w:hAnsi="宋体"/>
          <w:color w:val="auto"/>
          <w:szCs w:val="21"/>
          <w:highlight w:val="none"/>
        </w:rPr>
        <w:t>电话：0455-8315929</w:t>
      </w:r>
    </w:p>
    <w:p w14:paraId="7AA0E33C">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人：绥棱县交通运输局</w:t>
      </w:r>
    </w:p>
    <w:p w14:paraId="3F402061">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址：绥棱县东城路89号</w:t>
      </w:r>
    </w:p>
    <w:p w14:paraId="2223CBE1">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人：李先生</w:t>
      </w:r>
    </w:p>
    <w:p w14:paraId="5BC90A8B">
      <w:pPr>
        <w:tabs>
          <w:tab w:val="left" w:pos="4678"/>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ascii="宋体" w:hAnsi="宋体"/>
          <w:color w:val="auto"/>
          <w:szCs w:val="21"/>
          <w:highlight w:val="none"/>
        </w:rPr>
        <w:t>0455-4656376</w:t>
      </w:r>
    </w:p>
    <w:p w14:paraId="4B85E0B8">
      <w:pPr>
        <w:tabs>
          <w:tab w:val="left" w:pos="4678"/>
        </w:tabs>
        <w:adjustRightInd w:val="0"/>
        <w:snapToGrid w:val="0"/>
        <w:spacing w:line="400" w:lineRule="exact"/>
        <w:ind w:firstLine="460" w:firstLineChars="200"/>
        <w:jc w:val="left"/>
        <w:rPr>
          <w:rFonts w:hint="eastAsia" w:ascii="宋体" w:eastAsia="宋体"/>
          <w:bCs/>
          <w:color w:val="auto"/>
          <w:spacing w:val="10"/>
          <w:kern w:val="0"/>
          <w:szCs w:val="21"/>
          <w:highlight w:val="none"/>
          <w:lang w:eastAsia="zh-CN"/>
        </w:rPr>
      </w:pPr>
      <w:r>
        <w:rPr>
          <w:rFonts w:hint="eastAsia" w:ascii="宋体" w:hAnsi="宋体"/>
          <w:bCs/>
          <w:color w:val="auto"/>
          <w:spacing w:val="10"/>
          <w:kern w:val="0"/>
          <w:szCs w:val="21"/>
          <w:highlight w:val="none"/>
        </w:rPr>
        <w:t>招标代理机构：</w:t>
      </w:r>
      <w:r>
        <w:rPr>
          <w:rFonts w:hint="eastAsia" w:ascii="宋体" w:hAnsi="宋体"/>
          <w:bCs/>
          <w:color w:val="auto"/>
          <w:spacing w:val="10"/>
          <w:kern w:val="0"/>
          <w:szCs w:val="21"/>
          <w:highlight w:val="none"/>
          <w:lang w:eastAsia="zh-CN"/>
        </w:rPr>
        <w:t>国信国际工程咨询集团股份有限公司</w:t>
      </w:r>
    </w:p>
    <w:p w14:paraId="427A2716">
      <w:pPr>
        <w:tabs>
          <w:tab w:val="left" w:pos="4678"/>
        </w:tabs>
        <w:adjustRightInd w:val="0"/>
        <w:snapToGrid w:val="0"/>
        <w:spacing w:line="400" w:lineRule="exact"/>
        <w:ind w:firstLine="460" w:firstLineChars="200"/>
        <w:jc w:val="left"/>
        <w:rPr>
          <w:rFonts w:ascii="宋体"/>
          <w:bCs/>
          <w:color w:val="auto"/>
          <w:spacing w:val="10"/>
          <w:kern w:val="0"/>
          <w:szCs w:val="21"/>
          <w:highlight w:val="none"/>
        </w:rPr>
      </w:pPr>
      <w:r>
        <w:rPr>
          <w:rFonts w:hint="eastAsia" w:ascii="宋体" w:hAnsi="宋体"/>
          <w:bCs/>
          <w:color w:val="auto"/>
          <w:spacing w:val="10"/>
          <w:kern w:val="0"/>
          <w:szCs w:val="21"/>
          <w:highlight w:val="none"/>
        </w:rPr>
        <w:t>地</w:t>
      </w:r>
      <w:r>
        <w:rPr>
          <w:rFonts w:ascii="宋体" w:hAnsi="宋体"/>
          <w:bCs/>
          <w:color w:val="auto"/>
          <w:spacing w:val="10"/>
          <w:kern w:val="0"/>
          <w:szCs w:val="21"/>
          <w:highlight w:val="none"/>
        </w:rPr>
        <w:t xml:space="preserve">    </w:t>
      </w:r>
      <w:r>
        <w:rPr>
          <w:rFonts w:hint="eastAsia" w:ascii="宋体" w:hAnsi="宋体"/>
          <w:bCs/>
          <w:color w:val="auto"/>
          <w:spacing w:val="10"/>
          <w:kern w:val="0"/>
          <w:szCs w:val="21"/>
          <w:highlight w:val="none"/>
        </w:rPr>
        <w:t>址：哈尔滨市南岗区红旗大街</w:t>
      </w:r>
      <w:r>
        <w:rPr>
          <w:rFonts w:ascii="宋体" w:hAnsi="宋体"/>
          <w:bCs/>
          <w:color w:val="auto"/>
          <w:spacing w:val="10"/>
          <w:kern w:val="0"/>
          <w:szCs w:val="21"/>
          <w:highlight w:val="none"/>
        </w:rPr>
        <w:t>208</w:t>
      </w:r>
      <w:r>
        <w:rPr>
          <w:rFonts w:hint="eastAsia" w:ascii="宋体" w:hAnsi="宋体"/>
          <w:bCs/>
          <w:color w:val="auto"/>
          <w:spacing w:val="10"/>
          <w:kern w:val="0"/>
          <w:szCs w:val="21"/>
          <w:highlight w:val="none"/>
        </w:rPr>
        <w:t>号</w:t>
      </w:r>
      <w:r>
        <w:rPr>
          <w:rFonts w:ascii="宋体" w:hAnsi="宋体"/>
          <w:bCs/>
          <w:color w:val="auto"/>
          <w:spacing w:val="10"/>
          <w:kern w:val="0"/>
          <w:szCs w:val="21"/>
          <w:highlight w:val="none"/>
        </w:rPr>
        <w:t>6</w:t>
      </w:r>
      <w:r>
        <w:rPr>
          <w:rFonts w:hint="eastAsia" w:ascii="宋体" w:hAnsi="宋体"/>
          <w:bCs/>
          <w:color w:val="auto"/>
          <w:spacing w:val="10"/>
          <w:kern w:val="0"/>
          <w:szCs w:val="21"/>
          <w:highlight w:val="none"/>
        </w:rPr>
        <w:t>层</w:t>
      </w:r>
    </w:p>
    <w:p w14:paraId="4CF876AC">
      <w:pPr>
        <w:tabs>
          <w:tab w:val="left" w:pos="4678"/>
        </w:tabs>
        <w:adjustRightInd w:val="0"/>
        <w:snapToGrid w:val="0"/>
        <w:spacing w:line="400" w:lineRule="exact"/>
        <w:ind w:firstLine="460" w:firstLineChars="200"/>
        <w:jc w:val="left"/>
        <w:rPr>
          <w:rFonts w:ascii="宋体" w:hAnsi="宋体"/>
          <w:bCs/>
          <w:color w:val="auto"/>
          <w:spacing w:val="10"/>
          <w:kern w:val="0"/>
          <w:szCs w:val="21"/>
          <w:highlight w:val="none"/>
        </w:rPr>
      </w:pPr>
      <w:r>
        <w:rPr>
          <w:rFonts w:hint="eastAsia" w:ascii="宋体" w:hAnsi="宋体"/>
          <w:bCs/>
          <w:color w:val="auto"/>
          <w:spacing w:val="10"/>
          <w:kern w:val="0"/>
          <w:szCs w:val="21"/>
          <w:highlight w:val="none"/>
        </w:rPr>
        <w:t>联系人：</w:t>
      </w:r>
      <w:r>
        <w:rPr>
          <w:rFonts w:hint="eastAsia" w:ascii="宋体" w:hAnsi="宋体"/>
          <w:bCs/>
          <w:color w:val="auto"/>
          <w:spacing w:val="10"/>
          <w:kern w:val="0"/>
          <w:szCs w:val="21"/>
          <w:highlight w:val="none"/>
          <w:lang w:val="en-US" w:eastAsia="zh-CN"/>
        </w:rPr>
        <w:t>戴</w:t>
      </w:r>
      <w:r>
        <w:rPr>
          <w:rFonts w:hint="eastAsia" w:ascii="宋体" w:hAnsi="宋体"/>
          <w:bCs/>
          <w:color w:val="auto"/>
          <w:spacing w:val="10"/>
          <w:kern w:val="0"/>
          <w:szCs w:val="21"/>
          <w:highlight w:val="none"/>
        </w:rPr>
        <w:t>先生、</w:t>
      </w:r>
      <w:r>
        <w:rPr>
          <w:rFonts w:hint="eastAsia" w:ascii="宋体" w:hAnsi="宋体"/>
          <w:bCs/>
          <w:color w:val="auto"/>
          <w:spacing w:val="10"/>
          <w:kern w:val="0"/>
          <w:szCs w:val="21"/>
          <w:highlight w:val="none"/>
          <w:lang w:val="en-US" w:eastAsia="zh-CN"/>
        </w:rPr>
        <w:t>王先生</w:t>
      </w:r>
      <w:r>
        <w:rPr>
          <w:rFonts w:ascii="宋体" w:hAnsi="宋体"/>
          <w:bCs/>
          <w:color w:val="auto"/>
          <w:spacing w:val="10"/>
          <w:kern w:val="0"/>
          <w:szCs w:val="21"/>
          <w:highlight w:val="none"/>
        </w:rPr>
        <w:t xml:space="preserve"> </w:t>
      </w:r>
    </w:p>
    <w:p w14:paraId="53C623F9">
      <w:pPr>
        <w:tabs>
          <w:tab w:val="left" w:pos="4678"/>
        </w:tabs>
        <w:adjustRightInd w:val="0"/>
        <w:snapToGrid w:val="0"/>
        <w:spacing w:line="400" w:lineRule="exact"/>
        <w:ind w:firstLine="460" w:firstLineChars="200"/>
        <w:jc w:val="left"/>
        <w:rPr>
          <w:rFonts w:hint="default" w:ascii="宋体" w:hAnsi="宋体" w:eastAsia="宋体"/>
          <w:bCs/>
          <w:color w:val="auto"/>
          <w:spacing w:val="10"/>
          <w:kern w:val="0"/>
          <w:szCs w:val="21"/>
          <w:highlight w:val="none"/>
          <w:lang w:val="en-US" w:eastAsia="zh-CN"/>
        </w:rPr>
      </w:pPr>
      <w:r>
        <w:rPr>
          <w:rFonts w:hint="eastAsia" w:ascii="宋体" w:hAnsi="宋体"/>
          <w:bCs/>
          <w:color w:val="auto"/>
          <w:spacing w:val="10"/>
          <w:kern w:val="0"/>
          <w:szCs w:val="21"/>
          <w:highlight w:val="none"/>
        </w:rPr>
        <w:t>电话：</w:t>
      </w:r>
      <w:r>
        <w:rPr>
          <w:rFonts w:ascii="宋体" w:hAnsi="宋体"/>
          <w:bCs/>
          <w:color w:val="auto"/>
          <w:spacing w:val="10"/>
          <w:kern w:val="0"/>
          <w:szCs w:val="21"/>
          <w:highlight w:val="none"/>
        </w:rPr>
        <w:t>0451-87001301</w:t>
      </w:r>
      <w:r>
        <w:rPr>
          <w:rFonts w:hint="eastAsia" w:ascii="宋体" w:hAnsi="宋体"/>
          <w:bCs/>
          <w:color w:val="auto"/>
          <w:spacing w:val="10"/>
          <w:kern w:val="0"/>
          <w:szCs w:val="21"/>
          <w:highlight w:val="none"/>
        </w:rPr>
        <w:t>转</w:t>
      </w:r>
      <w:r>
        <w:rPr>
          <w:rFonts w:ascii="宋体" w:hAnsi="宋体"/>
          <w:bCs/>
          <w:color w:val="auto"/>
          <w:spacing w:val="10"/>
          <w:kern w:val="0"/>
          <w:szCs w:val="21"/>
          <w:highlight w:val="none"/>
        </w:rPr>
        <w:t>80</w:t>
      </w:r>
      <w:r>
        <w:rPr>
          <w:rFonts w:hint="eastAsia" w:ascii="宋体" w:hAnsi="宋体"/>
          <w:bCs/>
          <w:color w:val="auto"/>
          <w:spacing w:val="10"/>
          <w:kern w:val="0"/>
          <w:szCs w:val="21"/>
          <w:highlight w:val="none"/>
          <w:lang w:val="en-US" w:eastAsia="zh-CN"/>
        </w:rPr>
        <w:t>09</w:t>
      </w:r>
      <w:r>
        <w:rPr>
          <w:rFonts w:hint="eastAsia" w:ascii="宋体" w:hAnsi="宋体"/>
          <w:bCs/>
          <w:color w:val="auto"/>
          <w:spacing w:val="10"/>
          <w:kern w:val="0"/>
          <w:szCs w:val="21"/>
          <w:highlight w:val="none"/>
        </w:rPr>
        <w:t>、</w:t>
      </w:r>
      <w:r>
        <w:rPr>
          <w:rFonts w:ascii="宋体" w:hAnsi="宋体"/>
          <w:bCs/>
          <w:color w:val="auto"/>
          <w:spacing w:val="10"/>
          <w:kern w:val="0"/>
          <w:szCs w:val="21"/>
          <w:highlight w:val="none"/>
        </w:rPr>
        <w:t>80</w:t>
      </w:r>
      <w:r>
        <w:rPr>
          <w:rFonts w:hint="eastAsia" w:ascii="宋体" w:hAnsi="宋体"/>
          <w:bCs/>
          <w:color w:val="auto"/>
          <w:spacing w:val="10"/>
          <w:kern w:val="0"/>
          <w:szCs w:val="21"/>
          <w:highlight w:val="none"/>
          <w:lang w:val="en-US" w:eastAsia="zh-CN"/>
        </w:rPr>
        <w:t>18</w:t>
      </w:r>
    </w:p>
    <w:p w14:paraId="5AB272BE">
      <w:pPr>
        <w:tabs>
          <w:tab w:val="left" w:pos="4678"/>
        </w:tabs>
        <w:adjustRightInd w:val="0"/>
        <w:snapToGrid w:val="0"/>
        <w:spacing w:line="400" w:lineRule="exact"/>
        <w:ind w:firstLine="460" w:firstLineChars="200"/>
        <w:jc w:val="left"/>
        <w:rPr>
          <w:rFonts w:ascii="宋体"/>
          <w:color w:val="auto"/>
          <w:szCs w:val="21"/>
          <w:highlight w:val="none"/>
        </w:rPr>
      </w:pPr>
      <w:r>
        <w:rPr>
          <w:rFonts w:hint="eastAsia" w:ascii="宋体" w:hAnsi="宋体"/>
          <w:bCs/>
          <w:color w:val="auto"/>
          <w:spacing w:val="10"/>
          <w:kern w:val="0"/>
          <w:szCs w:val="21"/>
          <w:highlight w:val="none"/>
        </w:rPr>
        <w:t>电子邮箱：</w:t>
      </w:r>
      <w:r>
        <w:rPr>
          <w:rFonts w:ascii="宋体" w:hAnsi="宋体"/>
          <w:bCs/>
          <w:color w:val="auto"/>
          <w:spacing w:val="10"/>
          <w:kern w:val="0"/>
          <w:szCs w:val="21"/>
          <w:highlight w:val="none"/>
        </w:rPr>
        <w:t>gx87009131@163.com</w:t>
      </w:r>
    </w:p>
    <w:p w14:paraId="1990DCE6">
      <w:pPr>
        <w:spacing w:line="400" w:lineRule="exact"/>
        <w:ind w:firstLine="420" w:firstLineChars="200"/>
        <w:jc w:val="right"/>
        <w:rPr>
          <w:rFonts w:ascii="宋体"/>
          <w:color w:val="auto"/>
          <w:szCs w:val="21"/>
          <w:highlight w:val="none"/>
        </w:rPr>
      </w:pPr>
    </w:p>
    <w:p w14:paraId="5A53326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：资格审查条件</w:t>
      </w:r>
    </w:p>
    <w:p w14:paraId="3F5FA85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2</w:t>
      </w:r>
      <w:r>
        <w:rPr>
          <w:rFonts w:hint="eastAsia" w:ascii="宋体" w:hAnsi="宋体"/>
          <w:color w:val="auto"/>
          <w:szCs w:val="21"/>
          <w:highlight w:val="none"/>
        </w:rPr>
        <w:t>：评标办法</w:t>
      </w:r>
    </w:p>
    <w:p w14:paraId="0F38D2F7">
      <w:pPr>
        <w:rPr>
          <w:rFonts w:hint="eastAsia" w:ascii="宋体" w:hAnsi="宋体"/>
          <w:color w:val="auto"/>
          <w:szCs w:val="21"/>
          <w:highlight w:val="none"/>
        </w:rPr>
      </w:pPr>
      <w:r>
        <w:rPr>
          <w:rFonts w:hint="eastAsia" w:ascii="宋体" w:hAnsi="宋体"/>
          <w:color w:val="auto"/>
          <w:szCs w:val="21"/>
          <w:highlight w:val="none"/>
        </w:rPr>
        <w:br w:type="page"/>
      </w:r>
    </w:p>
    <w:p w14:paraId="2D501980">
      <w:pPr>
        <w:pStyle w:val="3"/>
        <w:spacing w:before="0" w:after="0" w:line="360" w:lineRule="auto"/>
        <w:rPr>
          <w:rFonts w:ascii="黑体" w:hAnsi="黑体" w:eastAsia="黑体"/>
          <w:b/>
          <w:color w:val="auto"/>
          <w:sz w:val="32"/>
          <w:szCs w:val="32"/>
          <w:highlight w:val="none"/>
        </w:rPr>
      </w:pPr>
      <w:r>
        <w:rPr>
          <w:rFonts w:hint="eastAsia" w:ascii="黑体" w:hAnsi="黑体" w:eastAsia="黑体"/>
          <w:b/>
          <w:color w:val="auto"/>
          <w:sz w:val="32"/>
          <w:szCs w:val="32"/>
          <w:highlight w:val="none"/>
        </w:rPr>
        <w:t>评标办法前附表</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013"/>
        <w:gridCol w:w="1254"/>
        <w:gridCol w:w="1702"/>
        <w:gridCol w:w="5812"/>
      </w:tblGrid>
      <w:tr w14:paraId="0ED6A1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8" w:hRule="atLeast"/>
          <w:tblHeader/>
        </w:trPr>
        <w:tc>
          <w:tcPr>
            <w:tcW w:w="1159" w:type="pct"/>
            <w:gridSpan w:val="2"/>
            <w:tcBorders>
              <w:top w:val="single" w:color="000000" w:sz="12" w:space="0"/>
            </w:tcBorders>
            <w:vAlign w:val="center"/>
          </w:tcPr>
          <w:p w14:paraId="3009295A">
            <w:pPr>
              <w:pStyle w:val="6"/>
              <w:ind w:left="796" w:right="788"/>
              <w:rPr>
                <w:b/>
                <w:color w:val="auto"/>
                <w:sz w:val="21"/>
                <w:szCs w:val="21"/>
                <w:highlight w:val="none"/>
                <w:lang w:eastAsia="en-US"/>
              </w:rPr>
            </w:pPr>
            <w:r>
              <w:rPr>
                <w:rFonts w:hint="eastAsia"/>
                <w:b/>
                <w:color w:val="auto"/>
                <w:sz w:val="21"/>
                <w:szCs w:val="21"/>
                <w:highlight w:val="none"/>
                <w:lang w:eastAsia="en-US"/>
              </w:rPr>
              <w:t>条款号</w:t>
            </w:r>
          </w:p>
        </w:tc>
        <w:tc>
          <w:tcPr>
            <w:tcW w:w="3841" w:type="pct"/>
            <w:gridSpan w:val="2"/>
            <w:tcBorders>
              <w:top w:val="single" w:color="000000" w:sz="12" w:space="0"/>
            </w:tcBorders>
            <w:vAlign w:val="center"/>
          </w:tcPr>
          <w:p w14:paraId="19F23726">
            <w:pPr>
              <w:pStyle w:val="6"/>
              <w:ind w:left="2335" w:right="2340"/>
              <w:rPr>
                <w:b/>
                <w:color w:val="auto"/>
                <w:sz w:val="21"/>
                <w:szCs w:val="21"/>
                <w:highlight w:val="none"/>
                <w:lang w:eastAsia="en-US"/>
              </w:rPr>
            </w:pPr>
            <w:r>
              <w:rPr>
                <w:rFonts w:hint="eastAsia"/>
                <w:b/>
                <w:color w:val="auto"/>
                <w:sz w:val="21"/>
                <w:szCs w:val="21"/>
                <w:highlight w:val="none"/>
                <w:lang w:eastAsia="en-US"/>
              </w:rPr>
              <w:t>评审因素与评审标准</w:t>
            </w:r>
          </w:p>
        </w:tc>
      </w:tr>
      <w:tr w14:paraId="4401C4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3" w:hRule="atLeast"/>
        </w:trPr>
        <w:tc>
          <w:tcPr>
            <w:tcW w:w="518" w:type="pct"/>
            <w:vAlign w:val="center"/>
          </w:tcPr>
          <w:p w14:paraId="415E99E5">
            <w:pPr>
              <w:pStyle w:val="6"/>
              <w:rPr>
                <w:color w:val="auto"/>
                <w:sz w:val="21"/>
                <w:szCs w:val="21"/>
                <w:highlight w:val="none"/>
                <w:lang w:eastAsia="en-US"/>
              </w:rPr>
            </w:pPr>
            <w:r>
              <w:rPr>
                <w:color w:val="auto"/>
                <w:sz w:val="21"/>
                <w:szCs w:val="21"/>
                <w:highlight w:val="none"/>
                <w:lang w:eastAsia="en-US"/>
              </w:rPr>
              <w:t>1</w:t>
            </w:r>
          </w:p>
        </w:tc>
        <w:tc>
          <w:tcPr>
            <w:tcW w:w="641" w:type="pct"/>
            <w:vAlign w:val="center"/>
          </w:tcPr>
          <w:p w14:paraId="656B1D6F">
            <w:pPr>
              <w:pStyle w:val="6"/>
              <w:rPr>
                <w:color w:val="auto"/>
                <w:sz w:val="21"/>
                <w:szCs w:val="21"/>
                <w:highlight w:val="none"/>
                <w:lang w:eastAsia="en-US"/>
              </w:rPr>
            </w:pPr>
            <w:r>
              <w:rPr>
                <w:rFonts w:hint="eastAsia"/>
                <w:color w:val="auto"/>
                <w:sz w:val="21"/>
                <w:szCs w:val="21"/>
                <w:highlight w:val="none"/>
                <w:lang w:eastAsia="en-US"/>
              </w:rPr>
              <w:t>评标方法</w:t>
            </w:r>
          </w:p>
        </w:tc>
        <w:tc>
          <w:tcPr>
            <w:tcW w:w="3841" w:type="pct"/>
            <w:gridSpan w:val="2"/>
            <w:vAlign w:val="center"/>
          </w:tcPr>
          <w:p w14:paraId="12173F09">
            <w:pPr>
              <w:widowControl/>
              <w:shd w:val="clear" w:color="auto" w:fill="FFFFFF"/>
              <w:spacing w:line="300" w:lineRule="atLeast"/>
              <w:ind w:firstLine="422"/>
              <w:rPr>
                <w:rFonts w:ascii="微软雅黑" w:hAnsi="微软雅黑" w:eastAsia="微软雅黑" w:cs="宋体"/>
                <w:color w:val="auto"/>
                <w:kern w:val="0"/>
                <w:szCs w:val="21"/>
                <w:highlight w:val="none"/>
              </w:rPr>
            </w:pPr>
            <w:r>
              <w:rPr>
                <w:rFonts w:hint="eastAsia" w:ascii="宋体" w:hAnsi="宋体" w:cs="宋体"/>
                <w:b/>
                <w:bCs/>
                <w:color w:val="auto"/>
                <w:kern w:val="0"/>
                <w:szCs w:val="21"/>
                <w:highlight w:val="none"/>
              </w:rPr>
              <w:t>评标价相等时，评标委员会依次按照以下优先顺序推荐中标候选人：</w:t>
            </w:r>
          </w:p>
          <w:p w14:paraId="75D9A07E">
            <w:pPr>
              <w:widowControl/>
              <w:shd w:val="clear" w:color="auto" w:fill="FFFFFF"/>
              <w:spacing w:line="300" w:lineRule="atLeast"/>
              <w:ind w:firstLine="420"/>
              <w:rPr>
                <w:rFonts w:hint="eastAsia"/>
                <w:color w:val="auto"/>
                <w:szCs w:val="21"/>
                <w:highlight w:val="none"/>
              </w:rPr>
            </w:pPr>
            <w:r>
              <w:rPr>
                <w:rFonts w:hint="eastAsia"/>
                <w:color w:val="auto"/>
                <w:szCs w:val="21"/>
                <w:highlight w:val="none"/>
              </w:rPr>
              <w:t>（1）被黑龙江省交通运输厅202</w:t>
            </w:r>
            <w:r>
              <w:rPr>
                <w:rFonts w:hint="eastAsia"/>
                <w:color w:val="auto"/>
                <w:szCs w:val="21"/>
                <w:highlight w:val="none"/>
                <w:lang w:val="en-US" w:eastAsia="zh-CN"/>
              </w:rPr>
              <w:t>2</w:t>
            </w:r>
            <w:r>
              <w:rPr>
                <w:rFonts w:hint="eastAsia"/>
                <w:color w:val="auto"/>
                <w:szCs w:val="21"/>
                <w:highlight w:val="none"/>
              </w:rPr>
              <w:t>年度公路企业信用评价或交通运输部202</w:t>
            </w:r>
            <w:r>
              <w:rPr>
                <w:rFonts w:hint="eastAsia"/>
                <w:color w:val="auto"/>
                <w:szCs w:val="21"/>
                <w:highlight w:val="none"/>
                <w:lang w:val="en-US" w:eastAsia="zh-CN"/>
              </w:rPr>
              <w:t>2</w:t>
            </w:r>
            <w:r>
              <w:rPr>
                <w:rFonts w:hint="eastAsia"/>
                <w:color w:val="auto"/>
                <w:szCs w:val="21"/>
                <w:highlight w:val="none"/>
              </w:rPr>
              <w:t>年度全国公路从业企业信用综合评价中评为较高信用等级的投标人优先；</w:t>
            </w:r>
          </w:p>
          <w:p w14:paraId="7373DD48">
            <w:pPr>
              <w:widowControl/>
              <w:shd w:val="clear" w:color="auto" w:fill="FFFFFF"/>
              <w:spacing w:line="300" w:lineRule="atLeast"/>
              <w:ind w:firstLine="420"/>
              <w:rPr>
                <w:color w:val="auto"/>
                <w:szCs w:val="21"/>
                <w:highlight w:val="none"/>
              </w:rPr>
            </w:pPr>
            <w:r>
              <w:rPr>
                <w:rFonts w:hint="eastAsia"/>
                <w:color w:val="auto"/>
                <w:szCs w:val="21"/>
                <w:highlight w:val="none"/>
              </w:rPr>
              <w:t>（3）商务和技术得分较高的投标人优先；</w:t>
            </w:r>
          </w:p>
        </w:tc>
      </w:tr>
      <w:tr w14:paraId="4F02C7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06" w:hRule="atLeast"/>
        </w:trPr>
        <w:tc>
          <w:tcPr>
            <w:tcW w:w="518" w:type="pct"/>
            <w:vAlign w:val="center"/>
          </w:tcPr>
          <w:p w14:paraId="17BD2D2E">
            <w:pPr>
              <w:pStyle w:val="6"/>
              <w:rPr>
                <w:color w:val="auto"/>
                <w:sz w:val="21"/>
                <w:szCs w:val="21"/>
                <w:highlight w:val="none"/>
                <w:lang w:eastAsia="en-US"/>
              </w:rPr>
            </w:pPr>
            <w:r>
              <w:rPr>
                <w:color w:val="auto"/>
                <w:sz w:val="21"/>
                <w:szCs w:val="21"/>
                <w:highlight w:val="none"/>
                <w:lang w:eastAsia="en-US"/>
              </w:rPr>
              <w:t>2.1.1</w:t>
            </w:r>
          </w:p>
          <w:p w14:paraId="37FC8857">
            <w:pPr>
              <w:pStyle w:val="6"/>
              <w:rPr>
                <w:color w:val="auto"/>
                <w:sz w:val="21"/>
                <w:szCs w:val="21"/>
                <w:highlight w:val="none"/>
                <w:lang w:eastAsia="en-US"/>
              </w:rPr>
            </w:pPr>
            <w:r>
              <w:rPr>
                <w:color w:val="auto"/>
                <w:sz w:val="21"/>
                <w:szCs w:val="21"/>
                <w:highlight w:val="none"/>
                <w:lang w:eastAsia="en-US"/>
              </w:rPr>
              <w:t>2.1.3</w:t>
            </w:r>
          </w:p>
        </w:tc>
        <w:tc>
          <w:tcPr>
            <w:tcW w:w="641" w:type="pct"/>
            <w:vAlign w:val="center"/>
          </w:tcPr>
          <w:p w14:paraId="6B2FF405">
            <w:pPr>
              <w:pStyle w:val="6"/>
              <w:ind w:right="127"/>
              <w:rPr>
                <w:color w:val="auto"/>
                <w:sz w:val="21"/>
                <w:szCs w:val="21"/>
                <w:highlight w:val="none"/>
              </w:rPr>
            </w:pPr>
            <w:r>
              <w:rPr>
                <w:rFonts w:hint="eastAsia"/>
                <w:color w:val="auto"/>
                <w:sz w:val="21"/>
                <w:szCs w:val="21"/>
                <w:highlight w:val="none"/>
              </w:rPr>
              <w:t>形式评审</w:t>
            </w:r>
          </w:p>
          <w:p w14:paraId="23D29411">
            <w:pPr>
              <w:pStyle w:val="6"/>
              <w:ind w:right="127"/>
              <w:rPr>
                <w:color w:val="auto"/>
                <w:sz w:val="21"/>
                <w:szCs w:val="21"/>
                <w:highlight w:val="none"/>
              </w:rPr>
            </w:pPr>
            <w:r>
              <w:rPr>
                <w:rFonts w:hint="eastAsia"/>
                <w:color w:val="auto"/>
                <w:sz w:val="21"/>
                <w:szCs w:val="21"/>
                <w:highlight w:val="none"/>
              </w:rPr>
              <w:t>与响应性</w:t>
            </w:r>
          </w:p>
          <w:p w14:paraId="7EA5DECE">
            <w:pPr>
              <w:pStyle w:val="6"/>
              <w:ind w:right="127"/>
              <w:rPr>
                <w:color w:val="auto"/>
                <w:sz w:val="21"/>
                <w:szCs w:val="21"/>
                <w:highlight w:val="none"/>
              </w:rPr>
            </w:pPr>
            <w:r>
              <w:rPr>
                <w:rFonts w:hint="eastAsia"/>
                <w:color w:val="auto"/>
                <w:sz w:val="21"/>
                <w:szCs w:val="21"/>
                <w:highlight w:val="none"/>
              </w:rPr>
              <w:t>评审标准</w:t>
            </w:r>
          </w:p>
        </w:tc>
        <w:tc>
          <w:tcPr>
            <w:tcW w:w="3841" w:type="pct"/>
            <w:gridSpan w:val="2"/>
          </w:tcPr>
          <w:p w14:paraId="474193FB">
            <w:pPr>
              <w:widowControl/>
              <w:shd w:val="clear" w:color="auto" w:fill="FFFFFF"/>
              <w:spacing w:line="300" w:lineRule="atLeast"/>
              <w:ind w:firstLine="422"/>
              <w:jc w:val="left"/>
              <w:rPr>
                <w:rFonts w:ascii="微软雅黑" w:hAnsi="微软雅黑" w:eastAsia="微软雅黑" w:cs="宋体"/>
                <w:color w:val="auto"/>
                <w:kern w:val="0"/>
                <w:szCs w:val="21"/>
                <w:highlight w:val="none"/>
              </w:rPr>
            </w:pPr>
            <w:r>
              <w:rPr>
                <w:rFonts w:hint="eastAsia" w:ascii="宋体" w:hAnsi="宋体" w:cs="宋体"/>
                <w:b/>
                <w:bCs/>
                <w:color w:val="auto"/>
                <w:kern w:val="0"/>
                <w:szCs w:val="21"/>
                <w:highlight w:val="none"/>
              </w:rPr>
              <w:t>第一个信封（商务及技术文件）评审标准：</w:t>
            </w:r>
          </w:p>
          <w:p w14:paraId="648F97E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(1)投标文件按照招标文件规定的格式、内容填写，字迹清晰可辨：</w:t>
            </w:r>
          </w:p>
          <w:p w14:paraId="6B5BC4B9">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a.投标函按招标文件规定填报了项目名称、标段号、补遗书编号（如有）、工期、工程质量及安全目标；</w:t>
            </w:r>
          </w:p>
          <w:p w14:paraId="00BFA15C">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b.投标函附录的所有数据均符合招标文件规定；</w:t>
            </w:r>
          </w:p>
          <w:p w14:paraId="7A0DAA90">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c.投标文件组成齐全完整，内容均按规定填写。</w:t>
            </w:r>
          </w:p>
          <w:p w14:paraId="54606D15">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(2)投标文件上法定代表人或其委托代理人的签字、投标人的单位章盖章齐全，符合招标文件规定。</w:t>
            </w:r>
          </w:p>
          <w:p w14:paraId="1BB8DA6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(3)投标人按照招标文件的规定提供了投标保证金：</w:t>
            </w:r>
          </w:p>
          <w:p w14:paraId="3CCA6E6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a.投标保证金金额符合招标文件规定的金额，且投标保证金有效期不少于投标有效期；</w:t>
            </w:r>
          </w:p>
          <w:p w14:paraId="2EB03D02">
            <w:pPr>
              <w:widowControl/>
              <w:shd w:val="clear" w:color="auto" w:fill="FFFFFF"/>
              <w:spacing w:line="28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b.若投标保证金采用网银转账、银行电汇形式递交，投标人在投标保证金递交截止时间之前，将投标保证金由投标人的基本账户转入黑龙江省公共资源交易平台对接的银行虚拟子账户。</w:t>
            </w:r>
          </w:p>
          <w:p w14:paraId="7D3C2C19">
            <w:pPr>
              <w:widowControl/>
              <w:shd w:val="clear" w:color="auto" w:fill="FFFFFF"/>
              <w:spacing w:line="28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c.若投标保证金采用电子保函形式递交，投标人按黑龙江省公共资源交易网电子保函相关规定递交。</w:t>
            </w:r>
          </w:p>
          <w:p w14:paraId="2574961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(4)投标人法定代表人授权委托代理人签署投标文件的，须提交授权委托书，且授权人和被授权人均在授权委托书上签名，未使用印章、签名章或其他电子制版签名代替。</w:t>
            </w:r>
          </w:p>
          <w:p w14:paraId="6C1362B9">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(5)投标人法定代表人亲自签署投标文件的，提供了法定代表人身份证明，且法定代表人在法定代表人身份证明上签名，未使用印章、签名章或其他电子制版签名代替。</w:t>
            </w:r>
          </w:p>
          <w:p w14:paraId="52BE97F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(6)投标人以联合体形式投标时，联合体满足招标文件的要求：</w:t>
            </w:r>
          </w:p>
          <w:p w14:paraId="3EBAA1C5">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投标人按照招标文件提供的格式签订了联合体协议书，明确各方承担连带责任，并明确了联合体牵头人。</w:t>
            </w:r>
          </w:p>
          <w:p w14:paraId="63F765DD">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(7)同一投标人未提交两个以上不同的投标文件。</w:t>
            </w:r>
          </w:p>
          <w:p w14:paraId="629A70C6">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(8)投标文件中未出现有关投标报价的内容。</w:t>
            </w:r>
          </w:p>
          <w:p w14:paraId="479D0C18">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(9)投标文件载明的招标项目完成期限未超过招标文件规定的时限。</w:t>
            </w:r>
          </w:p>
          <w:p w14:paraId="624C4A9A">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(10)投标文件对招标文件的实质性要求和条件作出响应。</w:t>
            </w:r>
          </w:p>
          <w:p w14:paraId="112660EB">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(11)权利义务符合招标文件规定：</w:t>
            </w:r>
          </w:p>
          <w:p w14:paraId="5039452E">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a.投标人应接受招标文件规定的风险划分原则，未提出新的风险划分办法；</w:t>
            </w:r>
          </w:p>
          <w:p w14:paraId="60ACF568">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b.投标人未增加发包人责任范围，或减少投标人义务；</w:t>
            </w:r>
          </w:p>
          <w:p w14:paraId="732A33AC">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c.投标人未提出不同的工程验收、计量、支付办法；</w:t>
            </w:r>
          </w:p>
          <w:p w14:paraId="1B2BBF96">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d.投标人对合同纠纷、事故处理办法未提出异议；</w:t>
            </w:r>
          </w:p>
          <w:p w14:paraId="28D8AD6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e.投标人在投标活动中无欺诈行为；</w:t>
            </w:r>
          </w:p>
          <w:p w14:paraId="7A59D11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(12)不存在违反法律、法规的其他情形。</w:t>
            </w:r>
          </w:p>
          <w:p w14:paraId="7B5D3553">
            <w:pPr>
              <w:widowControl/>
              <w:shd w:val="clear" w:color="auto" w:fill="FFFFFF"/>
              <w:spacing w:line="300" w:lineRule="atLeast"/>
              <w:ind w:firstLine="422"/>
              <w:rPr>
                <w:rFonts w:ascii="微软雅黑" w:hAnsi="微软雅黑" w:eastAsia="微软雅黑" w:cs="宋体"/>
                <w:color w:val="auto"/>
                <w:kern w:val="0"/>
                <w:szCs w:val="21"/>
                <w:highlight w:val="none"/>
              </w:rPr>
            </w:pPr>
            <w:r>
              <w:rPr>
                <w:rFonts w:hint="eastAsia" w:ascii="宋体" w:hAnsi="宋体" w:cs="宋体"/>
                <w:b/>
                <w:bCs/>
                <w:color w:val="auto"/>
                <w:kern w:val="0"/>
                <w:szCs w:val="21"/>
                <w:highlight w:val="none"/>
              </w:rPr>
              <w:t>第二个信封（报价文件和工程量清单）评审标准：</w:t>
            </w:r>
          </w:p>
          <w:p w14:paraId="5A3AB7F6">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(1)投标文件按照招标文件规定的格式、内容填写，字迹清晰可辨；</w:t>
            </w:r>
          </w:p>
          <w:p w14:paraId="7CF527D8">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a.投标函按招标文件规定填报了项目名称、标段号、补遗书编号（如有）、投标价（包括大写金额和小写金额）；</w:t>
            </w:r>
          </w:p>
          <w:p w14:paraId="4CB6E2D7">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b.已标价的工程量清单说明文字与招标文件规定一致，未进行实质性修改和删减；</w:t>
            </w:r>
          </w:p>
          <w:p w14:paraId="320F858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c.投标文件组成齐全完整，内容均按规定填写。</w:t>
            </w:r>
          </w:p>
          <w:p w14:paraId="49128D6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(2)投标文件上法定代表人或其委托代理人的签字、投标人的单位章盖章齐全，符合招标文件规定。</w:t>
            </w:r>
          </w:p>
          <w:p w14:paraId="112C5C36">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(3)投标报价中的报价未超过招标文件设定的最高投标限价。</w:t>
            </w:r>
          </w:p>
          <w:p w14:paraId="323C6E0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(4)投标报价的大写金额能够确定具体数值。</w:t>
            </w:r>
          </w:p>
          <w:p w14:paraId="34D457C6">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(5)同一投标人未提交两个以上不同的投标报价。</w:t>
            </w:r>
          </w:p>
          <w:p w14:paraId="41390BA9">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(6)投标人填写完毕的工程量固化清单未对工程量固化清单电子文件中的数据、格式和运算定义进行修改；工程量固化清单中的投标报价和投标函大写金额报价一致。</w:t>
            </w:r>
          </w:p>
          <w:p w14:paraId="7F5C793B">
            <w:pPr>
              <w:widowControl/>
              <w:shd w:val="clear" w:color="auto" w:fill="FFFFFF"/>
              <w:spacing w:line="300" w:lineRule="atLeast"/>
              <w:ind w:firstLine="420"/>
              <w:rPr>
                <w:color w:val="auto"/>
                <w:szCs w:val="21"/>
                <w:highlight w:val="none"/>
              </w:rPr>
            </w:pPr>
            <w:r>
              <w:rPr>
                <w:rFonts w:hint="eastAsia" w:ascii="宋体" w:hAnsi="宋体" w:cs="宋体"/>
                <w:color w:val="auto"/>
                <w:kern w:val="0"/>
                <w:szCs w:val="21"/>
                <w:highlight w:val="none"/>
              </w:rPr>
              <w:t>(7)不存在违反法律、法规的其他情形。</w:t>
            </w:r>
          </w:p>
        </w:tc>
      </w:tr>
      <w:tr w14:paraId="4E0403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518" w:type="pct"/>
            <w:vAlign w:val="center"/>
          </w:tcPr>
          <w:p w14:paraId="30B5F000">
            <w:pPr>
              <w:pStyle w:val="6"/>
              <w:ind w:left="282"/>
              <w:jc w:val="both"/>
              <w:rPr>
                <w:color w:val="auto"/>
                <w:sz w:val="21"/>
                <w:szCs w:val="21"/>
                <w:highlight w:val="none"/>
                <w:lang w:eastAsia="en-US"/>
              </w:rPr>
            </w:pPr>
            <w:r>
              <w:rPr>
                <w:color w:val="auto"/>
                <w:sz w:val="21"/>
                <w:szCs w:val="21"/>
                <w:highlight w:val="none"/>
                <w:lang w:eastAsia="en-US"/>
              </w:rPr>
              <w:t>2.1.2</w:t>
            </w:r>
          </w:p>
        </w:tc>
        <w:tc>
          <w:tcPr>
            <w:tcW w:w="641" w:type="pct"/>
            <w:vAlign w:val="center"/>
          </w:tcPr>
          <w:p w14:paraId="073D53A4">
            <w:pPr>
              <w:pStyle w:val="6"/>
              <w:rPr>
                <w:color w:val="auto"/>
                <w:sz w:val="21"/>
                <w:szCs w:val="21"/>
                <w:highlight w:val="none"/>
                <w:lang w:eastAsia="en-US"/>
              </w:rPr>
            </w:pPr>
            <w:r>
              <w:rPr>
                <w:rFonts w:hint="eastAsia"/>
                <w:color w:val="auto"/>
                <w:sz w:val="21"/>
                <w:szCs w:val="21"/>
                <w:highlight w:val="none"/>
                <w:lang w:eastAsia="en-US"/>
              </w:rPr>
              <w:t>资格评审</w:t>
            </w:r>
          </w:p>
          <w:p w14:paraId="08ADB08E">
            <w:pPr>
              <w:pStyle w:val="6"/>
              <w:rPr>
                <w:color w:val="auto"/>
                <w:sz w:val="21"/>
                <w:szCs w:val="21"/>
                <w:highlight w:val="none"/>
                <w:lang w:eastAsia="en-US"/>
              </w:rPr>
            </w:pPr>
            <w:r>
              <w:rPr>
                <w:rFonts w:hint="eastAsia"/>
                <w:color w:val="auto"/>
                <w:sz w:val="21"/>
                <w:szCs w:val="21"/>
                <w:highlight w:val="none"/>
                <w:lang w:eastAsia="en-US"/>
              </w:rPr>
              <w:t>标准</w:t>
            </w:r>
          </w:p>
        </w:tc>
        <w:tc>
          <w:tcPr>
            <w:tcW w:w="3841" w:type="pct"/>
            <w:gridSpan w:val="2"/>
          </w:tcPr>
          <w:p w14:paraId="19933D0D">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投标人具备有效的营业执照、组织机构代码证（按照三证合一、五证合一登记制度进行登记的，可仅提供营业执照）、资质证书、安全生产许可证和基本账户开户许可证或经基本账户开户银行出具加盖银行公章的基本账户信息证明、投标人在国家企业信用信息公示系统中基础信息（体现股东及出资详细信息）的网页截图。</w:t>
            </w:r>
          </w:p>
          <w:p w14:paraId="6B23811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(2)投标人的资质等级符合招标文件规定。</w:t>
            </w:r>
          </w:p>
          <w:p w14:paraId="10D8994D">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(3)(5)投标人的信誉符合招标文件规定。</w:t>
            </w:r>
          </w:p>
          <w:p w14:paraId="59491B0E">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)投标人的项目经理和项目总工资格、在岗情况符合招标文件规定。</w:t>
            </w:r>
          </w:p>
          <w:p w14:paraId="1205E18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)投标人不存在第二章“投标人须知”第1.4.3项或第1.4.4项规定的任何一种情形。</w:t>
            </w:r>
          </w:p>
          <w:p w14:paraId="7568E7F2">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1.4.3投标人不得与本标段相关单位存在下列关联关系：</w:t>
            </w:r>
          </w:p>
          <w:p w14:paraId="55F25CD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①为招标人不具有独立法人资格的附属机构（单位）；</w:t>
            </w:r>
          </w:p>
          <w:p w14:paraId="2A84C1AA">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②与招标人存在利害关系且可能影响招标公正性；</w:t>
            </w:r>
          </w:p>
          <w:p w14:paraId="145E5E5A">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③与本标段的其他投标人同为一个单位负责人；</w:t>
            </w:r>
          </w:p>
          <w:p w14:paraId="5CF99AD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④与本标段的其他投标人存在控股、管理关系；</w:t>
            </w:r>
          </w:p>
          <w:p w14:paraId="5617E83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⑤为本标段前期准备提供设计或咨询服务的法人或其任何附属机构（单位）；</w:t>
            </w:r>
          </w:p>
          <w:p w14:paraId="19442DEB">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⑥为本标段的监理人；</w:t>
            </w:r>
          </w:p>
          <w:p w14:paraId="2B17BA1A">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⑦为本标段的代建人；</w:t>
            </w:r>
          </w:p>
          <w:p w14:paraId="38CD256C">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⑧为本标段的招标代理机构；</w:t>
            </w:r>
          </w:p>
          <w:p w14:paraId="0226EB92">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⑨与本标段的监理人或代建人或招标代理机构同为一个法定代表人；</w:t>
            </w:r>
          </w:p>
          <w:p w14:paraId="0A5BF4D5">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⑩与本标段的监理人或代建人或招标代理机构存在控股或参股关系；</w:t>
            </w:r>
          </w:p>
          <w:p w14:paraId="5552042D">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eastAsia="宋体" w:cs="宋体"/>
                <w:color w:val="auto"/>
                <w:kern w:val="0"/>
                <w:szCs w:val="21"/>
                <w:highlight w:val="none"/>
              </w:rPr>
              <w:t>⑪</w:t>
            </w:r>
            <w:r>
              <w:rPr>
                <w:rFonts w:hint="eastAsia" w:ascii="宋体" w:hAnsi="宋体" w:cs="宋体"/>
                <w:color w:val="auto"/>
                <w:kern w:val="0"/>
                <w:szCs w:val="21"/>
                <w:highlight w:val="none"/>
              </w:rPr>
              <w:t>法律法规或投标人须知前附表规定的其他情形。</w:t>
            </w:r>
          </w:p>
          <w:p w14:paraId="63E2D399">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1.4.4投标人不得存在下列不良状况或不良信用记录：</w:t>
            </w:r>
          </w:p>
          <w:p w14:paraId="2585D801">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①被省级及以上交通运输主管部门取消招标项目所在地的投标资格且处于有效期内；</w:t>
            </w:r>
          </w:p>
          <w:p w14:paraId="1C37E044">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②被责令停业，暂扣或吊销执照，或吊销资质证书；</w:t>
            </w:r>
          </w:p>
          <w:p w14:paraId="5564C24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③进入清算程序，或被宣告破产，或其他丧失履约能力的情形；</w:t>
            </w:r>
          </w:p>
          <w:p w14:paraId="5AF44145">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④</w:t>
            </w:r>
            <w:r>
              <w:rPr>
                <w:rFonts w:hint="eastAsia" w:ascii="宋体" w:hAnsi="宋体" w:eastAsia="宋体" w:cs="宋体"/>
                <w:color w:val="auto"/>
                <w:sz w:val="21"/>
                <w:szCs w:val="21"/>
                <w:highlight w:val="none"/>
                <w:lang w:eastAsia="zh-CN"/>
              </w:rPr>
              <w:t>近三年内</w:t>
            </w:r>
            <w:r>
              <w:rPr>
                <w:rFonts w:hint="eastAsia" w:ascii="宋体" w:hAnsi="宋体" w:eastAsia="宋体" w:cs="宋体"/>
                <w:color w:val="auto"/>
                <w:sz w:val="21"/>
                <w:szCs w:val="21"/>
                <w:highlight w:val="none"/>
              </w:rPr>
              <w:t>投标人本企业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法定代表人和项目负责人在“</w:t>
            </w:r>
            <w:r>
              <w:rPr>
                <w:rFonts w:hint="eastAsia" w:ascii="宋体" w:hAnsi="宋体" w:eastAsia="宋体" w:cs="宋体"/>
                <w:color w:val="auto"/>
                <w:sz w:val="21"/>
                <w:szCs w:val="21"/>
                <w:highlight w:val="none"/>
                <w:lang w:val="en-US" w:eastAsia="zh-CN"/>
              </w:rPr>
              <w:t>中国执行信息公开网</w:t>
            </w:r>
            <w:r>
              <w:rPr>
                <w:rFonts w:hint="eastAsia" w:ascii="宋体" w:hAnsi="宋体" w:eastAsia="宋体" w:cs="宋体"/>
                <w:color w:val="auto"/>
                <w:sz w:val="21"/>
                <w:szCs w:val="21"/>
                <w:highlight w:val="none"/>
              </w:rPr>
              <w:t>”网站中未被列入失信被执行人名单的网页截图，“国家企业信用信息公示系统”中未被列入严重违法失信企业名单；以公告发布之日后查询结果为准</w:t>
            </w:r>
            <w:r>
              <w:rPr>
                <w:rFonts w:hint="eastAsia" w:ascii="宋体" w:hAnsi="宋体" w:cs="宋体"/>
                <w:color w:val="auto"/>
                <w:kern w:val="0"/>
                <w:szCs w:val="21"/>
                <w:highlight w:val="none"/>
              </w:rPr>
              <w:t>；</w:t>
            </w:r>
          </w:p>
          <w:p w14:paraId="5FD8CCA3">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⑤近三年内投标人本企业、法定代表人和项目负责人在“ 中国裁判文书网”查询的无行贿犯罪记录，以公告发布之日后查询结果为准；</w:t>
            </w:r>
          </w:p>
          <w:p w14:paraId="6765E640">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⑥法律法规或投标人须知前附表规定的其他情形；</w:t>
            </w:r>
          </w:p>
          <w:p w14:paraId="09679E7D">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⑦在202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年度黑龙江省交通运输厅公路施工企业信用评价或202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年度交通运输部公路施工企业全国综合信用评价中被认定为D级的投标人；联合体的信用等级认定以联合体成员中承担公路工程施工且信用评价等级较低的为准。</w:t>
            </w:r>
          </w:p>
          <w:p w14:paraId="1B047A47">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(8)投标人符合第二章“投标人须知”第1.4.5项规定。</w:t>
            </w:r>
          </w:p>
          <w:p w14:paraId="505579BF">
            <w:pPr>
              <w:widowControl/>
              <w:shd w:val="clear" w:color="auto" w:fill="FFFFFF"/>
              <w:spacing w:line="300" w:lineRule="atLeast"/>
              <w:ind w:firstLine="420"/>
              <w:rPr>
                <w:rFonts w:ascii="微软雅黑" w:hAnsi="微软雅黑" w:eastAsia="微软雅黑" w:cs="宋体"/>
                <w:color w:val="auto"/>
                <w:kern w:val="0"/>
                <w:szCs w:val="21"/>
                <w:highlight w:val="none"/>
              </w:rPr>
            </w:pPr>
            <w:r>
              <w:rPr>
                <w:rFonts w:hint="eastAsia" w:ascii="宋体"/>
                <w:color w:val="auto"/>
                <w:szCs w:val="21"/>
                <w:highlight w:val="none"/>
                <w:lang w:val="en-US" w:eastAsia="zh-CN"/>
              </w:rPr>
              <w:t>如投标人具有公路工程施工总承包一级及以上资质，应列入交通运输部“全国公路建设市场监督管理系统（http://hwdms.mot.gov.cn/）”中的施工企业名录，且投标人名称和资质与该名录中的相应企业名称和资质完全一致</w:t>
            </w:r>
            <w:r>
              <w:rPr>
                <w:rFonts w:hint="eastAsia" w:ascii="宋体" w:hAnsi="宋体" w:cs="宋体"/>
                <w:color w:val="auto"/>
                <w:kern w:val="0"/>
                <w:szCs w:val="21"/>
                <w:highlight w:val="none"/>
              </w:rPr>
              <w:t>。</w:t>
            </w:r>
          </w:p>
          <w:p w14:paraId="4D90AC58">
            <w:pPr>
              <w:widowControl/>
              <w:shd w:val="clear" w:color="auto" w:fill="FFFFFF"/>
              <w:spacing w:line="300" w:lineRule="atLeast"/>
              <w:ind w:firstLine="420"/>
              <w:rPr>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9</w:t>
            </w:r>
            <w:r>
              <w:rPr>
                <w:rFonts w:hint="eastAsia" w:ascii="宋体" w:hAnsi="宋体" w:cs="宋体"/>
                <w:color w:val="auto"/>
                <w:kern w:val="0"/>
                <w:szCs w:val="21"/>
                <w:highlight w:val="none"/>
              </w:rPr>
              <w:t>)不存在违反法律、法规的其他情形。</w:t>
            </w:r>
          </w:p>
        </w:tc>
      </w:tr>
      <w:tr w14:paraId="65B96E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479" w:hRule="atLeast"/>
        </w:trPr>
        <w:tc>
          <w:tcPr>
            <w:tcW w:w="1159" w:type="pct"/>
            <w:gridSpan w:val="2"/>
            <w:vAlign w:val="center"/>
          </w:tcPr>
          <w:p w14:paraId="1690A077">
            <w:pPr>
              <w:pStyle w:val="6"/>
              <w:rPr>
                <w:b/>
                <w:color w:val="auto"/>
                <w:sz w:val="21"/>
                <w:szCs w:val="21"/>
                <w:highlight w:val="none"/>
                <w:lang w:eastAsia="en-US"/>
              </w:rPr>
            </w:pPr>
            <w:r>
              <w:rPr>
                <w:rFonts w:hint="eastAsia"/>
                <w:b/>
                <w:color w:val="auto"/>
                <w:sz w:val="21"/>
                <w:szCs w:val="21"/>
                <w:highlight w:val="none"/>
                <w:lang w:eastAsia="en-US"/>
              </w:rPr>
              <w:t>条款号</w:t>
            </w:r>
          </w:p>
        </w:tc>
        <w:tc>
          <w:tcPr>
            <w:tcW w:w="870" w:type="pct"/>
            <w:vAlign w:val="center"/>
          </w:tcPr>
          <w:p w14:paraId="2BAEC89C">
            <w:pPr>
              <w:pStyle w:val="6"/>
              <w:rPr>
                <w:b/>
                <w:color w:val="auto"/>
                <w:sz w:val="21"/>
                <w:szCs w:val="21"/>
                <w:highlight w:val="none"/>
                <w:lang w:eastAsia="en-US"/>
              </w:rPr>
            </w:pPr>
            <w:r>
              <w:rPr>
                <w:rFonts w:hint="eastAsia"/>
                <w:b/>
                <w:color w:val="auto"/>
                <w:sz w:val="21"/>
                <w:szCs w:val="21"/>
                <w:highlight w:val="none"/>
                <w:lang w:eastAsia="en-US"/>
              </w:rPr>
              <w:t>条款内容</w:t>
            </w:r>
          </w:p>
        </w:tc>
        <w:tc>
          <w:tcPr>
            <w:tcW w:w="2971" w:type="pct"/>
            <w:vAlign w:val="center"/>
          </w:tcPr>
          <w:p w14:paraId="49B04BCE">
            <w:pPr>
              <w:pStyle w:val="6"/>
              <w:rPr>
                <w:b/>
                <w:color w:val="auto"/>
                <w:sz w:val="21"/>
                <w:szCs w:val="21"/>
                <w:highlight w:val="none"/>
                <w:lang w:eastAsia="en-US"/>
              </w:rPr>
            </w:pPr>
            <w:r>
              <w:rPr>
                <w:rFonts w:hint="eastAsia"/>
                <w:b/>
                <w:color w:val="auto"/>
                <w:sz w:val="21"/>
                <w:szCs w:val="21"/>
                <w:highlight w:val="none"/>
                <w:lang w:eastAsia="en-US"/>
              </w:rPr>
              <w:t>编列内容</w:t>
            </w:r>
          </w:p>
        </w:tc>
      </w:tr>
      <w:tr w14:paraId="1B0763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90" w:hRule="atLeast"/>
        </w:trPr>
        <w:tc>
          <w:tcPr>
            <w:tcW w:w="1159" w:type="pct"/>
            <w:gridSpan w:val="2"/>
            <w:vAlign w:val="center"/>
          </w:tcPr>
          <w:p w14:paraId="186FDA80">
            <w:pPr>
              <w:pStyle w:val="6"/>
              <w:rPr>
                <w:color w:val="auto"/>
                <w:sz w:val="21"/>
                <w:szCs w:val="21"/>
                <w:highlight w:val="none"/>
                <w:lang w:eastAsia="en-US"/>
              </w:rPr>
            </w:pPr>
            <w:r>
              <w:rPr>
                <w:color w:val="auto"/>
                <w:sz w:val="21"/>
                <w:szCs w:val="21"/>
                <w:highlight w:val="none"/>
                <w:lang w:eastAsia="en-US"/>
              </w:rPr>
              <w:t>2.2.1</w:t>
            </w:r>
          </w:p>
        </w:tc>
        <w:tc>
          <w:tcPr>
            <w:tcW w:w="870" w:type="pct"/>
            <w:vAlign w:val="center"/>
          </w:tcPr>
          <w:p w14:paraId="75A1B394">
            <w:pPr>
              <w:pStyle w:val="6"/>
              <w:jc w:val="both"/>
              <w:rPr>
                <w:color w:val="auto"/>
                <w:sz w:val="21"/>
                <w:szCs w:val="21"/>
                <w:highlight w:val="none"/>
              </w:rPr>
            </w:pPr>
            <w:r>
              <w:rPr>
                <w:rFonts w:hint="eastAsia"/>
                <w:color w:val="auto"/>
                <w:sz w:val="21"/>
                <w:szCs w:val="21"/>
                <w:highlight w:val="none"/>
              </w:rPr>
              <w:t>第一个信封评分分值构成（总分</w:t>
            </w:r>
            <w:r>
              <w:rPr>
                <w:color w:val="auto"/>
                <w:sz w:val="21"/>
                <w:szCs w:val="21"/>
                <w:highlight w:val="none"/>
              </w:rPr>
              <w:t>100</w:t>
            </w:r>
            <w:r>
              <w:rPr>
                <w:rFonts w:hint="eastAsia"/>
                <w:color w:val="auto"/>
                <w:sz w:val="21"/>
                <w:szCs w:val="21"/>
                <w:highlight w:val="none"/>
              </w:rPr>
              <w:t>分）</w:t>
            </w:r>
          </w:p>
        </w:tc>
        <w:tc>
          <w:tcPr>
            <w:tcW w:w="2971" w:type="pct"/>
            <w:vAlign w:val="center"/>
          </w:tcPr>
          <w:p w14:paraId="1A99338D">
            <w:pPr>
              <w:pStyle w:val="6"/>
              <w:spacing w:line="360" w:lineRule="exact"/>
              <w:ind w:right="91"/>
              <w:jc w:val="left"/>
              <w:rPr>
                <w:color w:val="auto"/>
                <w:sz w:val="21"/>
                <w:szCs w:val="21"/>
                <w:highlight w:val="none"/>
              </w:rPr>
            </w:pPr>
            <w:r>
              <w:rPr>
                <w:rFonts w:hint="eastAsia"/>
                <w:color w:val="auto"/>
                <w:sz w:val="21"/>
                <w:szCs w:val="21"/>
                <w:highlight w:val="none"/>
              </w:rPr>
              <w:t>施工组织设计：</w:t>
            </w:r>
            <w:r>
              <w:rPr>
                <w:rFonts w:hint="eastAsia"/>
                <w:color w:val="auto"/>
                <w:sz w:val="21"/>
                <w:szCs w:val="21"/>
                <w:highlight w:val="none"/>
                <w:lang w:val="en-US" w:eastAsia="zh-CN"/>
              </w:rPr>
              <w:t>40</w:t>
            </w:r>
            <w:r>
              <w:rPr>
                <w:rFonts w:hint="eastAsia"/>
                <w:color w:val="auto"/>
                <w:sz w:val="21"/>
                <w:szCs w:val="21"/>
                <w:highlight w:val="none"/>
              </w:rPr>
              <w:t>分；</w:t>
            </w:r>
          </w:p>
          <w:p w14:paraId="192F51FC">
            <w:pPr>
              <w:pStyle w:val="6"/>
              <w:spacing w:line="360" w:lineRule="exact"/>
              <w:ind w:right="91"/>
              <w:jc w:val="left"/>
              <w:rPr>
                <w:color w:val="auto"/>
                <w:sz w:val="21"/>
                <w:szCs w:val="21"/>
                <w:highlight w:val="none"/>
              </w:rPr>
            </w:pPr>
            <w:r>
              <w:rPr>
                <w:rFonts w:hint="eastAsia"/>
                <w:color w:val="auto"/>
                <w:sz w:val="21"/>
                <w:szCs w:val="21"/>
                <w:highlight w:val="none"/>
              </w:rPr>
              <w:t>主要人员：</w:t>
            </w:r>
            <w:r>
              <w:rPr>
                <w:rFonts w:hint="eastAsia"/>
                <w:color w:val="auto"/>
                <w:sz w:val="21"/>
                <w:szCs w:val="21"/>
                <w:highlight w:val="none"/>
                <w:lang w:val="en-US" w:eastAsia="zh-CN"/>
              </w:rPr>
              <w:t>30</w:t>
            </w:r>
            <w:r>
              <w:rPr>
                <w:rFonts w:hint="eastAsia"/>
                <w:color w:val="auto"/>
                <w:sz w:val="21"/>
                <w:szCs w:val="21"/>
                <w:highlight w:val="none"/>
              </w:rPr>
              <w:t>分；</w:t>
            </w:r>
          </w:p>
          <w:p w14:paraId="1BB7F47F">
            <w:pPr>
              <w:pStyle w:val="6"/>
              <w:spacing w:line="360" w:lineRule="exact"/>
              <w:ind w:right="91"/>
              <w:jc w:val="left"/>
              <w:rPr>
                <w:color w:val="auto"/>
                <w:sz w:val="21"/>
                <w:szCs w:val="21"/>
                <w:highlight w:val="none"/>
              </w:rPr>
            </w:pPr>
            <w:r>
              <w:rPr>
                <w:rFonts w:hint="eastAsia"/>
                <w:color w:val="auto"/>
                <w:sz w:val="21"/>
                <w:szCs w:val="21"/>
                <w:highlight w:val="none"/>
                <w:lang w:val="en-US"/>
              </w:rPr>
              <w:t>科研开发和技术创新能力</w:t>
            </w: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rPr>
              <w:t>分；</w:t>
            </w:r>
          </w:p>
          <w:p w14:paraId="2691CC93">
            <w:pPr>
              <w:pStyle w:val="6"/>
              <w:spacing w:line="360" w:lineRule="exact"/>
              <w:ind w:right="91"/>
              <w:jc w:val="left"/>
              <w:rPr>
                <w:color w:val="auto"/>
                <w:sz w:val="21"/>
                <w:szCs w:val="21"/>
                <w:highlight w:val="none"/>
              </w:rPr>
            </w:pPr>
            <w:r>
              <w:rPr>
                <w:rFonts w:hint="eastAsia"/>
                <w:color w:val="auto"/>
                <w:sz w:val="21"/>
                <w:szCs w:val="21"/>
                <w:highlight w:val="none"/>
              </w:rPr>
              <w:t>履约信誉：1</w:t>
            </w:r>
            <w:r>
              <w:rPr>
                <w:rFonts w:hint="eastAsia"/>
                <w:color w:val="auto"/>
                <w:sz w:val="21"/>
                <w:szCs w:val="21"/>
                <w:highlight w:val="none"/>
                <w:lang w:val="en-US" w:eastAsia="zh-CN"/>
              </w:rPr>
              <w:t>5</w:t>
            </w:r>
            <w:r>
              <w:rPr>
                <w:rFonts w:hint="eastAsia"/>
                <w:color w:val="auto"/>
                <w:sz w:val="21"/>
                <w:szCs w:val="21"/>
                <w:highlight w:val="none"/>
              </w:rPr>
              <w:t>分。</w:t>
            </w:r>
          </w:p>
          <w:p w14:paraId="47FF4D14">
            <w:pPr>
              <w:pStyle w:val="6"/>
              <w:spacing w:line="360" w:lineRule="exact"/>
              <w:ind w:right="91"/>
              <w:jc w:val="left"/>
              <w:rPr>
                <w:color w:val="auto"/>
                <w:sz w:val="21"/>
                <w:szCs w:val="21"/>
                <w:highlight w:val="none"/>
                <w:lang w:val="en-US"/>
              </w:rPr>
            </w:pPr>
            <w:r>
              <w:rPr>
                <w:rFonts w:hint="eastAsia"/>
                <w:color w:val="auto"/>
                <w:sz w:val="21"/>
                <w:szCs w:val="21"/>
                <w:highlight w:val="none"/>
              </w:rPr>
              <w:t>具体的评分标准见评标办法附件（第一个信封评分标准）</w:t>
            </w:r>
          </w:p>
        </w:tc>
      </w:tr>
      <w:tr w14:paraId="478A94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408" w:hRule="atLeast"/>
        </w:trPr>
        <w:tc>
          <w:tcPr>
            <w:tcW w:w="1159" w:type="pct"/>
            <w:gridSpan w:val="2"/>
            <w:vAlign w:val="center"/>
          </w:tcPr>
          <w:p w14:paraId="7C6E303F">
            <w:pPr>
              <w:pStyle w:val="6"/>
              <w:spacing w:before="1"/>
              <w:ind w:left="678" w:right="669"/>
              <w:rPr>
                <w:color w:val="auto"/>
                <w:sz w:val="21"/>
                <w:szCs w:val="21"/>
                <w:highlight w:val="none"/>
              </w:rPr>
            </w:pPr>
            <w:r>
              <w:rPr>
                <w:color w:val="auto"/>
                <w:sz w:val="21"/>
                <w:szCs w:val="21"/>
                <w:highlight w:val="none"/>
                <w:lang w:eastAsia="en-US"/>
              </w:rPr>
              <w:t>2.2.</w:t>
            </w:r>
            <w:r>
              <w:rPr>
                <w:color w:val="auto"/>
                <w:sz w:val="21"/>
                <w:szCs w:val="21"/>
                <w:highlight w:val="none"/>
              </w:rPr>
              <w:t>3</w:t>
            </w:r>
          </w:p>
        </w:tc>
        <w:tc>
          <w:tcPr>
            <w:tcW w:w="870" w:type="pct"/>
            <w:vAlign w:val="center"/>
          </w:tcPr>
          <w:p w14:paraId="6A5FA0F7">
            <w:pPr>
              <w:pStyle w:val="6"/>
              <w:spacing w:before="128"/>
              <w:ind w:right="110"/>
              <w:jc w:val="both"/>
              <w:rPr>
                <w:color w:val="auto"/>
                <w:sz w:val="21"/>
                <w:szCs w:val="21"/>
                <w:highlight w:val="none"/>
              </w:rPr>
            </w:pPr>
            <w:r>
              <w:rPr>
                <w:rFonts w:hint="eastAsia"/>
                <w:color w:val="auto"/>
                <w:sz w:val="21"/>
                <w:szCs w:val="21"/>
                <w:highlight w:val="none"/>
              </w:rPr>
              <w:t>第二个信封详细评审标准</w:t>
            </w:r>
          </w:p>
        </w:tc>
        <w:tc>
          <w:tcPr>
            <w:tcW w:w="2971" w:type="pct"/>
            <w:vAlign w:val="center"/>
          </w:tcPr>
          <w:p w14:paraId="06990805">
            <w:pPr>
              <w:pStyle w:val="6"/>
              <w:spacing w:line="360" w:lineRule="exact"/>
              <w:ind w:right="91"/>
              <w:jc w:val="left"/>
              <w:rPr>
                <w:color w:val="auto"/>
                <w:sz w:val="21"/>
                <w:szCs w:val="21"/>
                <w:highlight w:val="none"/>
              </w:rPr>
            </w:pPr>
            <w:r>
              <w:rPr>
                <w:rFonts w:hint="eastAsia"/>
                <w:color w:val="auto"/>
                <w:sz w:val="21"/>
                <w:szCs w:val="21"/>
                <w:highlight w:val="none"/>
              </w:rPr>
              <w:t>评标价计算公式：</w:t>
            </w:r>
          </w:p>
          <w:p w14:paraId="214C40B3">
            <w:pPr>
              <w:pStyle w:val="6"/>
              <w:spacing w:line="360" w:lineRule="exact"/>
              <w:ind w:right="91"/>
              <w:jc w:val="left"/>
              <w:rPr>
                <w:color w:val="auto"/>
                <w:sz w:val="21"/>
                <w:szCs w:val="21"/>
                <w:highlight w:val="none"/>
                <w:lang w:val="en-US"/>
              </w:rPr>
            </w:pPr>
            <w:r>
              <w:rPr>
                <w:rFonts w:hint="eastAsia"/>
                <w:color w:val="auto"/>
                <w:sz w:val="21"/>
                <w:szCs w:val="21"/>
                <w:highlight w:val="none"/>
              </w:rPr>
              <w:t>评标价</w:t>
            </w:r>
            <w:r>
              <w:rPr>
                <w:color w:val="auto"/>
                <w:sz w:val="21"/>
                <w:szCs w:val="21"/>
                <w:highlight w:val="none"/>
              </w:rPr>
              <w:t>=</w:t>
            </w:r>
            <w:r>
              <w:rPr>
                <w:rFonts w:hint="eastAsia"/>
                <w:color w:val="auto"/>
                <w:sz w:val="21"/>
                <w:szCs w:val="21"/>
                <w:highlight w:val="none"/>
              </w:rPr>
              <w:t>投标函文字报价</w:t>
            </w:r>
          </w:p>
        </w:tc>
      </w:tr>
      <w:tr w14:paraId="019A84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95" w:hRule="atLeast"/>
        </w:trPr>
        <w:tc>
          <w:tcPr>
            <w:tcW w:w="1159" w:type="pct"/>
            <w:gridSpan w:val="2"/>
            <w:vAlign w:val="center"/>
          </w:tcPr>
          <w:p w14:paraId="5CFCC08D">
            <w:pPr>
              <w:pStyle w:val="6"/>
              <w:ind w:left="673" w:right="661"/>
              <w:rPr>
                <w:color w:val="auto"/>
                <w:sz w:val="21"/>
                <w:szCs w:val="21"/>
                <w:highlight w:val="none"/>
                <w:lang w:eastAsia="en-US"/>
              </w:rPr>
            </w:pPr>
            <w:r>
              <w:rPr>
                <w:color w:val="auto"/>
                <w:sz w:val="21"/>
                <w:szCs w:val="21"/>
                <w:highlight w:val="none"/>
                <w:lang w:eastAsia="en-US"/>
              </w:rPr>
              <w:t>3.2.4</w:t>
            </w:r>
          </w:p>
        </w:tc>
        <w:tc>
          <w:tcPr>
            <w:tcW w:w="870" w:type="pct"/>
            <w:vAlign w:val="center"/>
          </w:tcPr>
          <w:p w14:paraId="28534451">
            <w:pPr>
              <w:pStyle w:val="6"/>
              <w:ind w:right="113"/>
              <w:jc w:val="both"/>
              <w:rPr>
                <w:color w:val="auto"/>
                <w:sz w:val="21"/>
                <w:szCs w:val="21"/>
                <w:highlight w:val="none"/>
              </w:rPr>
            </w:pPr>
            <w:r>
              <w:rPr>
                <w:rFonts w:hint="eastAsia"/>
                <w:color w:val="auto"/>
                <w:sz w:val="21"/>
                <w:szCs w:val="21"/>
                <w:highlight w:val="none"/>
              </w:rPr>
              <w:t>通过第一个信封详细评审的投标人数量</w:t>
            </w:r>
          </w:p>
        </w:tc>
        <w:tc>
          <w:tcPr>
            <w:tcW w:w="2971" w:type="pct"/>
            <w:vAlign w:val="center"/>
          </w:tcPr>
          <w:p w14:paraId="0AE12102">
            <w:pPr>
              <w:pStyle w:val="6"/>
              <w:spacing w:line="360" w:lineRule="exact"/>
              <w:jc w:val="both"/>
              <w:rPr>
                <w:color w:val="auto"/>
                <w:sz w:val="21"/>
                <w:szCs w:val="21"/>
                <w:highlight w:val="none"/>
              </w:rPr>
            </w:pPr>
            <w:r>
              <w:rPr>
                <w:rFonts w:hint="eastAsia"/>
                <w:color w:val="auto"/>
                <w:sz w:val="21"/>
                <w:szCs w:val="21"/>
                <w:highlight w:val="none"/>
              </w:rPr>
              <w:t>按照投标人的商务和技术得分由高到低的顺序排序，选择前3名通过详细评审</w:t>
            </w:r>
          </w:p>
        </w:tc>
      </w:tr>
      <w:tr w14:paraId="48A696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95" w:hRule="atLeast"/>
        </w:trPr>
        <w:tc>
          <w:tcPr>
            <w:tcW w:w="1159" w:type="pct"/>
            <w:gridSpan w:val="2"/>
            <w:vAlign w:val="center"/>
          </w:tcPr>
          <w:p w14:paraId="277DC1A8">
            <w:pPr>
              <w:pStyle w:val="6"/>
              <w:ind w:right="113"/>
              <w:rPr>
                <w:rFonts w:ascii="微软雅黑" w:hAnsi="微软雅黑" w:eastAsia="微软雅黑"/>
                <w:color w:val="auto"/>
                <w:sz w:val="21"/>
                <w:szCs w:val="21"/>
                <w:highlight w:val="none"/>
              </w:rPr>
            </w:pPr>
            <w:r>
              <w:rPr>
                <w:rFonts w:hint="eastAsia"/>
                <w:color w:val="auto"/>
                <w:sz w:val="21"/>
                <w:szCs w:val="21"/>
                <w:highlight w:val="none"/>
              </w:rPr>
              <w:t>3.2.5</w:t>
            </w:r>
          </w:p>
        </w:tc>
        <w:tc>
          <w:tcPr>
            <w:tcW w:w="870" w:type="pct"/>
            <w:vAlign w:val="center"/>
          </w:tcPr>
          <w:p w14:paraId="7246D99F">
            <w:pPr>
              <w:pStyle w:val="6"/>
              <w:ind w:right="113"/>
              <w:jc w:val="both"/>
              <w:rPr>
                <w:color w:val="auto"/>
                <w:sz w:val="21"/>
                <w:szCs w:val="21"/>
                <w:highlight w:val="none"/>
              </w:rPr>
            </w:pPr>
            <w:r>
              <w:rPr>
                <w:rFonts w:hint="eastAsia"/>
                <w:color w:val="auto"/>
                <w:sz w:val="21"/>
                <w:szCs w:val="21"/>
                <w:highlight w:val="none"/>
              </w:rPr>
              <w:t>详细评审数量</w:t>
            </w:r>
          </w:p>
        </w:tc>
        <w:tc>
          <w:tcPr>
            <w:tcW w:w="2971" w:type="pct"/>
            <w:vAlign w:val="center"/>
          </w:tcPr>
          <w:p w14:paraId="166317B5">
            <w:pPr>
              <w:pStyle w:val="6"/>
              <w:ind w:right="113"/>
              <w:jc w:val="both"/>
              <w:rPr>
                <w:rFonts w:ascii="微软雅黑" w:hAnsi="微软雅黑" w:eastAsia="微软雅黑"/>
                <w:color w:val="auto"/>
                <w:sz w:val="21"/>
                <w:szCs w:val="21"/>
                <w:highlight w:val="none"/>
              </w:rPr>
            </w:pPr>
            <w:r>
              <w:rPr>
                <w:rFonts w:hint="eastAsia"/>
                <w:color w:val="auto"/>
                <w:sz w:val="21"/>
                <w:szCs w:val="21"/>
                <w:highlight w:val="none"/>
              </w:rPr>
              <w:t>本项内容补充：通过第一个信封（商务及技术文件）评审的投标人数量少于3名的，可以否决全部投标，未否决全部投标的，评标委员会应当在评标报告中阐明理由并推荐中标候选人。进行第二信封报价文件开标，但评标委员会在进行报价文件评审时仍有权否决全部投标；评标委员会未在报价文件评审时否决全部投标的，当在评标报告中阐明理由并推荐中标候选人。</w:t>
            </w:r>
          </w:p>
        </w:tc>
      </w:tr>
      <w:tr w14:paraId="4F1DA9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95" w:hRule="atLeast"/>
        </w:trPr>
        <w:tc>
          <w:tcPr>
            <w:tcW w:w="5000" w:type="pct"/>
            <w:gridSpan w:val="4"/>
            <w:tcBorders>
              <w:bottom w:val="single" w:color="000000" w:sz="12" w:space="0"/>
            </w:tcBorders>
            <w:vAlign w:val="center"/>
          </w:tcPr>
          <w:p w14:paraId="3C89E5C3">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3.10需要补充的其他内容：</w:t>
            </w:r>
          </w:p>
          <w:p w14:paraId="284F4F4E">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3.10.1投标人的商务和技术得分相同时，评标委员会依次按照以下优先顺序确定通过第一个信封（商务及技术文件）详细评审的投标人名单：</w:t>
            </w:r>
          </w:p>
          <w:p w14:paraId="0BA15C37">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w:t>
            </w:r>
            <w:r>
              <w:rPr>
                <w:rFonts w:hint="eastAsia"/>
                <w:color w:val="auto"/>
                <w:sz w:val="21"/>
                <w:szCs w:val="21"/>
                <w:highlight w:val="none"/>
                <w:lang w:val="en-US" w:eastAsia="zh-CN"/>
              </w:rPr>
              <w:t>1</w:t>
            </w:r>
            <w:r>
              <w:rPr>
                <w:rFonts w:hint="eastAsia"/>
                <w:color w:val="auto"/>
                <w:sz w:val="21"/>
                <w:szCs w:val="21"/>
                <w:highlight w:val="none"/>
                <w:lang w:val="en-US"/>
              </w:rPr>
              <w:t>)施工组织设计得分较高的投标人优先。</w:t>
            </w:r>
          </w:p>
          <w:p w14:paraId="24F2CF1C">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3.10.2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p w14:paraId="2283E9CF">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3.10.3本招标项目要求投标人按照招标人提供的工程量固化清单电子文件填写工程量清单，无须按照本章第3.4.2项和第3.4.3项的规定对投标报价进行修正，第3.4.2项至第3.4.4项内容不适用。</w:t>
            </w:r>
          </w:p>
          <w:p w14:paraId="095D70BB">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3.10.4本项目招标人设置成本价评估值。投标人报价低于成本价评估值的，评标委员会可以要求投标人对其投标报价作出书面说明，提供投标报价单价构成说明及相关证明材料（详细的清单预算、主要材料来源及价格证明材料等），并加盖投标人单位公章。投标人未提供或未按规定时间提供或不能证明可以按照其报价以及招标文件规定的质量标准和履行期限完成招标项目的，评标委员会可以认定该投标人以低于成本价竞标，并否决其投标。</w:t>
            </w:r>
          </w:p>
          <w:p w14:paraId="076729AA">
            <w:pPr>
              <w:pStyle w:val="6"/>
              <w:ind w:right="113" w:firstLine="468" w:firstLineChars="223"/>
              <w:jc w:val="left"/>
              <w:rPr>
                <w:color w:val="auto"/>
                <w:sz w:val="21"/>
                <w:szCs w:val="21"/>
                <w:highlight w:val="none"/>
                <w:lang w:val="en-US"/>
              </w:rPr>
            </w:pPr>
            <w:r>
              <w:rPr>
                <w:rFonts w:hint="eastAsia"/>
                <w:color w:val="auto"/>
                <w:sz w:val="21"/>
                <w:szCs w:val="21"/>
                <w:highlight w:val="none"/>
                <w:lang w:val="en-US"/>
              </w:rPr>
              <w:t>成本价评估值=最高投标限价×0.85</w:t>
            </w:r>
          </w:p>
        </w:tc>
      </w:tr>
    </w:tbl>
    <w:p w14:paraId="2684B566">
      <w:pPr>
        <w:rPr>
          <w:color w:val="auto"/>
          <w:highlight w:val="none"/>
        </w:rPr>
        <w:sectPr>
          <w:pgSz w:w="11911" w:h="16849"/>
          <w:pgMar w:top="1440" w:right="1080" w:bottom="1440" w:left="1080" w:header="737" w:footer="567" w:gutter="0"/>
          <w:cols w:space="0" w:num="1"/>
          <w:docGrid w:linePitch="286" w:charSpace="0"/>
        </w:sectPr>
      </w:pPr>
    </w:p>
    <w:tbl>
      <w:tblPr>
        <w:tblStyle w:val="4"/>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13" w:type="dxa"/>
          <w:bottom w:w="0" w:type="dxa"/>
          <w:right w:w="113" w:type="dxa"/>
        </w:tblCellMar>
      </w:tblPr>
      <w:tblGrid>
        <w:gridCol w:w="1209"/>
        <w:gridCol w:w="575"/>
        <w:gridCol w:w="611"/>
        <w:gridCol w:w="843"/>
        <w:gridCol w:w="1343"/>
        <w:gridCol w:w="620"/>
        <w:gridCol w:w="3331"/>
      </w:tblGrid>
      <w:tr w14:paraId="1F4FF8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381" w:hRule="atLeast"/>
          <w:jc w:val="center"/>
        </w:trPr>
        <w:tc>
          <w:tcPr>
            <w:tcW w:w="708" w:type="pct"/>
            <w:vMerge w:val="restart"/>
            <w:tcBorders>
              <w:top w:val="single" w:color="000000" w:sz="12" w:space="0"/>
            </w:tcBorders>
            <w:vAlign w:val="center"/>
          </w:tcPr>
          <w:p w14:paraId="2538AAF1">
            <w:pPr>
              <w:pStyle w:val="6"/>
              <w:rPr>
                <w:b/>
                <w:color w:val="auto"/>
                <w:sz w:val="21"/>
                <w:szCs w:val="21"/>
                <w:highlight w:val="none"/>
                <w:lang w:eastAsia="en-US"/>
              </w:rPr>
            </w:pPr>
            <w:r>
              <w:rPr>
                <w:rFonts w:hint="eastAsia"/>
                <w:b/>
                <w:color w:val="auto"/>
                <w:sz w:val="21"/>
                <w:szCs w:val="21"/>
                <w:highlight w:val="none"/>
                <w:lang w:eastAsia="en-US"/>
              </w:rPr>
              <w:t>条款号</w:t>
            </w:r>
          </w:p>
        </w:tc>
        <w:tc>
          <w:tcPr>
            <w:tcW w:w="2339" w:type="pct"/>
            <w:gridSpan w:val="5"/>
            <w:tcBorders>
              <w:top w:val="single" w:color="000000" w:sz="12" w:space="0"/>
            </w:tcBorders>
            <w:vAlign w:val="center"/>
          </w:tcPr>
          <w:p w14:paraId="3CC40E79">
            <w:pPr>
              <w:pStyle w:val="6"/>
              <w:rPr>
                <w:b/>
                <w:color w:val="auto"/>
                <w:sz w:val="21"/>
                <w:szCs w:val="21"/>
                <w:highlight w:val="none"/>
                <w:lang w:eastAsia="en-US"/>
              </w:rPr>
            </w:pPr>
            <w:r>
              <w:rPr>
                <w:rFonts w:hint="eastAsia"/>
                <w:b/>
                <w:color w:val="auto"/>
                <w:sz w:val="21"/>
                <w:szCs w:val="21"/>
                <w:highlight w:val="none"/>
                <w:lang w:eastAsia="en-US"/>
              </w:rPr>
              <w:t>评分因素与权重分值</w:t>
            </w:r>
          </w:p>
        </w:tc>
        <w:tc>
          <w:tcPr>
            <w:tcW w:w="1951" w:type="pct"/>
            <w:vMerge w:val="restart"/>
            <w:tcBorders>
              <w:top w:val="single" w:color="000000" w:sz="12" w:space="0"/>
            </w:tcBorders>
            <w:vAlign w:val="center"/>
          </w:tcPr>
          <w:p w14:paraId="5FE91503">
            <w:pPr>
              <w:pStyle w:val="6"/>
              <w:rPr>
                <w:b/>
                <w:color w:val="auto"/>
                <w:sz w:val="21"/>
                <w:szCs w:val="21"/>
                <w:highlight w:val="none"/>
                <w:lang w:eastAsia="en-US"/>
              </w:rPr>
            </w:pPr>
            <w:r>
              <w:rPr>
                <w:rFonts w:hint="eastAsia"/>
                <w:b/>
                <w:color w:val="auto"/>
                <w:sz w:val="21"/>
                <w:szCs w:val="21"/>
                <w:highlight w:val="none"/>
                <w:lang w:eastAsia="en-US"/>
              </w:rPr>
              <w:t>评分标准</w:t>
            </w:r>
          </w:p>
        </w:tc>
      </w:tr>
      <w:tr w14:paraId="2B210B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757" w:hRule="atLeast"/>
          <w:jc w:val="center"/>
        </w:trPr>
        <w:tc>
          <w:tcPr>
            <w:tcW w:w="708" w:type="pct"/>
            <w:vMerge w:val="continue"/>
            <w:vAlign w:val="center"/>
          </w:tcPr>
          <w:p w14:paraId="5E5EB0EC">
            <w:pPr>
              <w:pStyle w:val="6"/>
              <w:rPr>
                <w:b/>
                <w:color w:val="auto"/>
                <w:sz w:val="21"/>
                <w:szCs w:val="21"/>
                <w:highlight w:val="none"/>
                <w:lang w:eastAsia="en-US"/>
              </w:rPr>
            </w:pPr>
          </w:p>
        </w:tc>
        <w:tc>
          <w:tcPr>
            <w:tcW w:w="695" w:type="pct"/>
            <w:gridSpan w:val="2"/>
            <w:vAlign w:val="center"/>
          </w:tcPr>
          <w:p w14:paraId="5BDD39D5">
            <w:pPr>
              <w:pStyle w:val="6"/>
              <w:rPr>
                <w:b/>
                <w:color w:val="auto"/>
                <w:sz w:val="21"/>
                <w:szCs w:val="21"/>
                <w:highlight w:val="none"/>
                <w:lang w:eastAsia="en-US"/>
              </w:rPr>
            </w:pPr>
            <w:r>
              <w:rPr>
                <w:rFonts w:hint="eastAsia"/>
                <w:b/>
                <w:color w:val="auto"/>
                <w:sz w:val="21"/>
                <w:szCs w:val="21"/>
                <w:highlight w:val="none"/>
                <w:lang w:eastAsia="en-US"/>
              </w:rPr>
              <w:t>评分因素</w:t>
            </w:r>
          </w:p>
        </w:tc>
        <w:tc>
          <w:tcPr>
            <w:tcW w:w="494" w:type="pct"/>
            <w:vAlign w:val="center"/>
          </w:tcPr>
          <w:p w14:paraId="3CE57621">
            <w:pPr>
              <w:pStyle w:val="6"/>
              <w:rPr>
                <w:b/>
                <w:color w:val="auto"/>
                <w:sz w:val="21"/>
                <w:szCs w:val="21"/>
                <w:highlight w:val="none"/>
                <w:lang w:eastAsia="en-US"/>
              </w:rPr>
            </w:pPr>
            <w:r>
              <w:rPr>
                <w:rFonts w:hint="eastAsia"/>
                <w:b/>
                <w:color w:val="auto"/>
                <w:sz w:val="21"/>
                <w:szCs w:val="21"/>
                <w:highlight w:val="none"/>
                <w:lang w:eastAsia="en-US"/>
              </w:rPr>
              <w:t>评分因素</w:t>
            </w:r>
            <w:r>
              <w:rPr>
                <w:rFonts w:hint="eastAsia"/>
                <w:b/>
                <w:color w:val="auto"/>
                <w:spacing w:val="-1"/>
                <w:sz w:val="21"/>
                <w:szCs w:val="21"/>
                <w:highlight w:val="none"/>
                <w:lang w:eastAsia="en-US"/>
              </w:rPr>
              <w:t>权重分值</w:t>
            </w:r>
          </w:p>
        </w:tc>
        <w:tc>
          <w:tcPr>
            <w:tcW w:w="787" w:type="pct"/>
            <w:vAlign w:val="center"/>
          </w:tcPr>
          <w:p w14:paraId="7509D23D">
            <w:pPr>
              <w:pStyle w:val="6"/>
              <w:rPr>
                <w:b/>
                <w:color w:val="auto"/>
                <w:sz w:val="21"/>
                <w:szCs w:val="21"/>
                <w:highlight w:val="none"/>
                <w:lang w:eastAsia="en-US"/>
              </w:rPr>
            </w:pPr>
            <w:r>
              <w:rPr>
                <w:rFonts w:hint="eastAsia"/>
                <w:b/>
                <w:color w:val="auto"/>
                <w:sz w:val="21"/>
                <w:szCs w:val="21"/>
                <w:highlight w:val="none"/>
                <w:lang w:eastAsia="en-US"/>
              </w:rPr>
              <w:t>各评分因素细分项</w:t>
            </w:r>
          </w:p>
        </w:tc>
        <w:tc>
          <w:tcPr>
            <w:tcW w:w="363" w:type="pct"/>
            <w:vAlign w:val="center"/>
          </w:tcPr>
          <w:p w14:paraId="48EBC53B">
            <w:pPr>
              <w:pStyle w:val="6"/>
              <w:rPr>
                <w:b/>
                <w:color w:val="auto"/>
                <w:sz w:val="21"/>
                <w:szCs w:val="21"/>
                <w:highlight w:val="none"/>
                <w:lang w:eastAsia="en-US"/>
              </w:rPr>
            </w:pPr>
            <w:r>
              <w:rPr>
                <w:rFonts w:hint="eastAsia"/>
                <w:b/>
                <w:color w:val="auto"/>
                <w:sz w:val="21"/>
                <w:szCs w:val="21"/>
                <w:highlight w:val="none"/>
                <w:lang w:eastAsia="en-US"/>
              </w:rPr>
              <w:t>分值</w:t>
            </w:r>
          </w:p>
        </w:tc>
        <w:tc>
          <w:tcPr>
            <w:tcW w:w="1951" w:type="pct"/>
            <w:vMerge w:val="continue"/>
          </w:tcPr>
          <w:p w14:paraId="192C4947">
            <w:pPr>
              <w:jc w:val="center"/>
              <w:rPr>
                <w:rFonts w:ascii="宋体"/>
                <w:color w:val="auto"/>
                <w:szCs w:val="21"/>
                <w:highlight w:val="none"/>
                <w:lang w:eastAsia="en-US"/>
              </w:rPr>
            </w:pPr>
          </w:p>
        </w:tc>
      </w:tr>
      <w:tr w14:paraId="4563B8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263" w:hRule="atLeast"/>
          <w:jc w:val="center"/>
        </w:trPr>
        <w:tc>
          <w:tcPr>
            <w:tcW w:w="708" w:type="pct"/>
            <w:vMerge w:val="restart"/>
            <w:vAlign w:val="center"/>
          </w:tcPr>
          <w:p w14:paraId="0DF4286F">
            <w:pPr>
              <w:pStyle w:val="6"/>
              <w:rPr>
                <w:color w:val="auto"/>
                <w:sz w:val="21"/>
                <w:highlight w:val="none"/>
              </w:rPr>
            </w:pPr>
            <w:r>
              <w:rPr>
                <w:rFonts w:ascii="Times New Roman" w:eastAsia="Times New Roman"/>
                <w:color w:val="auto"/>
                <w:sz w:val="21"/>
                <w:highlight w:val="none"/>
                <w:lang w:eastAsia="en-US"/>
              </w:rPr>
              <w:t>2.2.</w:t>
            </w:r>
            <w:r>
              <w:rPr>
                <w:rFonts w:ascii="Times New Roman"/>
                <w:color w:val="auto"/>
                <w:sz w:val="21"/>
                <w:highlight w:val="none"/>
              </w:rPr>
              <w:t>2</w:t>
            </w:r>
            <w:r>
              <w:rPr>
                <w:rFonts w:hint="eastAsia"/>
                <w:color w:val="auto"/>
                <w:sz w:val="21"/>
                <w:highlight w:val="none"/>
                <w:lang w:eastAsia="en-US"/>
              </w:rPr>
              <w:t>（</w:t>
            </w:r>
            <w:r>
              <w:rPr>
                <w:rFonts w:ascii="Times New Roman" w:eastAsia="Times New Roman"/>
                <w:color w:val="auto"/>
                <w:sz w:val="21"/>
                <w:highlight w:val="none"/>
                <w:lang w:eastAsia="en-US"/>
              </w:rPr>
              <w:t>1</w:t>
            </w:r>
            <w:r>
              <w:rPr>
                <w:rFonts w:hint="eastAsia"/>
                <w:color w:val="auto"/>
                <w:sz w:val="21"/>
                <w:highlight w:val="none"/>
                <w:lang w:eastAsia="en-US"/>
              </w:rPr>
              <w:t>）</w:t>
            </w:r>
          </w:p>
        </w:tc>
        <w:tc>
          <w:tcPr>
            <w:tcW w:w="695" w:type="pct"/>
            <w:gridSpan w:val="2"/>
            <w:vMerge w:val="restart"/>
            <w:vAlign w:val="center"/>
          </w:tcPr>
          <w:p w14:paraId="04040F1C">
            <w:pPr>
              <w:widowControl/>
              <w:jc w:val="center"/>
              <w:rPr>
                <w:rFonts w:ascii="宋体"/>
                <w:color w:val="auto"/>
                <w:kern w:val="0"/>
                <w:szCs w:val="21"/>
                <w:highlight w:val="none"/>
                <w:lang w:eastAsia="en-US"/>
              </w:rPr>
            </w:pPr>
            <w:r>
              <w:rPr>
                <w:rFonts w:hint="eastAsia" w:ascii="宋体" w:hAnsi="宋体"/>
                <w:color w:val="auto"/>
                <w:szCs w:val="21"/>
                <w:highlight w:val="none"/>
                <w:lang w:eastAsia="en-US"/>
              </w:rPr>
              <w:t>施工组织设计</w:t>
            </w:r>
          </w:p>
        </w:tc>
        <w:tc>
          <w:tcPr>
            <w:tcW w:w="494" w:type="pct"/>
            <w:vMerge w:val="restart"/>
            <w:vAlign w:val="center"/>
          </w:tcPr>
          <w:p w14:paraId="3396BD78">
            <w:pPr>
              <w:widowControl/>
              <w:jc w:val="center"/>
              <w:rPr>
                <w:rFonts w:ascii="宋体"/>
                <w:color w:val="auto"/>
                <w:kern w:val="0"/>
                <w:szCs w:val="21"/>
                <w:highlight w:val="none"/>
                <w:lang w:eastAsia="en-US"/>
              </w:rPr>
            </w:pPr>
            <w:r>
              <w:rPr>
                <w:rFonts w:hint="eastAsia" w:ascii="宋体" w:hAnsi="宋体"/>
                <w:color w:val="auto"/>
                <w:kern w:val="0"/>
                <w:szCs w:val="21"/>
                <w:highlight w:val="none"/>
                <w:lang w:val="en-US" w:eastAsia="zh-CN"/>
              </w:rPr>
              <w:t>40</w:t>
            </w:r>
            <w:r>
              <w:rPr>
                <w:rFonts w:hint="eastAsia" w:ascii="宋体" w:hAnsi="宋体"/>
                <w:color w:val="auto"/>
                <w:kern w:val="0"/>
                <w:szCs w:val="21"/>
                <w:highlight w:val="none"/>
                <w:lang w:eastAsia="en-US"/>
              </w:rPr>
              <w:t>分</w:t>
            </w:r>
          </w:p>
        </w:tc>
        <w:tc>
          <w:tcPr>
            <w:tcW w:w="787" w:type="pct"/>
            <w:vAlign w:val="center"/>
          </w:tcPr>
          <w:p w14:paraId="48848E63">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施工总体计划</w:t>
            </w:r>
          </w:p>
        </w:tc>
        <w:tc>
          <w:tcPr>
            <w:tcW w:w="363" w:type="pct"/>
            <w:vAlign w:val="center"/>
          </w:tcPr>
          <w:p w14:paraId="2029319D">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951" w:type="pct"/>
            <w:vAlign w:val="center"/>
          </w:tcPr>
          <w:p w14:paraId="203BEFAD">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①项目进度目标、质量目标、安全目标及施工组织计划详细程度、合理性、针对性一般的，得4.8～5.6分；</w:t>
            </w:r>
          </w:p>
          <w:p w14:paraId="36B3BF57">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②项目进度目标、质量目标、安全目标及施工组织计划详细程度、合理性、针对性较强的，得5.6～6.4分；</w:t>
            </w:r>
          </w:p>
          <w:p w14:paraId="7EAB9D9A">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③项目进度目标、质量目标、安全目标及施工组织计划详细程度、合理性、针对性强的，得6.4～8分。</w:t>
            </w:r>
          </w:p>
        </w:tc>
      </w:tr>
      <w:tr w14:paraId="27849D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888" w:hRule="atLeast"/>
          <w:jc w:val="center"/>
        </w:trPr>
        <w:tc>
          <w:tcPr>
            <w:tcW w:w="708" w:type="pct"/>
            <w:vMerge w:val="continue"/>
            <w:vAlign w:val="center"/>
          </w:tcPr>
          <w:p w14:paraId="0801D6F9">
            <w:pPr>
              <w:pStyle w:val="6"/>
              <w:rPr>
                <w:rFonts w:ascii="Times New Roman" w:eastAsia="Times New Roman"/>
                <w:color w:val="auto"/>
                <w:sz w:val="21"/>
                <w:highlight w:val="none"/>
              </w:rPr>
            </w:pPr>
          </w:p>
        </w:tc>
        <w:tc>
          <w:tcPr>
            <w:tcW w:w="695" w:type="pct"/>
            <w:gridSpan w:val="2"/>
            <w:vMerge w:val="continue"/>
            <w:vAlign w:val="center"/>
          </w:tcPr>
          <w:p w14:paraId="485F132C">
            <w:pPr>
              <w:widowControl/>
              <w:jc w:val="center"/>
              <w:rPr>
                <w:rFonts w:ascii="宋体"/>
                <w:color w:val="auto"/>
                <w:sz w:val="22"/>
                <w:szCs w:val="21"/>
                <w:highlight w:val="none"/>
              </w:rPr>
            </w:pPr>
          </w:p>
        </w:tc>
        <w:tc>
          <w:tcPr>
            <w:tcW w:w="494" w:type="pct"/>
            <w:vMerge w:val="continue"/>
            <w:vAlign w:val="center"/>
          </w:tcPr>
          <w:p w14:paraId="2686E7FC">
            <w:pPr>
              <w:widowControl/>
              <w:jc w:val="center"/>
              <w:rPr>
                <w:rFonts w:ascii="宋体"/>
                <w:color w:val="auto"/>
                <w:kern w:val="0"/>
                <w:sz w:val="22"/>
                <w:szCs w:val="21"/>
                <w:highlight w:val="none"/>
              </w:rPr>
            </w:pPr>
          </w:p>
        </w:tc>
        <w:tc>
          <w:tcPr>
            <w:tcW w:w="787" w:type="pct"/>
            <w:vAlign w:val="center"/>
          </w:tcPr>
          <w:p w14:paraId="0F80ECEE">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重点、关键和难点工程的施工方案、方法与技术措施</w:t>
            </w:r>
          </w:p>
        </w:tc>
        <w:tc>
          <w:tcPr>
            <w:tcW w:w="363" w:type="pct"/>
            <w:vAlign w:val="center"/>
          </w:tcPr>
          <w:p w14:paraId="48C3AC61">
            <w:pPr>
              <w:widowControl/>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951" w:type="pct"/>
            <w:vAlign w:val="center"/>
          </w:tcPr>
          <w:p w14:paraId="298E0D22">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①重点、关键和难点工程的施工方案、方法与技术措施一般，得 4.8～5.6分；</w:t>
            </w:r>
          </w:p>
          <w:p w14:paraId="62A25B9C">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②重点、关键和难点工程的施工方案、方法与技术措施比较详细、比较合理，操作性较强，得5.6～6.4分；</w:t>
            </w:r>
          </w:p>
          <w:p w14:paraId="14718FCA">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③重点、关键和难点工程的施工方案、方法与技术措施详细、合理，操作性强，得6.4～8分。</w:t>
            </w:r>
          </w:p>
        </w:tc>
      </w:tr>
      <w:tr w14:paraId="7D0EBE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207" w:hRule="atLeast"/>
          <w:jc w:val="center"/>
        </w:trPr>
        <w:tc>
          <w:tcPr>
            <w:tcW w:w="708" w:type="pct"/>
            <w:vMerge w:val="continue"/>
            <w:vAlign w:val="center"/>
          </w:tcPr>
          <w:p w14:paraId="2900C95C">
            <w:pPr>
              <w:pStyle w:val="6"/>
              <w:rPr>
                <w:rFonts w:ascii="Times New Roman" w:eastAsia="Times New Roman"/>
                <w:color w:val="auto"/>
                <w:sz w:val="21"/>
                <w:highlight w:val="none"/>
              </w:rPr>
            </w:pPr>
          </w:p>
        </w:tc>
        <w:tc>
          <w:tcPr>
            <w:tcW w:w="695" w:type="pct"/>
            <w:gridSpan w:val="2"/>
            <w:vMerge w:val="continue"/>
            <w:vAlign w:val="center"/>
          </w:tcPr>
          <w:p w14:paraId="0AC2257D">
            <w:pPr>
              <w:widowControl/>
              <w:jc w:val="center"/>
              <w:rPr>
                <w:rFonts w:ascii="宋体"/>
                <w:color w:val="auto"/>
                <w:sz w:val="22"/>
                <w:szCs w:val="21"/>
                <w:highlight w:val="none"/>
              </w:rPr>
            </w:pPr>
          </w:p>
        </w:tc>
        <w:tc>
          <w:tcPr>
            <w:tcW w:w="494" w:type="pct"/>
            <w:vMerge w:val="continue"/>
            <w:vAlign w:val="center"/>
          </w:tcPr>
          <w:p w14:paraId="3B8C45DA">
            <w:pPr>
              <w:widowControl/>
              <w:jc w:val="center"/>
              <w:rPr>
                <w:rFonts w:ascii="宋体"/>
                <w:color w:val="auto"/>
                <w:kern w:val="0"/>
                <w:sz w:val="22"/>
                <w:szCs w:val="21"/>
                <w:highlight w:val="none"/>
              </w:rPr>
            </w:pPr>
          </w:p>
        </w:tc>
        <w:tc>
          <w:tcPr>
            <w:tcW w:w="787" w:type="pct"/>
            <w:vAlign w:val="center"/>
          </w:tcPr>
          <w:p w14:paraId="632E0200">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工期关键线路图及保证措施</w:t>
            </w:r>
          </w:p>
          <w:p w14:paraId="19ED391E">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 </w:t>
            </w:r>
          </w:p>
        </w:tc>
        <w:tc>
          <w:tcPr>
            <w:tcW w:w="363" w:type="pct"/>
            <w:vAlign w:val="center"/>
          </w:tcPr>
          <w:p w14:paraId="6E6A2697">
            <w:pPr>
              <w:widowControl/>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951" w:type="pct"/>
            <w:vAlign w:val="center"/>
          </w:tcPr>
          <w:p w14:paraId="4BB52C96">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①有关键线路图</w:t>
            </w:r>
            <w:r>
              <w:rPr>
                <w:rFonts w:hint="eastAsia" w:ascii="宋体" w:hAnsi="宋体"/>
                <w:color w:val="auto"/>
                <w:szCs w:val="21"/>
                <w:highlight w:val="none"/>
                <w:lang w:val="en-US" w:eastAsia="zh-CN"/>
              </w:rPr>
              <w:t>及</w:t>
            </w:r>
            <w:r>
              <w:rPr>
                <w:rFonts w:hint="eastAsia" w:ascii="宋体" w:hAnsi="宋体"/>
                <w:color w:val="auto"/>
                <w:szCs w:val="21"/>
                <w:highlight w:val="none"/>
                <w:lang w:eastAsia="en-US"/>
              </w:rPr>
              <w:t>保证措施</w:t>
            </w:r>
            <w:r>
              <w:rPr>
                <w:rFonts w:hint="eastAsia" w:ascii="宋体" w:hAnsi="宋体"/>
                <w:color w:val="auto"/>
                <w:szCs w:val="21"/>
                <w:highlight w:val="none"/>
                <w:lang w:val="en-US" w:eastAsia="zh-CN"/>
              </w:rPr>
              <w:t>一般</w:t>
            </w:r>
            <w:r>
              <w:rPr>
                <w:rFonts w:hint="eastAsia" w:ascii="宋体" w:hAnsi="宋体"/>
                <w:color w:val="auto"/>
                <w:szCs w:val="21"/>
                <w:highlight w:val="none"/>
                <w:lang w:eastAsia="en-US"/>
              </w:rPr>
              <w:t>的，得4.8～5.6分；</w:t>
            </w:r>
          </w:p>
          <w:p w14:paraId="48436AF5">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②关键线路图及保证措施较好的，得5.6～6.4分；</w:t>
            </w:r>
          </w:p>
          <w:p w14:paraId="433DAA1C">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③关键线路图及保证措施好的，得6.4～8分。</w:t>
            </w:r>
          </w:p>
        </w:tc>
      </w:tr>
      <w:tr w14:paraId="61A393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308" w:hRule="atLeast"/>
          <w:jc w:val="center"/>
        </w:trPr>
        <w:tc>
          <w:tcPr>
            <w:tcW w:w="708" w:type="pct"/>
            <w:vMerge w:val="continue"/>
            <w:vAlign w:val="center"/>
          </w:tcPr>
          <w:p w14:paraId="066BA5AA">
            <w:pPr>
              <w:pStyle w:val="6"/>
              <w:rPr>
                <w:rFonts w:ascii="Times New Roman" w:eastAsia="Times New Roman"/>
                <w:color w:val="auto"/>
                <w:sz w:val="21"/>
                <w:highlight w:val="none"/>
              </w:rPr>
            </w:pPr>
          </w:p>
        </w:tc>
        <w:tc>
          <w:tcPr>
            <w:tcW w:w="695" w:type="pct"/>
            <w:gridSpan w:val="2"/>
            <w:vMerge w:val="continue"/>
            <w:vAlign w:val="center"/>
          </w:tcPr>
          <w:p w14:paraId="6ED3DB10">
            <w:pPr>
              <w:widowControl/>
              <w:jc w:val="center"/>
              <w:rPr>
                <w:rFonts w:ascii="宋体"/>
                <w:color w:val="auto"/>
                <w:sz w:val="22"/>
                <w:szCs w:val="21"/>
                <w:highlight w:val="none"/>
              </w:rPr>
            </w:pPr>
          </w:p>
        </w:tc>
        <w:tc>
          <w:tcPr>
            <w:tcW w:w="494" w:type="pct"/>
            <w:vMerge w:val="continue"/>
            <w:vAlign w:val="center"/>
          </w:tcPr>
          <w:p w14:paraId="286677B9">
            <w:pPr>
              <w:widowControl/>
              <w:jc w:val="center"/>
              <w:rPr>
                <w:rFonts w:ascii="宋体"/>
                <w:color w:val="auto"/>
                <w:kern w:val="0"/>
                <w:sz w:val="22"/>
                <w:szCs w:val="21"/>
                <w:highlight w:val="none"/>
              </w:rPr>
            </w:pPr>
          </w:p>
        </w:tc>
        <w:tc>
          <w:tcPr>
            <w:tcW w:w="1483" w:type="dxa"/>
            <w:vAlign w:val="center"/>
          </w:tcPr>
          <w:p w14:paraId="6A23A901">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质量、安全、环保措施、保证进度措施及合理化建议</w:t>
            </w:r>
          </w:p>
        </w:tc>
        <w:tc>
          <w:tcPr>
            <w:tcW w:w="684" w:type="dxa"/>
            <w:vAlign w:val="center"/>
          </w:tcPr>
          <w:p w14:paraId="4D141327">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676" w:type="dxa"/>
            <w:vAlign w:val="center"/>
          </w:tcPr>
          <w:p w14:paraId="6DFF9978">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①质量、安全、环保、保证进度措施及合理化建议详细程度、合理性、针对性一般的，得 4.8～5.6分；</w:t>
            </w:r>
          </w:p>
          <w:p w14:paraId="4729FC30">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②质量、安全、环保、保证进度措施及合理化建议详细程度、合理性、针对性较强的，得5.6～6.4分；</w:t>
            </w:r>
          </w:p>
          <w:p w14:paraId="18B42092">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③质量、安全、环保、保证进度措施及合理化建议详细程度、合理性、针对性强的，得6.4～8分。</w:t>
            </w:r>
          </w:p>
        </w:tc>
      </w:tr>
      <w:tr w14:paraId="64D4A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091" w:hRule="atLeast"/>
          <w:jc w:val="center"/>
        </w:trPr>
        <w:tc>
          <w:tcPr>
            <w:tcW w:w="708" w:type="pct"/>
            <w:vMerge w:val="continue"/>
            <w:vAlign w:val="center"/>
          </w:tcPr>
          <w:p w14:paraId="4FBCADAB">
            <w:pPr>
              <w:pStyle w:val="6"/>
              <w:rPr>
                <w:rFonts w:ascii="Times New Roman" w:eastAsia="Times New Roman"/>
                <w:color w:val="auto"/>
                <w:sz w:val="21"/>
                <w:highlight w:val="none"/>
              </w:rPr>
            </w:pPr>
          </w:p>
        </w:tc>
        <w:tc>
          <w:tcPr>
            <w:tcW w:w="695" w:type="pct"/>
            <w:gridSpan w:val="2"/>
            <w:vMerge w:val="continue"/>
            <w:vAlign w:val="center"/>
          </w:tcPr>
          <w:p w14:paraId="66206B57">
            <w:pPr>
              <w:widowControl/>
              <w:jc w:val="center"/>
              <w:rPr>
                <w:rFonts w:ascii="宋体"/>
                <w:color w:val="auto"/>
                <w:sz w:val="22"/>
                <w:szCs w:val="21"/>
                <w:highlight w:val="none"/>
              </w:rPr>
            </w:pPr>
          </w:p>
        </w:tc>
        <w:tc>
          <w:tcPr>
            <w:tcW w:w="494" w:type="pct"/>
            <w:vMerge w:val="continue"/>
            <w:vAlign w:val="center"/>
          </w:tcPr>
          <w:p w14:paraId="247CD37B">
            <w:pPr>
              <w:widowControl/>
              <w:jc w:val="center"/>
              <w:rPr>
                <w:rFonts w:ascii="宋体"/>
                <w:color w:val="auto"/>
                <w:kern w:val="0"/>
                <w:sz w:val="22"/>
                <w:szCs w:val="21"/>
                <w:highlight w:val="none"/>
              </w:rPr>
            </w:pPr>
          </w:p>
        </w:tc>
        <w:tc>
          <w:tcPr>
            <w:tcW w:w="1483" w:type="dxa"/>
            <w:vAlign w:val="center"/>
          </w:tcPr>
          <w:p w14:paraId="6FBAC04D">
            <w:pPr>
              <w:widowControl/>
              <w:jc w:val="center"/>
              <w:rPr>
                <w:rFonts w:hint="eastAsia" w:ascii="宋体" w:hAnsi="宋体"/>
                <w:color w:val="auto"/>
                <w:szCs w:val="21"/>
                <w:highlight w:val="none"/>
                <w:lang w:eastAsia="en-US"/>
              </w:rPr>
            </w:pPr>
            <w:r>
              <w:rPr>
                <w:rFonts w:hint="eastAsia" w:ascii="宋体" w:hAnsi="宋体"/>
                <w:color w:val="auto"/>
                <w:szCs w:val="21"/>
                <w:highlight w:val="none"/>
                <w:lang w:eastAsia="en-US"/>
              </w:rPr>
              <w:t>项目风险预测与防范，事故应急预案</w:t>
            </w:r>
          </w:p>
        </w:tc>
        <w:tc>
          <w:tcPr>
            <w:tcW w:w="684" w:type="dxa"/>
            <w:vAlign w:val="center"/>
          </w:tcPr>
          <w:p w14:paraId="6585A8E0">
            <w:pPr>
              <w:widowControl/>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676" w:type="dxa"/>
            <w:vAlign w:val="center"/>
          </w:tcPr>
          <w:p w14:paraId="2A8D4DE9">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①项目风险的处理措施、预案以及抵抗风险措施基本完善的，得 4.8～5.6分；</w:t>
            </w:r>
          </w:p>
          <w:p w14:paraId="367FE752">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②项目风险的处理措施、预案以及抵抗风险措施较为完善的，得5.6～6.4分；</w:t>
            </w:r>
          </w:p>
          <w:p w14:paraId="0B8EA991">
            <w:pPr>
              <w:widowControl/>
              <w:jc w:val="left"/>
              <w:rPr>
                <w:rFonts w:hint="eastAsia" w:ascii="宋体" w:hAnsi="宋体"/>
                <w:color w:val="auto"/>
                <w:szCs w:val="21"/>
                <w:highlight w:val="none"/>
                <w:lang w:eastAsia="en-US"/>
              </w:rPr>
            </w:pPr>
            <w:r>
              <w:rPr>
                <w:rFonts w:hint="eastAsia" w:ascii="宋体" w:hAnsi="宋体"/>
                <w:color w:val="auto"/>
                <w:szCs w:val="21"/>
                <w:highlight w:val="none"/>
                <w:lang w:eastAsia="en-US"/>
              </w:rPr>
              <w:t>③项目风险的处理措施、预案以及抵抗风险措施切实可行、有针对性的，得6.4～8分。</w:t>
            </w:r>
          </w:p>
        </w:tc>
      </w:tr>
      <w:tr w14:paraId="2472BD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545" w:hRule="atLeast"/>
          <w:jc w:val="center"/>
        </w:trPr>
        <w:tc>
          <w:tcPr>
            <w:tcW w:w="708" w:type="pct"/>
            <w:vMerge w:val="restart"/>
            <w:vAlign w:val="center"/>
          </w:tcPr>
          <w:p w14:paraId="3FB462DB">
            <w:pPr>
              <w:pStyle w:val="6"/>
              <w:rPr>
                <w:color w:val="auto"/>
                <w:sz w:val="21"/>
                <w:highlight w:val="none"/>
              </w:rPr>
            </w:pPr>
            <w:r>
              <w:rPr>
                <w:color w:val="auto"/>
                <w:sz w:val="21"/>
                <w:highlight w:val="none"/>
                <w:lang w:eastAsia="en-US"/>
              </w:rPr>
              <w:t>2.2.</w:t>
            </w:r>
            <w:r>
              <w:rPr>
                <w:color w:val="auto"/>
                <w:sz w:val="21"/>
                <w:highlight w:val="none"/>
              </w:rPr>
              <w:t>2</w:t>
            </w:r>
            <w:r>
              <w:rPr>
                <w:rFonts w:hint="eastAsia"/>
                <w:color w:val="auto"/>
                <w:sz w:val="21"/>
                <w:highlight w:val="none"/>
                <w:lang w:eastAsia="en-US"/>
              </w:rPr>
              <w:t>（</w:t>
            </w:r>
            <w:r>
              <w:rPr>
                <w:color w:val="auto"/>
                <w:sz w:val="21"/>
                <w:highlight w:val="none"/>
                <w:lang w:eastAsia="en-US"/>
              </w:rPr>
              <w:t>2</w:t>
            </w:r>
            <w:r>
              <w:rPr>
                <w:rFonts w:hint="eastAsia"/>
                <w:color w:val="auto"/>
                <w:sz w:val="21"/>
                <w:highlight w:val="none"/>
                <w:lang w:eastAsia="en-US"/>
              </w:rPr>
              <w:t>）</w:t>
            </w:r>
          </w:p>
        </w:tc>
        <w:tc>
          <w:tcPr>
            <w:tcW w:w="695" w:type="pct"/>
            <w:gridSpan w:val="2"/>
            <w:vMerge w:val="restart"/>
            <w:vAlign w:val="center"/>
          </w:tcPr>
          <w:p w14:paraId="0DF817AC">
            <w:pPr>
              <w:pStyle w:val="6"/>
              <w:rPr>
                <w:color w:val="auto"/>
                <w:sz w:val="21"/>
                <w:highlight w:val="none"/>
              </w:rPr>
            </w:pPr>
            <w:r>
              <w:rPr>
                <w:rFonts w:hint="eastAsia"/>
                <w:color w:val="auto"/>
                <w:sz w:val="21"/>
                <w:highlight w:val="none"/>
                <w:lang w:eastAsia="en-US"/>
              </w:rPr>
              <w:t>主要人员</w:t>
            </w:r>
          </w:p>
        </w:tc>
        <w:tc>
          <w:tcPr>
            <w:tcW w:w="494" w:type="pct"/>
            <w:vMerge w:val="restart"/>
            <w:vAlign w:val="center"/>
          </w:tcPr>
          <w:p w14:paraId="4027D4DE">
            <w:pPr>
              <w:pStyle w:val="6"/>
              <w:tabs>
                <w:tab w:val="left" w:pos="674"/>
              </w:tabs>
              <w:spacing w:line="360" w:lineRule="exact"/>
              <w:rPr>
                <w:color w:val="auto"/>
                <w:sz w:val="21"/>
                <w:highlight w:val="none"/>
              </w:rPr>
            </w:pPr>
            <w:r>
              <w:rPr>
                <w:rFonts w:hint="eastAsia"/>
                <w:color w:val="auto"/>
                <w:sz w:val="21"/>
                <w:highlight w:val="none"/>
                <w:lang w:val="en-US" w:eastAsia="zh-CN"/>
              </w:rPr>
              <w:t>30</w:t>
            </w:r>
            <w:r>
              <w:rPr>
                <w:rFonts w:hint="eastAsia"/>
                <w:color w:val="auto"/>
                <w:sz w:val="21"/>
                <w:highlight w:val="none"/>
              </w:rPr>
              <w:t>分</w:t>
            </w:r>
          </w:p>
        </w:tc>
        <w:tc>
          <w:tcPr>
            <w:tcW w:w="787" w:type="pct"/>
            <w:vAlign w:val="center"/>
          </w:tcPr>
          <w:p w14:paraId="6C596F11">
            <w:pPr>
              <w:jc w:val="center"/>
              <w:rPr>
                <w:rFonts w:ascii="宋体" w:hAnsi="宋体"/>
                <w:color w:val="auto"/>
                <w:kern w:val="0"/>
                <w:szCs w:val="21"/>
                <w:highlight w:val="none"/>
              </w:rPr>
            </w:pPr>
            <w:r>
              <w:rPr>
                <w:rFonts w:hint="eastAsia" w:ascii="宋体" w:hAnsi="宋体"/>
                <w:color w:val="auto"/>
                <w:kern w:val="0"/>
                <w:szCs w:val="21"/>
                <w:highlight w:val="none"/>
              </w:rPr>
              <w:t>项目经理</w:t>
            </w:r>
          </w:p>
          <w:p w14:paraId="2E748284">
            <w:pPr>
              <w:jc w:val="center"/>
              <w:rPr>
                <w:rFonts w:ascii="宋体"/>
                <w:color w:val="auto"/>
                <w:kern w:val="0"/>
                <w:szCs w:val="21"/>
                <w:highlight w:val="none"/>
              </w:rPr>
            </w:pPr>
            <w:r>
              <w:rPr>
                <w:rFonts w:hint="eastAsia" w:ascii="宋体" w:hAnsi="宋体"/>
                <w:color w:val="auto"/>
                <w:kern w:val="0"/>
                <w:szCs w:val="21"/>
                <w:highlight w:val="none"/>
              </w:rPr>
              <w:t>任职资格与业绩</w:t>
            </w:r>
          </w:p>
        </w:tc>
        <w:tc>
          <w:tcPr>
            <w:tcW w:w="363" w:type="pct"/>
            <w:vAlign w:val="center"/>
          </w:tcPr>
          <w:p w14:paraId="092EBF03">
            <w:pPr>
              <w:jc w:val="center"/>
              <w:rPr>
                <w:rFonts w:ascii="宋体"/>
                <w:color w:val="auto"/>
                <w:kern w:val="0"/>
                <w:szCs w:val="21"/>
                <w:highlight w:val="none"/>
                <w:lang w:eastAsia="en-US"/>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tc>
        <w:tc>
          <w:tcPr>
            <w:tcW w:w="1951" w:type="pct"/>
            <w:vAlign w:val="center"/>
          </w:tcPr>
          <w:p w14:paraId="6AB088E0">
            <w:pPr>
              <w:pStyle w:val="7"/>
              <w:ind w:firstLine="0" w:firstLineChars="0"/>
              <w:jc w:val="left"/>
              <w:rPr>
                <w:rFonts w:ascii="宋体"/>
                <w:color w:val="auto"/>
                <w:kern w:val="0"/>
                <w:sz w:val="22"/>
                <w:szCs w:val="21"/>
                <w:highlight w:val="none"/>
              </w:rPr>
            </w:pPr>
            <w:r>
              <w:rPr>
                <w:rFonts w:hint="eastAsia" w:ascii="宋体"/>
                <w:color w:val="auto"/>
                <w:kern w:val="0"/>
                <w:sz w:val="22"/>
                <w:szCs w:val="21"/>
                <w:highlight w:val="none"/>
              </w:rPr>
              <w:t xml:space="preserve">满足资格审查条件（项目经理最低要求），得 </w:t>
            </w:r>
            <w:r>
              <w:rPr>
                <w:rFonts w:hint="eastAsia" w:ascii="宋体"/>
                <w:color w:val="auto"/>
                <w:kern w:val="0"/>
                <w:sz w:val="22"/>
                <w:szCs w:val="21"/>
                <w:highlight w:val="none"/>
                <w:lang w:val="en-US" w:eastAsia="zh-CN"/>
              </w:rPr>
              <w:t>15</w:t>
            </w:r>
            <w:r>
              <w:rPr>
                <w:rFonts w:hint="eastAsia" w:ascii="宋体"/>
                <w:color w:val="auto"/>
                <w:kern w:val="0"/>
                <w:sz w:val="22"/>
                <w:szCs w:val="21"/>
                <w:highlight w:val="none"/>
              </w:rPr>
              <w:t>分。</w:t>
            </w:r>
          </w:p>
        </w:tc>
      </w:tr>
      <w:tr w14:paraId="5F03D9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978" w:hRule="atLeast"/>
          <w:jc w:val="center"/>
        </w:trPr>
        <w:tc>
          <w:tcPr>
            <w:tcW w:w="708" w:type="pct"/>
            <w:vMerge w:val="continue"/>
            <w:vAlign w:val="center"/>
          </w:tcPr>
          <w:p w14:paraId="0316DE72">
            <w:pPr>
              <w:jc w:val="center"/>
              <w:rPr>
                <w:rFonts w:ascii="宋体"/>
                <w:color w:val="auto"/>
                <w:szCs w:val="21"/>
                <w:highlight w:val="none"/>
              </w:rPr>
            </w:pPr>
          </w:p>
        </w:tc>
        <w:tc>
          <w:tcPr>
            <w:tcW w:w="695" w:type="pct"/>
            <w:gridSpan w:val="2"/>
            <w:vMerge w:val="continue"/>
            <w:vAlign w:val="center"/>
          </w:tcPr>
          <w:p w14:paraId="70653883">
            <w:pPr>
              <w:jc w:val="center"/>
              <w:rPr>
                <w:rFonts w:ascii="宋体"/>
                <w:color w:val="auto"/>
                <w:szCs w:val="21"/>
                <w:highlight w:val="none"/>
              </w:rPr>
            </w:pPr>
          </w:p>
        </w:tc>
        <w:tc>
          <w:tcPr>
            <w:tcW w:w="494" w:type="pct"/>
            <w:vMerge w:val="continue"/>
            <w:vAlign w:val="center"/>
          </w:tcPr>
          <w:p w14:paraId="0B550EDE">
            <w:pPr>
              <w:jc w:val="center"/>
              <w:rPr>
                <w:rFonts w:ascii="宋体"/>
                <w:color w:val="auto"/>
                <w:szCs w:val="21"/>
                <w:highlight w:val="none"/>
              </w:rPr>
            </w:pPr>
          </w:p>
        </w:tc>
        <w:tc>
          <w:tcPr>
            <w:tcW w:w="787" w:type="pct"/>
            <w:vAlign w:val="center"/>
          </w:tcPr>
          <w:p w14:paraId="5E8EB36B">
            <w:pPr>
              <w:widowControl/>
              <w:jc w:val="center"/>
              <w:rPr>
                <w:rFonts w:ascii="宋体" w:hAnsi="宋体"/>
                <w:color w:val="auto"/>
                <w:kern w:val="0"/>
                <w:szCs w:val="21"/>
                <w:highlight w:val="none"/>
              </w:rPr>
            </w:pPr>
            <w:r>
              <w:rPr>
                <w:rFonts w:hint="eastAsia" w:ascii="宋体" w:hAnsi="宋体"/>
                <w:color w:val="auto"/>
                <w:kern w:val="0"/>
                <w:szCs w:val="21"/>
                <w:highlight w:val="none"/>
              </w:rPr>
              <w:t>项目总工</w:t>
            </w:r>
          </w:p>
          <w:p w14:paraId="540D0353">
            <w:pPr>
              <w:widowControl/>
              <w:jc w:val="center"/>
              <w:rPr>
                <w:rFonts w:ascii="宋体"/>
                <w:color w:val="auto"/>
                <w:kern w:val="0"/>
                <w:szCs w:val="21"/>
                <w:highlight w:val="none"/>
              </w:rPr>
            </w:pPr>
            <w:r>
              <w:rPr>
                <w:rFonts w:hint="eastAsia" w:ascii="宋体" w:hAnsi="宋体"/>
                <w:color w:val="auto"/>
                <w:kern w:val="0"/>
                <w:szCs w:val="21"/>
                <w:highlight w:val="none"/>
              </w:rPr>
              <w:t>任职资格与业绩</w:t>
            </w:r>
          </w:p>
        </w:tc>
        <w:tc>
          <w:tcPr>
            <w:tcW w:w="363" w:type="pct"/>
            <w:vAlign w:val="center"/>
          </w:tcPr>
          <w:p w14:paraId="375EC494">
            <w:pPr>
              <w:jc w:val="center"/>
              <w:rPr>
                <w:rFonts w:ascii="宋体"/>
                <w:color w:val="auto"/>
                <w:kern w:val="0"/>
                <w:szCs w:val="21"/>
                <w:highlight w:val="none"/>
                <w:lang w:eastAsia="en-US"/>
              </w:rPr>
            </w:pPr>
            <w:r>
              <w:rPr>
                <w:rFonts w:ascii="宋体" w:hAnsi="宋体"/>
                <w:color w:val="auto"/>
                <w:kern w:val="0"/>
                <w:szCs w:val="21"/>
                <w:highlight w:val="none"/>
              </w:rPr>
              <w:t>1</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lang w:eastAsia="en-US"/>
              </w:rPr>
              <w:t>分</w:t>
            </w:r>
          </w:p>
        </w:tc>
        <w:tc>
          <w:tcPr>
            <w:tcW w:w="1951" w:type="pct"/>
            <w:vAlign w:val="center"/>
          </w:tcPr>
          <w:p w14:paraId="1CBD0285">
            <w:pPr>
              <w:jc w:val="left"/>
              <w:rPr>
                <w:rFonts w:ascii="宋体"/>
                <w:color w:val="auto"/>
                <w:kern w:val="0"/>
                <w:sz w:val="22"/>
                <w:szCs w:val="21"/>
                <w:highlight w:val="none"/>
              </w:rPr>
            </w:pPr>
            <w:r>
              <w:rPr>
                <w:rFonts w:hint="eastAsia" w:ascii="宋体"/>
                <w:color w:val="auto"/>
                <w:kern w:val="0"/>
                <w:sz w:val="22"/>
                <w:szCs w:val="21"/>
                <w:highlight w:val="none"/>
              </w:rPr>
              <w:t>满足资格审查条件（项目总工最低要求），得</w:t>
            </w:r>
            <w:r>
              <w:rPr>
                <w:rFonts w:hint="eastAsia" w:ascii="宋体"/>
                <w:color w:val="auto"/>
                <w:kern w:val="0"/>
                <w:sz w:val="22"/>
                <w:szCs w:val="21"/>
                <w:highlight w:val="none"/>
                <w:lang w:val="en-US" w:eastAsia="zh-CN"/>
              </w:rPr>
              <w:t>15</w:t>
            </w:r>
            <w:r>
              <w:rPr>
                <w:rFonts w:hint="eastAsia" w:ascii="宋体"/>
                <w:color w:val="auto"/>
                <w:kern w:val="0"/>
                <w:sz w:val="22"/>
                <w:szCs w:val="21"/>
                <w:highlight w:val="none"/>
              </w:rPr>
              <w:t>分。</w:t>
            </w:r>
          </w:p>
        </w:tc>
      </w:tr>
      <w:tr w14:paraId="7824C0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102" w:hRule="atLeast"/>
          <w:jc w:val="center"/>
        </w:trPr>
        <w:tc>
          <w:tcPr>
            <w:tcW w:w="708" w:type="pct"/>
            <w:vMerge w:val="restart"/>
            <w:vAlign w:val="center"/>
          </w:tcPr>
          <w:p w14:paraId="28D461BC">
            <w:pPr>
              <w:pStyle w:val="6"/>
              <w:rPr>
                <w:rFonts w:ascii="Times New Roman" w:eastAsia="Times New Roman"/>
                <w:color w:val="auto"/>
                <w:sz w:val="21"/>
                <w:highlight w:val="none"/>
              </w:rPr>
            </w:pPr>
            <w:r>
              <w:rPr>
                <w:rFonts w:ascii="Times New Roman" w:eastAsia="Times New Roman"/>
                <w:color w:val="auto"/>
                <w:sz w:val="21"/>
                <w:highlight w:val="none"/>
                <w:lang w:eastAsia="en-US"/>
              </w:rPr>
              <w:t>2.2.</w:t>
            </w:r>
            <w:r>
              <w:rPr>
                <w:rFonts w:ascii="Times New Roman"/>
                <w:color w:val="auto"/>
                <w:sz w:val="21"/>
                <w:highlight w:val="none"/>
              </w:rPr>
              <w:t>2</w:t>
            </w:r>
            <w:r>
              <w:rPr>
                <w:rFonts w:hint="eastAsia"/>
                <w:color w:val="auto"/>
                <w:sz w:val="21"/>
                <w:highlight w:val="none"/>
                <w:lang w:eastAsia="en-US"/>
              </w:rPr>
              <w:t>（</w:t>
            </w:r>
            <w:r>
              <w:rPr>
                <w:rFonts w:ascii="Times New Roman"/>
                <w:color w:val="auto"/>
                <w:sz w:val="21"/>
                <w:highlight w:val="none"/>
              </w:rPr>
              <w:t>3</w:t>
            </w:r>
            <w:r>
              <w:rPr>
                <w:rFonts w:hint="eastAsia"/>
                <w:color w:val="auto"/>
                <w:sz w:val="21"/>
                <w:highlight w:val="none"/>
                <w:lang w:eastAsia="en-US"/>
              </w:rPr>
              <w:t>）</w:t>
            </w:r>
            <w:r>
              <w:rPr>
                <w:rFonts w:hint="eastAsia"/>
                <w:color w:val="auto"/>
                <w:sz w:val="21"/>
                <w:highlight w:val="none"/>
              </w:rPr>
              <w:t xml:space="preserve"> </w:t>
            </w:r>
          </w:p>
        </w:tc>
        <w:tc>
          <w:tcPr>
            <w:tcW w:w="337" w:type="pct"/>
            <w:vMerge w:val="restart"/>
            <w:vAlign w:val="center"/>
          </w:tcPr>
          <w:p w14:paraId="78FCD115">
            <w:pPr>
              <w:pStyle w:val="6"/>
              <w:rPr>
                <w:color w:val="auto"/>
                <w:sz w:val="21"/>
                <w:highlight w:val="none"/>
              </w:rPr>
            </w:pPr>
            <w:r>
              <w:rPr>
                <w:rFonts w:hint="eastAsia"/>
                <w:color w:val="auto"/>
                <w:sz w:val="21"/>
                <w:highlight w:val="none"/>
              </w:rPr>
              <w:t>其他因素</w:t>
            </w:r>
          </w:p>
        </w:tc>
        <w:tc>
          <w:tcPr>
            <w:tcW w:w="357" w:type="pct"/>
            <w:vAlign w:val="center"/>
          </w:tcPr>
          <w:p w14:paraId="458792A2">
            <w:pPr>
              <w:pStyle w:val="6"/>
              <w:spacing w:line="360" w:lineRule="exact"/>
              <w:jc w:val="both"/>
              <w:rPr>
                <w:color w:val="auto"/>
                <w:sz w:val="21"/>
                <w:szCs w:val="21"/>
                <w:highlight w:val="none"/>
                <w:lang w:val="en-US"/>
              </w:rPr>
            </w:pPr>
            <w:r>
              <w:rPr>
                <w:rFonts w:hint="eastAsia"/>
                <w:color w:val="auto"/>
                <w:sz w:val="21"/>
                <w:szCs w:val="21"/>
                <w:highlight w:val="none"/>
                <w:lang w:val="en-US"/>
              </w:rPr>
              <w:t>科研开发和技术创新能力</w:t>
            </w:r>
          </w:p>
        </w:tc>
        <w:tc>
          <w:tcPr>
            <w:tcW w:w="494" w:type="pct"/>
            <w:vAlign w:val="center"/>
          </w:tcPr>
          <w:p w14:paraId="15C5FF1C">
            <w:pPr>
              <w:pStyle w:val="6"/>
              <w:spacing w:line="360" w:lineRule="exact"/>
              <w:rPr>
                <w:color w:val="auto"/>
                <w:spacing w:val="-3"/>
                <w:sz w:val="21"/>
                <w:szCs w:val="21"/>
                <w:highlight w:val="none"/>
              </w:rPr>
            </w:pPr>
            <w:r>
              <w:rPr>
                <w:color w:val="auto"/>
                <w:spacing w:val="-3"/>
                <w:sz w:val="21"/>
                <w:szCs w:val="21"/>
                <w:highlight w:val="none"/>
              </w:rPr>
              <w:t>1</w:t>
            </w:r>
            <w:r>
              <w:rPr>
                <w:rFonts w:hint="eastAsia"/>
                <w:color w:val="auto"/>
                <w:spacing w:val="-3"/>
                <w:sz w:val="21"/>
                <w:szCs w:val="21"/>
                <w:highlight w:val="none"/>
                <w:lang w:val="en-US" w:eastAsia="zh-CN"/>
              </w:rPr>
              <w:t>5</w:t>
            </w:r>
            <w:r>
              <w:rPr>
                <w:rFonts w:hint="eastAsia"/>
                <w:color w:val="auto"/>
                <w:spacing w:val="-3"/>
                <w:sz w:val="21"/>
                <w:szCs w:val="21"/>
                <w:highlight w:val="none"/>
              </w:rPr>
              <w:t>分</w:t>
            </w:r>
          </w:p>
        </w:tc>
        <w:tc>
          <w:tcPr>
            <w:tcW w:w="3101" w:type="pct"/>
            <w:gridSpan w:val="3"/>
            <w:vAlign w:val="center"/>
          </w:tcPr>
          <w:p w14:paraId="644B5158">
            <w:pPr>
              <w:jc w:val="left"/>
              <w:rPr>
                <w:rFonts w:ascii="宋体"/>
                <w:color w:val="auto"/>
                <w:kern w:val="0"/>
                <w:szCs w:val="21"/>
                <w:highlight w:val="none"/>
              </w:rPr>
            </w:pPr>
            <w:r>
              <w:rPr>
                <w:rFonts w:hint="eastAsia" w:ascii="宋体" w:hAnsi="宋体"/>
                <w:color w:val="auto"/>
                <w:kern w:val="0"/>
                <w:szCs w:val="21"/>
                <w:highlight w:val="none"/>
              </w:rPr>
              <w:t>投标人均得</w:t>
            </w:r>
            <w:r>
              <w:rPr>
                <w:rFonts w:hint="eastAsia" w:ascii="宋体" w:hAnsi="宋体"/>
                <w:color w:val="auto"/>
                <w:kern w:val="0"/>
                <w:szCs w:val="21"/>
                <w:highlight w:val="none"/>
                <w:lang w:val="en-US" w:eastAsia="zh-CN"/>
              </w:rPr>
              <w:t>15</w:t>
            </w:r>
            <w:r>
              <w:rPr>
                <w:rFonts w:hint="eastAsia" w:ascii="宋体" w:hAnsi="宋体"/>
                <w:color w:val="auto"/>
                <w:kern w:val="0"/>
                <w:szCs w:val="21"/>
                <w:highlight w:val="none"/>
              </w:rPr>
              <w:t>分。</w:t>
            </w:r>
          </w:p>
        </w:tc>
      </w:tr>
      <w:tr w14:paraId="274678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3" w:type="dxa"/>
            <w:bottom w:w="0" w:type="dxa"/>
            <w:right w:w="113" w:type="dxa"/>
          </w:tblCellMar>
        </w:tblPrEx>
        <w:trPr>
          <w:trHeight w:val="1102" w:hRule="atLeast"/>
          <w:jc w:val="center"/>
        </w:trPr>
        <w:tc>
          <w:tcPr>
            <w:tcW w:w="708" w:type="pct"/>
            <w:vMerge w:val="continue"/>
            <w:vAlign w:val="center"/>
          </w:tcPr>
          <w:p w14:paraId="1F56BD60">
            <w:pPr>
              <w:pStyle w:val="6"/>
              <w:rPr>
                <w:color w:val="auto"/>
                <w:sz w:val="21"/>
                <w:szCs w:val="21"/>
                <w:highlight w:val="none"/>
              </w:rPr>
            </w:pPr>
          </w:p>
        </w:tc>
        <w:tc>
          <w:tcPr>
            <w:tcW w:w="337" w:type="pct"/>
            <w:vMerge w:val="continue"/>
            <w:vAlign w:val="center"/>
          </w:tcPr>
          <w:p w14:paraId="316CF68B">
            <w:pPr>
              <w:pStyle w:val="6"/>
              <w:rPr>
                <w:color w:val="auto"/>
                <w:sz w:val="21"/>
                <w:szCs w:val="21"/>
                <w:highlight w:val="none"/>
              </w:rPr>
            </w:pPr>
          </w:p>
        </w:tc>
        <w:tc>
          <w:tcPr>
            <w:tcW w:w="357" w:type="pct"/>
            <w:vAlign w:val="center"/>
          </w:tcPr>
          <w:p w14:paraId="0D8791AA">
            <w:pPr>
              <w:widowControl/>
              <w:jc w:val="center"/>
              <w:rPr>
                <w:rFonts w:ascii="宋体"/>
                <w:color w:val="auto"/>
                <w:szCs w:val="21"/>
                <w:highlight w:val="none"/>
                <w:lang w:eastAsia="en-US"/>
              </w:rPr>
            </w:pPr>
            <w:r>
              <w:rPr>
                <w:rFonts w:hint="eastAsia" w:ascii="宋体" w:hAnsi="宋体"/>
                <w:color w:val="auto"/>
                <w:szCs w:val="21"/>
                <w:highlight w:val="none"/>
                <w:lang w:eastAsia="en-US"/>
              </w:rPr>
              <w:t>履约信誉</w:t>
            </w:r>
          </w:p>
        </w:tc>
        <w:tc>
          <w:tcPr>
            <w:tcW w:w="494" w:type="pct"/>
            <w:vAlign w:val="center"/>
          </w:tcPr>
          <w:p w14:paraId="671D8BA8">
            <w:pPr>
              <w:widowControl/>
              <w:jc w:val="center"/>
              <w:rPr>
                <w:rFonts w:ascii="宋体"/>
                <w:color w:val="auto"/>
                <w:kern w:val="0"/>
                <w:szCs w:val="21"/>
                <w:highlight w:val="none"/>
                <w:lang w:eastAsia="en-US"/>
              </w:rPr>
            </w:pPr>
            <w:r>
              <w:rPr>
                <w:rFonts w:ascii="宋体" w:hAnsi="宋体"/>
                <w:color w:val="auto"/>
                <w:kern w:val="0"/>
                <w:szCs w:val="21"/>
                <w:highlight w:val="none"/>
              </w:rPr>
              <w:t>1</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lang w:eastAsia="en-US"/>
              </w:rPr>
              <w:t>分</w:t>
            </w:r>
          </w:p>
        </w:tc>
        <w:tc>
          <w:tcPr>
            <w:tcW w:w="3101" w:type="pct"/>
            <w:gridSpan w:val="3"/>
            <w:vAlign w:val="center"/>
          </w:tcPr>
          <w:p w14:paraId="62573790">
            <w:pPr>
              <w:widowControl/>
              <w:shd w:val="clear" w:color="auto" w:fill="FFFFFF"/>
              <w:spacing w:before="156"/>
              <w:jc w:val="left"/>
              <w:rPr>
                <w:rFonts w:ascii="宋体"/>
                <w:color w:val="auto"/>
                <w:highlight w:val="none"/>
              </w:rPr>
            </w:pPr>
            <w:r>
              <w:rPr>
                <w:rFonts w:hint="eastAsia" w:ascii="宋体"/>
                <w:color w:val="auto"/>
                <w:highlight w:val="none"/>
              </w:rPr>
              <w:t>满足资格审查条件，得1</w:t>
            </w:r>
            <w:r>
              <w:rPr>
                <w:rFonts w:hint="eastAsia" w:ascii="宋体"/>
                <w:color w:val="auto"/>
                <w:highlight w:val="none"/>
                <w:lang w:val="en-US" w:eastAsia="zh-CN"/>
              </w:rPr>
              <w:t>5</w:t>
            </w:r>
            <w:r>
              <w:rPr>
                <w:rFonts w:hint="eastAsia" w:ascii="宋体"/>
                <w:color w:val="auto"/>
                <w:highlight w:val="none"/>
              </w:rPr>
              <w:t>分；</w:t>
            </w:r>
          </w:p>
        </w:tc>
      </w:tr>
    </w:tbl>
    <w:p w14:paraId="0A4E59D0">
      <w:pPr>
        <w:widowControl/>
        <w:shd w:val="clear" w:color="auto" w:fill="FFFFFF"/>
        <w:spacing w:before="156" w:line="360" w:lineRule="auto"/>
        <w:jc w:val="left"/>
        <w:rPr>
          <w:rFonts w:ascii="宋体" w:hAnsi="宋体"/>
          <w:b/>
          <w:color w:val="auto"/>
          <w:kern w:val="0"/>
          <w:szCs w:val="21"/>
          <w:highlight w:val="none"/>
        </w:rPr>
      </w:pPr>
      <w:r>
        <w:rPr>
          <w:rFonts w:hint="eastAsia" w:ascii="宋体" w:hAnsi="宋体"/>
          <w:b/>
          <w:color w:val="auto"/>
          <w:kern w:val="0"/>
          <w:szCs w:val="21"/>
          <w:highlight w:val="none"/>
        </w:rPr>
        <w:t>注：</w:t>
      </w:r>
    </w:p>
    <w:p w14:paraId="2DF98718">
      <w:pPr>
        <w:widowControl/>
        <w:shd w:val="clear" w:color="auto" w:fill="FFFFFF"/>
        <w:spacing w:before="156" w:line="360" w:lineRule="auto"/>
        <w:jc w:val="left"/>
        <w:rPr>
          <w:rFonts w:ascii="宋体" w:hAnsi="宋体"/>
          <w:b/>
          <w:color w:val="auto"/>
          <w:kern w:val="0"/>
          <w:szCs w:val="21"/>
          <w:highlight w:val="none"/>
        </w:rPr>
      </w:pPr>
      <w:r>
        <w:rPr>
          <w:rFonts w:hint="eastAsia" w:ascii="宋体" w:hAnsi="宋体"/>
          <w:b/>
          <w:color w:val="auto"/>
          <w:kern w:val="0"/>
          <w:szCs w:val="21"/>
          <w:highlight w:val="none"/>
        </w:rPr>
        <w:t>1.各评分因素得分以评标委员会各成员打分的算术平均值确定。评标委员会各成员的单项打分分值小数点后保留一位，计算过程及计算结果小数点后保留两位小数，小数点后第三位“四舍五入”。</w:t>
      </w:r>
    </w:p>
    <w:p w14:paraId="53D9D64D">
      <w:pPr>
        <w:widowControl/>
        <w:shd w:val="clear" w:color="auto" w:fill="FFFFFF"/>
        <w:spacing w:before="156" w:line="360" w:lineRule="auto"/>
        <w:jc w:val="left"/>
        <w:rPr>
          <w:rFonts w:hint="eastAsia" w:ascii="宋体" w:hAnsi="宋体"/>
          <w:b/>
          <w:color w:val="auto"/>
          <w:kern w:val="0"/>
          <w:szCs w:val="21"/>
          <w:highlight w:val="none"/>
        </w:rPr>
      </w:pPr>
      <w:r>
        <w:rPr>
          <w:rFonts w:hint="eastAsia" w:ascii="宋体" w:hAnsi="宋体"/>
          <w:b/>
          <w:color w:val="auto"/>
          <w:kern w:val="0"/>
          <w:szCs w:val="21"/>
          <w:highlight w:val="none"/>
        </w:rPr>
        <w:t>2.表中区间分值下限为不包含，上限为包含。</w:t>
      </w:r>
    </w:p>
    <w:p w14:paraId="1A179DA5">
      <w:pPr>
        <w:widowControl/>
        <w:shd w:val="clear" w:color="auto" w:fill="FFFFFF"/>
        <w:spacing w:before="156" w:line="360" w:lineRule="auto"/>
        <w:jc w:val="left"/>
        <w:rPr>
          <w:rFonts w:hint="eastAsia" w:ascii="宋体" w:hAnsi="宋体"/>
          <w:b/>
          <w:color w:val="auto"/>
          <w:kern w:val="0"/>
          <w:szCs w:val="21"/>
          <w:highlight w:val="none"/>
        </w:rPr>
      </w:pPr>
      <w:r>
        <w:rPr>
          <w:rFonts w:hint="eastAsia" w:ascii="宋体" w:hAnsi="宋体"/>
          <w:b/>
          <w:color w:val="auto"/>
          <w:kern w:val="0"/>
          <w:szCs w:val="21"/>
          <w:highlight w:val="none"/>
          <w:lang w:val="en-US" w:eastAsia="zh-CN"/>
        </w:rPr>
        <w:t>3.国务院或省级有关部门许可资质的施工企业初次进入黑龙江省，其信用评价等级按照交通运输部或交通运输厅公路施工企业全国综合信用评价结果确定；尚无交通运输部或省级公路施工企业全国综合信用评价的企业，若无不良信用记录，按A级对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26E7"/>
    <w:rsid w:val="153F6A09"/>
    <w:rsid w:val="1D43215F"/>
    <w:rsid w:val="1D76199F"/>
    <w:rsid w:val="3A5852FC"/>
    <w:rsid w:val="5EE426E7"/>
    <w:rsid w:val="6F99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260" w:after="260" w:line="412" w:lineRule="auto"/>
      <w:jc w:val="center"/>
      <w:outlineLvl w:val="1"/>
    </w:pPr>
    <w:rPr>
      <w:rFonts w:ascii="Arial" w:hAnsi="Arial"/>
      <w:sz w:val="44"/>
      <w:szCs w:val="20"/>
    </w:rPr>
  </w:style>
  <w:style w:type="paragraph" w:styleId="2">
    <w:name w:val="heading 3"/>
    <w:basedOn w:val="1"/>
    <w:next w:val="1"/>
    <w:qFormat/>
    <w:uiPriority w:val="99"/>
    <w:pPr>
      <w:keepNext/>
      <w:keepLines/>
      <w:spacing w:before="260" w:after="260" w:line="412" w:lineRule="auto"/>
      <w:ind w:firstLine="49" w:firstLineChars="49"/>
      <w:outlineLvl w:val="2"/>
    </w:pPr>
    <w:rPr>
      <w:rFonts w:ascii="黑体"/>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Table Paragraph"/>
    <w:basedOn w:val="1"/>
    <w:autoRedefine/>
    <w:qFormat/>
    <w:uiPriority w:val="1"/>
    <w:pPr>
      <w:widowControl/>
      <w:jc w:val="center"/>
    </w:pPr>
    <w:rPr>
      <w:rFonts w:ascii="宋体" w:hAnsi="宋体" w:cs="宋体"/>
      <w:kern w:val="0"/>
      <w:sz w:val="22"/>
      <w:lang w:val="zh-CN"/>
    </w:rPr>
  </w:style>
  <w:style w:type="paragraph" w:styleId="7">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3648</Words>
  <Characters>4062</Characters>
  <Lines>0</Lines>
  <Paragraphs>0</Paragraphs>
  <TotalTime>11</TotalTime>
  <ScaleCrop>false</ScaleCrop>
  <LinksUpToDate>false</LinksUpToDate>
  <CharactersWithSpaces>4081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2024-12-02T02:30:00Z</dcterms:created>
  <dc:creator>Administrator</dc:creator>
  <cp:lastModifiedBy>Administrator</cp:lastModifiedBy>
  <dcterms:modified xsi:type="dcterms:W3CDTF">2024-12-02T07:43:06Z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790FCBC4217647AD93A7D4F5D1A4C453_11</vt:lpwstr>
  </property>
</Properties>
</file>