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A1234">
      <w:pPr>
        <w:tabs>
          <w:tab w:val="left" w:pos="3220"/>
          <w:tab w:val="left" w:pos="5602"/>
        </w:tabs>
        <w:spacing w:before="224" w:line="44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省道绥棱至拉哈公路绥棱至四海店段改扩建工程施工监理</w:t>
      </w:r>
      <w:r>
        <w:rPr>
          <w:rFonts w:hint="eastAsia" w:ascii="宋体" w:hAnsi="宋体" w:eastAsia="宋体" w:cs="宋体"/>
          <w:color w:val="auto"/>
          <w:sz w:val="28"/>
          <w:szCs w:val="28"/>
          <w:highlight w:val="none"/>
          <w:lang w:val="en-US" w:eastAsia="zh-CN"/>
        </w:rPr>
        <w:t>项目</w:t>
      </w:r>
      <w:bookmarkStart w:id="17" w:name="_GoBack"/>
      <w:bookmarkEnd w:id="17"/>
    </w:p>
    <w:p w14:paraId="01E163EA">
      <w:pPr>
        <w:tabs>
          <w:tab w:val="left" w:pos="3220"/>
          <w:tab w:val="left" w:pos="5602"/>
        </w:tabs>
        <w:spacing w:before="224" w:line="44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招标公告</w:t>
      </w:r>
    </w:p>
    <w:p w14:paraId="7910B547">
      <w:pPr>
        <w:tabs>
          <w:tab w:val="left" w:pos="3220"/>
          <w:tab w:val="left" w:pos="5602"/>
        </w:tabs>
        <w:spacing w:before="224" w:line="44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（招标编号：GXTC-A1-24200108）</w:t>
      </w:r>
    </w:p>
    <w:p w14:paraId="49481322">
      <w:pPr>
        <w:spacing w:line="480" w:lineRule="exact"/>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1.招标条件</w:t>
      </w:r>
    </w:p>
    <w:p w14:paraId="43303615">
      <w:pPr>
        <w:spacing w:line="480" w:lineRule="exact"/>
        <w:ind w:firstLine="420" w:firstLineChars="200"/>
        <w:jc w:val="left"/>
        <w:rPr>
          <w:rStyle w:val="8"/>
          <w:rFonts w:ascii="宋体" w:hAnsi="宋体" w:eastAsia="宋体" w:cs="宋体"/>
          <w:b w:val="0"/>
          <w:color w:val="auto"/>
          <w:sz w:val="21"/>
          <w:szCs w:val="21"/>
          <w:highlight w:val="none"/>
          <w:lang w:eastAsia="zh-CN"/>
        </w:rPr>
      </w:pPr>
      <w:r>
        <w:rPr>
          <w:rFonts w:hint="eastAsia" w:ascii="宋体" w:hAnsi="宋体" w:eastAsia="宋体" w:cs="宋体"/>
          <w:color w:val="auto"/>
          <w:szCs w:val="21"/>
          <w:highlight w:val="none"/>
        </w:rPr>
        <w:t>省道绥棱至拉哈公路绥棱至四海店段改扩建工程（以下简称“本项目”）可行性研究报告已由黑龙江省发展和改革委员会以《关于省道绥棱至拉哈公路绥棱至四海店段改扩建工程可行性研究报告的批复》（黑发改交通【</w:t>
      </w:r>
      <w:r>
        <w:rPr>
          <w:rFonts w:ascii="宋体" w:hAnsi="宋体" w:eastAsia="宋体" w:cs="宋体"/>
          <w:color w:val="auto"/>
          <w:szCs w:val="21"/>
          <w:highlight w:val="none"/>
        </w:rPr>
        <w:t>2022】253号）批复，初步设计已由黑龙江省交通运输厅以《</w:t>
      </w:r>
      <w:r>
        <w:rPr>
          <w:rFonts w:hint="eastAsia" w:ascii="宋体" w:hAnsi="宋体" w:eastAsia="宋体" w:cs="宋体"/>
          <w:color w:val="auto"/>
          <w:szCs w:val="21"/>
          <w:highlight w:val="none"/>
        </w:rPr>
        <w:t>黑龙江省交通运输厅关于省道绥棱至拉哈公路绥棱至四海店段改扩建工程初步设计的批复</w:t>
      </w:r>
      <w:r>
        <w:rPr>
          <w:rFonts w:ascii="宋体" w:hAnsi="宋体" w:eastAsia="宋体" w:cs="宋体"/>
          <w:color w:val="auto"/>
          <w:szCs w:val="21"/>
          <w:highlight w:val="none"/>
        </w:rPr>
        <w:t>》（黑交发〔2022〕420号）批复，施工图设计已由黑龙江省交通运输厅以《黑龙江省交通运输厅关于省道绥棱至拉哈公路绥棱至四海店段改扩建工程施工图设计的批复》（</w:t>
      </w:r>
      <w:r>
        <w:rPr>
          <w:rFonts w:hint="eastAsia" w:ascii="宋体" w:hAnsi="宋体" w:eastAsia="宋体" w:cs="宋体"/>
          <w:color w:val="auto"/>
          <w:szCs w:val="21"/>
          <w:highlight w:val="none"/>
        </w:rPr>
        <w:t>黑交发〔</w:t>
      </w:r>
      <w:r>
        <w:rPr>
          <w:rFonts w:ascii="宋体" w:hAnsi="宋体" w:eastAsia="宋体" w:cs="宋体"/>
          <w:color w:val="auto"/>
          <w:szCs w:val="21"/>
          <w:highlight w:val="none"/>
        </w:rPr>
        <w:t>2022〕490号</w:t>
      </w:r>
      <w:r>
        <w:rPr>
          <w:rFonts w:hint="eastAsia" w:ascii="宋体" w:hAnsi="宋体" w:eastAsia="宋体" w:cs="宋体"/>
          <w:color w:val="auto"/>
          <w:szCs w:val="21"/>
          <w:highlight w:val="none"/>
        </w:rPr>
        <w:t>）批复，</w:t>
      </w:r>
      <w:r>
        <w:rPr>
          <w:rFonts w:hint="eastAsia" w:ascii="宋体" w:hAnsi="宋体" w:eastAsia="宋体" w:cs="宋体"/>
          <w:color w:val="auto"/>
          <w:szCs w:val="21"/>
          <w:highlight w:val="none"/>
          <w:lang w:val="en-US" w:eastAsia="zh-CN"/>
        </w:rPr>
        <w:t>资金已落实</w:t>
      </w:r>
      <w:r>
        <w:rPr>
          <w:rFonts w:ascii="宋体" w:hAnsi="宋体" w:eastAsia="宋体" w:cs="宋体"/>
          <w:color w:val="auto"/>
          <w:szCs w:val="21"/>
          <w:highlight w:val="none"/>
        </w:rPr>
        <w:t>，由</w:t>
      </w:r>
      <w:r>
        <w:rPr>
          <w:rFonts w:hint="eastAsia" w:ascii="宋体" w:hAnsi="宋体" w:eastAsia="宋体" w:cs="宋体"/>
          <w:color w:val="auto"/>
          <w:szCs w:val="21"/>
          <w:highlight w:val="none"/>
        </w:rPr>
        <w:t>省级资金补贴和绥棱县人民政府自筹</w:t>
      </w:r>
      <w:r>
        <w:rPr>
          <w:rFonts w:hint="eastAsia" w:ascii="宋体" w:hAnsi="宋体" w:eastAsia="宋体" w:cs="宋体"/>
          <w:color w:val="auto"/>
          <w:szCs w:val="21"/>
          <w:highlight w:val="none"/>
          <w:lang w:eastAsia="zh-CN"/>
        </w:rPr>
        <w:t>，招标人为绥棱县交通运输局</w:t>
      </w:r>
      <w:r>
        <w:rPr>
          <w:rFonts w:hint="eastAsia" w:ascii="宋体" w:hAnsi="宋体" w:eastAsia="宋体" w:cs="宋体"/>
          <w:color w:val="auto"/>
          <w:szCs w:val="21"/>
          <w:highlight w:val="none"/>
          <w:lang w:val="en-US" w:eastAsia="zh-CN"/>
        </w:rPr>
        <w:t>,项目法人为绥棱县交通运输局</w:t>
      </w:r>
      <w:r>
        <w:rPr>
          <w:rFonts w:ascii="宋体" w:hAnsi="宋体" w:eastAsia="宋体" w:cs="宋体"/>
          <w:color w:val="auto"/>
          <w:szCs w:val="21"/>
          <w:highlight w:val="none"/>
        </w:rPr>
        <w:t>。</w:t>
      </w:r>
      <w:r>
        <w:rPr>
          <w:rFonts w:hint="eastAsia" w:ascii="宋体" w:hAnsi="宋体" w:eastAsia="宋体" w:cs="宋体"/>
          <w:color w:val="auto"/>
          <w:szCs w:val="21"/>
          <w:highlight w:val="none"/>
        </w:rPr>
        <w:t>项目已具备招标条件，现对该项目的施工监理进行公开招标。</w:t>
      </w:r>
    </w:p>
    <w:p w14:paraId="1F17D8F8">
      <w:pPr>
        <w:spacing w:line="480" w:lineRule="exact"/>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2.项目概况和招标范围</w:t>
      </w:r>
    </w:p>
    <w:p w14:paraId="04E2F782">
      <w:pPr>
        <w:spacing w:line="480" w:lineRule="exact"/>
        <w:ind w:firstLine="420" w:firstLineChars="200"/>
        <w:jc w:val="left"/>
        <w:rPr>
          <w:rStyle w:val="8"/>
          <w:rFonts w:ascii="宋体" w:hAnsi="宋体" w:eastAsia="宋体" w:cs="宋体"/>
          <w:b w:val="0"/>
          <w:color w:val="auto"/>
          <w:sz w:val="21"/>
          <w:szCs w:val="21"/>
          <w:highlight w:val="none"/>
          <w:lang w:eastAsia="zh-CN"/>
        </w:rPr>
      </w:pPr>
      <w:r>
        <w:rPr>
          <w:rStyle w:val="8"/>
          <w:rFonts w:hint="eastAsia" w:ascii="宋体" w:hAnsi="宋体" w:eastAsia="宋体" w:cs="宋体"/>
          <w:b w:val="0"/>
          <w:color w:val="auto"/>
          <w:sz w:val="21"/>
          <w:szCs w:val="21"/>
          <w:highlight w:val="none"/>
          <w:lang w:val="zh-CN" w:eastAsia="zh-CN"/>
        </w:rPr>
        <w:t>2.1项目概况</w:t>
      </w:r>
      <w:r>
        <w:rPr>
          <w:rStyle w:val="8"/>
          <w:rFonts w:hint="eastAsia" w:ascii="宋体" w:hAnsi="宋体" w:eastAsia="宋体" w:cs="宋体"/>
          <w:b w:val="0"/>
          <w:color w:val="auto"/>
          <w:sz w:val="21"/>
          <w:szCs w:val="21"/>
          <w:highlight w:val="none"/>
          <w:lang w:eastAsia="zh-CN"/>
        </w:rPr>
        <w:t>：</w:t>
      </w:r>
    </w:p>
    <w:p w14:paraId="491E524E">
      <w:pPr>
        <w:spacing w:line="480" w:lineRule="exact"/>
        <w:ind w:firstLine="420" w:firstLineChars="200"/>
        <w:jc w:val="left"/>
        <w:rPr>
          <w:rStyle w:val="8"/>
          <w:rFonts w:ascii="宋体" w:hAnsi="宋体" w:eastAsia="PMingLiU" w:cs="宋体"/>
          <w:b w:val="0"/>
          <w:color w:val="auto"/>
          <w:sz w:val="21"/>
          <w:szCs w:val="21"/>
          <w:highlight w:val="none"/>
        </w:rPr>
      </w:pPr>
      <w:r>
        <w:rPr>
          <w:rFonts w:hint="eastAsia" w:ascii="宋体" w:hAnsi="宋体" w:cs="宋体"/>
          <w:color w:val="auto"/>
          <w:kern w:val="0"/>
          <w:szCs w:val="21"/>
          <w:highlight w:val="none"/>
          <w:lang w:val="zh-CN" w:eastAsia="zh-CN"/>
        </w:rPr>
        <w:t>（</w:t>
      </w: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lang w:val="zh-CN" w:eastAsia="zh-CN"/>
        </w:rPr>
        <w:t>）本项目起自绥棱镇东侧，接既有一级公路，沿旧路布线，经阁山镇，止于四海店镇北侧，与绥棱林业局交界处，路线全长44.735公里。全线设置桥梁201.68米/7座(其中拆除重建中桥100.28米/2座、拆除重建小桥101.40米/5座),涵洞38道(其中拆除重建19道、新建17道、利用2道)；与铁路平面交叉1处，与等级公路平面交叉49处;养护道班1处，交通量观测站1处，汽车停靠站7处(14座)</w:t>
      </w:r>
      <w:r>
        <w:rPr>
          <w:rStyle w:val="8"/>
          <w:rFonts w:ascii="宋体" w:hAnsi="宋体" w:eastAsia="宋体" w:cs="宋体"/>
          <w:b w:val="0"/>
          <w:color w:val="auto"/>
          <w:sz w:val="21"/>
          <w:szCs w:val="21"/>
          <w:highlight w:val="none"/>
          <w:lang w:eastAsia="zh-CN"/>
        </w:rPr>
        <w:t>。</w:t>
      </w:r>
    </w:p>
    <w:p w14:paraId="68ABBF30">
      <w:pPr>
        <w:spacing w:line="480" w:lineRule="exact"/>
        <w:ind w:firstLine="420" w:firstLineChars="200"/>
        <w:jc w:val="left"/>
        <w:rPr>
          <w:rStyle w:val="8"/>
          <w:rFonts w:ascii="宋体" w:hAnsi="宋体" w:eastAsia="宋体" w:cs="宋体"/>
          <w:b w:val="0"/>
          <w:color w:val="auto"/>
          <w:sz w:val="21"/>
          <w:szCs w:val="21"/>
          <w:highlight w:val="none"/>
          <w:lang w:val="en-US" w:eastAsia="zh-CN"/>
        </w:rPr>
      </w:pPr>
      <w:r>
        <w:rPr>
          <w:rStyle w:val="8"/>
          <w:rFonts w:ascii="宋体" w:hAnsi="宋体" w:eastAsia="宋体" w:cs="宋体"/>
          <w:b w:val="0"/>
          <w:color w:val="auto"/>
          <w:sz w:val="21"/>
          <w:szCs w:val="21"/>
          <w:highlight w:val="none"/>
          <w:lang w:eastAsia="zh-CN"/>
        </w:rPr>
        <w:t xml:space="preserve"> (二)本项目采用二级公路标准建设，设计速度80公里/小时，路基宽度12.0米。桥涵设计汽车荷载等</w:t>
      </w:r>
      <w:r>
        <w:rPr>
          <w:rStyle w:val="8"/>
          <w:rFonts w:hint="eastAsia" w:ascii="宋体" w:hAnsi="宋体" w:eastAsia="宋体" w:cs="宋体"/>
          <w:b w:val="0"/>
          <w:color w:val="auto"/>
          <w:sz w:val="21"/>
          <w:szCs w:val="21"/>
          <w:highlight w:val="none"/>
          <w:lang w:eastAsia="zh-CN"/>
        </w:rPr>
        <w:t>级采用公路</w:t>
      </w:r>
      <w:r>
        <w:rPr>
          <w:rStyle w:val="8"/>
          <w:rFonts w:ascii="宋体" w:hAnsi="宋体" w:eastAsia="宋体" w:cs="宋体"/>
          <w:b w:val="0"/>
          <w:color w:val="auto"/>
          <w:sz w:val="21"/>
          <w:szCs w:val="21"/>
          <w:highlight w:val="none"/>
          <w:lang w:eastAsia="zh-CN"/>
        </w:rPr>
        <w:t>-I级，其他技术指标按《公路工程技术标准》(JTG B01-2014)执行。</w:t>
      </w:r>
    </w:p>
    <w:p w14:paraId="56F5BDB9">
      <w:pPr>
        <w:spacing w:line="480" w:lineRule="exact"/>
        <w:ind w:firstLine="420" w:firstLineChars="200"/>
        <w:jc w:val="left"/>
        <w:rPr>
          <w:rStyle w:val="8"/>
          <w:rFonts w:ascii="宋体" w:hAnsi="宋体" w:eastAsia="宋体" w:cs="宋体"/>
          <w:b w:val="0"/>
          <w:color w:val="auto"/>
          <w:sz w:val="21"/>
          <w:szCs w:val="21"/>
          <w:highlight w:val="none"/>
          <w:lang w:eastAsia="zh-CN"/>
        </w:rPr>
      </w:pPr>
      <w:r>
        <w:rPr>
          <w:rStyle w:val="8"/>
          <w:rFonts w:hint="eastAsia" w:ascii="宋体" w:hAnsi="宋体" w:eastAsia="宋体" w:cs="宋体"/>
          <w:b w:val="0"/>
          <w:color w:val="auto"/>
          <w:sz w:val="21"/>
          <w:szCs w:val="21"/>
          <w:highlight w:val="none"/>
          <w:lang w:val="en-US" w:eastAsia="zh-CN"/>
        </w:rPr>
        <w:t>2.2建设地点：黑龙江省绥棱县境内。</w:t>
      </w:r>
    </w:p>
    <w:p w14:paraId="40D93303">
      <w:pPr>
        <w:spacing w:line="480" w:lineRule="exact"/>
        <w:ind w:firstLine="420" w:firstLineChars="200"/>
        <w:jc w:val="left"/>
        <w:rPr>
          <w:rFonts w:ascii="宋体" w:hAnsi="宋体"/>
          <w:color w:val="auto"/>
          <w:kern w:val="0"/>
          <w:szCs w:val="21"/>
          <w:highlight w:val="none"/>
        </w:rPr>
      </w:pPr>
      <w:r>
        <w:rPr>
          <w:rStyle w:val="8"/>
          <w:rFonts w:hint="eastAsia" w:ascii="宋体" w:hAnsi="宋体" w:eastAsia="宋体" w:cs="宋体"/>
          <w:b w:val="0"/>
          <w:color w:val="auto"/>
          <w:sz w:val="21"/>
          <w:szCs w:val="21"/>
          <w:highlight w:val="none"/>
          <w:lang w:val="en-US" w:eastAsia="zh-CN"/>
        </w:rPr>
        <w:t>2.3监理服务期：48个月，其中施工期（2024年</w:t>
      </w:r>
      <w:r>
        <w:rPr>
          <w:rStyle w:val="8"/>
          <w:rFonts w:ascii="宋体" w:hAnsi="宋体" w:eastAsia="宋体" w:cs="宋体"/>
          <w:b w:val="0"/>
          <w:color w:val="auto"/>
          <w:sz w:val="21"/>
          <w:szCs w:val="21"/>
          <w:highlight w:val="none"/>
          <w:lang w:val="en-US" w:eastAsia="zh-CN"/>
        </w:rPr>
        <w:t>12</w:t>
      </w:r>
      <w:r>
        <w:rPr>
          <w:rStyle w:val="8"/>
          <w:rFonts w:hint="eastAsia" w:ascii="宋体" w:hAnsi="宋体" w:eastAsia="宋体" w:cs="宋体"/>
          <w:b w:val="0"/>
          <w:color w:val="auto"/>
          <w:sz w:val="21"/>
          <w:szCs w:val="21"/>
          <w:highlight w:val="none"/>
          <w:lang w:val="en-US" w:eastAsia="zh-CN"/>
        </w:rPr>
        <w:t>月至2026年</w:t>
      </w:r>
      <w:r>
        <w:rPr>
          <w:rStyle w:val="8"/>
          <w:rFonts w:ascii="宋体" w:hAnsi="宋体" w:eastAsia="宋体" w:cs="宋体"/>
          <w:b w:val="0"/>
          <w:color w:val="auto"/>
          <w:sz w:val="21"/>
          <w:szCs w:val="21"/>
          <w:highlight w:val="none"/>
          <w:lang w:val="en-US" w:eastAsia="zh-CN"/>
        </w:rPr>
        <w:t>12</w:t>
      </w:r>
      <w:r>
        <w:rPr>
          <w:rStyle w:val="8"/>
          <w:rFonts w:hint="eastAsia" w:ascii="宋体" w:hAnsi="宋体" w:eastAsia="宋体" w:cs="宋体"/>
          <w:b w:val="0"/>
          <w:color w:val="auto"/>
          <w:sz w:val="21"/>
          <w:szCs w:val="21"/>
          <w:highlight w:val="none"/>
          <w:lang w:val="en-US" w:eastAsia="zh-CN"/>
        </w:rPr>
        <w:t>月）24个月，</w:t>
      </w:r>
      <w:r>
        <w:rPr>
          <w:rStyle w:val="8"/>
          <w:rFonts w:ascii="Times New Roman" w:hAnsi="Times New Roman" w:eastAsia="宋体" w:cs="Times New Roman"/>
          <w:b w:val="0"/>
          <w:color w:val="auto"/>
          <w:sz w:val="21"/>
          <w:szCs w:val="21"/>
          <w:highlight w:val="none"/>
          <w:lang w:val="en-US" w:eastAsia="zh-CN"/>
        </w:rPr>
        <w:t>施工准备阶段服务期0.5个月</w:t>
      </w:r>
      <w:r>
        <w:rPr>
          <w:rStyle w:val="8"/>
          <w:rFonts w:hint="eastAsia" w:ascii="宋体" w:hAnsi="宋体" w:eastAsia="宋体" w:cs="宋体"/>
          <w:b w:val="0"/>
          <w:color w:val="auto"/>
          <w:sz w:val="21"/>
          <w:szCs w:val="21"/>
          <w:highlight w:val="none"/>
          <w:lang w:val="en-US" w:eastAsia="zh-CN"/>
        </w:rPr>
        <w:t>，</w:t>
      </w:r>
      <w:r>
        <w:rPr>
          <w:rStyle w:val="8"/>
          <w:rFonts w:ascii="Times New Roman" w:hAnsi="Times New Roman" w:eastAsia="宋体" w:cs="Times New Roman"/>
          <w:b w:val="0"/>
          <w:color w:val="auto"/>
          <w:sz w:val="21"/>
          <w:szCs w:val="21"/>
          <w:highlight w:val="none"/>
          <w:lang w:val="en-US" w:eastAsia="zh-CN"/>
        </w:rPr>
        <w:t>施工阶段监理服务期</w:t>
      </w:r>
      <w:r>
        <w:rPr>
          <w:rStyle w:val="8"/>
          <w:rFonts w:hint="eastAsia" w:ascii="Times New Roman" w:hAnsi="Times New Roman" w:eastAsia="宋体" w:cs="Times New Roman"/>
          <w:b w:val="0"/>
          <w:color w:val="auto"/>
          <w:sz w:val="21"/>
          <w:szCs w:val="21"/>
          <w:highlight w:val="none"/>
          <w:lang w:val="en-US" w:eastAsia="zh-CN"/>
        </w:rPr>
        <w:t>23.5</w:t>
      </w:r>
      <w:r>
        <w:rPr>
          <w:rStyle w:val="8"/>
          <w:rFonts w:ascii="Times New Roman" w:hAnsi="Times New Roman" w:eastAsia="宋体" w:cs="Times New Roman"/>
          <w:b w:val="0"/>
          <w:color w:val="auto"/>
          <w:sz w:val="21"/>
          <w:szCs w:val="21"/>
          <w:highlight w:val="none"/>
          <w:lang w:val="en-US" w:eastAsia="zh-CN"/>
        </w:rPr>
        <w:t>个月</w:t>
      </w:r>
      <w:r>
        <w:rPr>
          <w:rStyle w:val="8"/>
          <w:rFonts w:hint="eastAsia" w:ascii="Times New Roman" w:hAnsi="Times New Roman" w:eastAsia="宋体" w:cs="Times New Roman"/>
          <w:b w:val="0"/>
          <w:color w:val="auto"/>
          <w:sz w:val="21"/>
          <w:szCs w:val="21"/>
          <w:highlight w:val="none"/>
          <w:lang w:val="en-US" w:eastAsia="zh-CN"/>
        </w:rPr>
        <w:t>，</w:t>
      </w:r>
      <w:r>
        <w:rPr>
          <w:rStyle w:val="8"/>
          <w:rFonts w:hint="eastAsia" w:ascii="宋体" w:hAnsi="宋体" w:eastAsia="宋体" w:cs="宋体"/>
          <w:b w:val="0"/>
          <w:color w:val="auto"/>
          <w:sz w:val="21"/>
          <w:szCs w:val="21"/>
          <w:highlight w:val="none"/>
          <w:lang w:val="en-US" w:eastAsia="zh-CN"/>
        </w:rPr>
        <w:t>验收与缺陷责任期24个月。上述时间仅作为编制投标文件的统一标准，实际进场工期及服务期按监理合同相关条款规定执行。</w:t>
      </w:r>
    </w:p>
    <w:p w14:paraId="760C71D7">
      <w:pPr>
        <w:spacing w:line="480" w:lineRule="exact"/>
        <w:ind w:firstLine="420" w:firstLineChars="200"/>
        <w:jc w:val="left"/>
        <w:rPr>
          <w:rStyle w:val="8"/>
          <w:rFonts w:ascii="宋体" w:hAnsi="宋体" w:eastAsia="宋体" w:cs="宋体"/>
          <w:b w:val="0"/>
          <w:color w:val="auto"/>
          <w:sz w:val="21"/>
          <w:szCs w:val="21"/>
          <w:highlight w:val="none"/>
          <w:lang w:val="en-US" w:eastAsia="zh-CN"/>
        </w:rPr>
      </w:pPr>
      <w:r>
        <w:rPr>
          <w:rStyle w:val="8"/>
          <w:rFonts w:hint="eastAsia" w:ascii="宋体" w:hAnsi="宋体" w:eastAsia="宋体" w:cs="宋体"/>
          <w:b w:val="0"/>
          <w:color w:val="auto"/>
          <w:sz w:val="21"/>
          <w:szCs w:val="21"/>
          <w:highlight w:val="none"/>
          <w:lang w:val="en-US" w:eastAsia="zh-CN"/>
        </w:rPr>
        <w:t>2.4招标范围：</w:t>
      </w:r>
      <w:r>
        <w:rPr>
          <w:rStyle w:val="8"/>
          <w:rFonts w:hint="eastAsia" w:ascii="宋体" w:hAnsi="宋体" w:eastAsia="宋体"/>
          <w:b w:val="0"/>
          <w:color w:val="auto"/>
          <w:sz w:val="21"/>
          <w:szCs w:val="21"/>
          <w:highlight w:val="none"/>
          <w:lang w:val="en-US" w:eastAsia="zh-CN"/>
        </w:rPr>
        <w:t>设置总监理工程师办公室负责本项目路基、路面、桥涵、绿化、交通安全设施、房建等工程的施工准备期、施工期、验收与缺陷责任期施工质量、进度、安全、环保的监理等服务、试验检测服务工作及路面基层、面层技术咨询服务工作</w:t>
      </w:r>
      <w:r>
        <w:rPr>
          <w:rStyle w:val="8"/>
          <w:rFonts w:ascii="宋体" w:hAnsi="宋体" w:eastAsia="宋体" w:cs="宋体"/>
          <w:b w:val="0"/>
          <w:color w:val="auto"/>
          <w:sz w:val="21"/>
          <w:szCs w:val="21"/>
          <w:highlight w:val="none"/>
          <w:lang w:val="en-US" w:eastAsia="zh-CN"/>
        </w:rPr>
        <w:t>。</w:t>
      </w:r>
    </w:p>
    <w:p w14:paraId="010538C9">
      <w:pPr>
        <w:spacing w:line="480" w:lineRule="exact"/>
        <w:ind w:firstLine="420" w:firstLineChars="200"/>
        <w:jc w:val="left"/>
        <w:rPr>
          <w:rStyle w:val="8"/>
          <w:rFonts w:ascii="宋体" w:hAnsi="宋体" w:eastAsia="宋体" w:cs="宋体"/>
          <w:b w:val="0"/>
          <w:color w:val="auto"/>
          <w:sz w:val="21"/>
          <w:szCs w:val="21"/>
          <w:highlight w:val="none"/>
          <w:lang w:val="en-US" w:eastAsia="zh-CN"/>
        </w:rPr>
      </w:pPr>
      <w:bookmarkStart w:id="0" w:name="_Hlk6412786"/>
      <w:r>
        <w:rPr>
          <w:rStyle w:val="8"/>
          <w:rFonts w:hint="eastAsia" w:ascii="宋体" w:hAnsi="宋体" w:eastAsia="宋体" w:cs="宋体"/>
          <w:b w:val="0"/>
          <w:color w:val="auto"/>
          <w:sz w:val="21"/>
          <w:szCs w:val="21"/>
          <w:highlight w:val="none"/>
          <w:lang w:val="en-US" w:eastAsia="zh-CN"/>
        </w:rPr>
        <w:t>2.5质量要求:</w:t>
      </w:r>
      <w:r>
        <w:rPr>
          <w:rFonts w:hint="eastAsia"/>
          <w:color w:val="auto"/>
          <w:highlight w:val="none"/>
        </w:rPr>
        <w:t xml:space="preserve"> </w:t>
      </w:r>
      <w:r>
        <w:rPr>
          <w:rStyle w:val="8"/>
          <w:rFonts w:hint="eastAsia" w:ascii="宋体" w:hAnsi="宋体" w:eastAsia="宋体" w:cs="宋体"/>
          <w:b w:val="0"/>
          <w:color w:val="auto"/>
          <w:sz w:val="21"/>
          <w:szCs w:val="21"/>
          <w:highlight w:val="none"/>
          <w:lang w:val="en-US" w:eastAsia="zh-CN"/>
        </w:rPr>
        <w:t>服务质量满足《公路工程施工监理规范》（</w:t>
      </w:r>
      <w:r>
        <w:rPr>
          <w:rStyle w:val="8"/>
          <w:rFonts w:ascii="宋体" w:hAnsi="宋体" w:eastAsia="宋体" w:cs="宋体"/>
          <w:b w:val="0"/>
          <w:color w:val="auto"/>
          <w:sz w:val="21"/>
          <w:szCs w:val="21"/>
          <w:highlight w:val="none"/>
          <w:lang w:val="en-US" w:eastAsia="zh-CN"/>
        </w:rPr>
        <w:t>JTG G10-2016）,工程质量符合国家现行的《公路工程质量检验评定标准》（JTG F80/1-2017），竣交工验收依据《公路工程竣（交）工验收办法实施细则》（交公路发〔2010〕65号）规定，标段工程交工验收质量评定为合格；竣工验收工程质量评定为优良</w:t>
      </w:r>
      <w:r>
        <w:rPr>
          <w:rStyle w:val="8"/>
          <w:rFonts w:hint="eastAsia" w:ascii="宋体" w:hAnsi="宋体" w:eastAsia="宋体" w:cs="宋体"/>
          <w:b w:val="0"/>
          <w:color w:val="auto"/>
          <w:sz w:val="21"/>
          <w:szCs w:val="21"/>
          <w:highlight w:val="none"/>
          <w:lang w:val="en-US" w:eastAsia="zh-CN"/>
        </w:rPr>
        <w:t>。</w:t>
      </w:r>
    </w:p>
    <w:p w14:paraId="3E0B1660">
      <w:pPr>
        <w:spacing w:line="480" w:lineRule="exact"/>
        <w:ind w:firstLine="420" w:firstLineChars="200"/>
        <w:jc w:val="left"/>
        <w:rPr>
          <w:rStyle w:val="8"/>
          <w:rFonts w:ascii="宋体" w:hAnsi="宋体" w:eastAsia="宋体" w:cs="宋体"/>
          <w:b w:val="0"/>
          <w:color w:val="auto"/>
          <w:sz w:val="21"/>
          <w:szCs w:val="21"/>
          <w:highlight w:val="none"/>
          <w:lang w:val="en-US" w:eastAsia="zh-CN"/>
        </w:rPr>
      </w:pPr>
      <w:r>
        <w:rPr>
          <w:rStyle w:val="8"/>
          <w:rFonts w:hint="eastAsia" w:ascii="宋体" w:hAnsi="宋体" w:eastAsia="宋体" w:cs="宋体"/>
          <w:b w:val="0"/>
          <w:color w:val="auto"/>
          <w:sz w:val="21"/>
          <w:szCs w:val="21"/>
          <w:highlight w:val="none"/>
          <w:lang w:val="en-US" w:eastAsia="zh-CN"/>
        </w:rPr>
        <w:t>2.6安全目标：</w:t>
      </w:r>
      <w:bookmarkEnd w:id="0"/>
      <w:r>
        <w:rPr>
          <w:rFonts w:hint="eastAsia" w:ascii="宋体" w:hAnsi="宋体" w:eastAsia="宋体" w:cs="宋体"/>
          <w:color w:val="auto"/>
          <w:szCs w:val="21"/>
          <w:highlight w:val="none"/>
        </w:rPr>
        <w:t>在项目建设过程中杜绝重大安全责任事故，避免发生较大安全责任事故，</w:t>
      </w:r>
      <w:r>
        <w:rPr>
          <w:rFonts w:hint="eastAsia" w:ascii="宋体" w:hAnsi="宋体" w:eastAsia="宋体" w:cs="宋体"/>
          <w:color w:val="auto"/>
          <w:szCs w:val="21"/>
          <w:highlight w:val="none"/>
          <w:lang w:val="en-US" w:eastAsia="zh-CN"/>
        </w:rPr>
        <w:t>减少一般安全责任事故，实现安全责任事故零死亡</w:t>
      </w:r>
      <w:r>
        <w:rPr>
          <w:rFonts w:hint="eastAsia" w:ascii="宋体" w:hAnsi="宋体" w:eastAsia="宋体" w:cs="宋体"/>
          <w:color w:val="auto"/>
          <w:szCs w:val="21"/>
          <w:highlight w:val="none"/>
        </w:rPr>
        <w:t>，满足国家交通运输部及黑龙江省相关规定</w:t>
      </w:r>
      <w:r>
        <w:rPr>
          <w:rStyle w:val="8"/>
          <w:rFonts w:hint="eastAsia" w:ascii="宋体" w:hAnsi="宋体" w:eastAsia="宋体" w:cs="宋体"/>
          <w:b w:val="0"/>
          <w:color w:val="auto"/>
          <w:sz w:val="21"/>
          <w:szCs w:val="21"/>
          <w:highlight w:val="none"/>
          <w:lang w:val="en-US" w:eastAsia="zh-CN"/>
        </w:rPr>
        <w:t>。</w:t>
      </w:r>
    </w:p>
    <w:p w14:paraId="2CF47125">
      <w:pPr>
        <w:spacing w:line="480" w:lineRule="exact"/>
        <w:ind w:firstLine="420" w:firstLineChars="200"/>
        <w:jc w:val="left"/>
        <w:rPr>
          <w:rStyle w:val="8"/>
          <w:rFonts w:ascii="宋体" w:hAnsi="宋体" w:eastAsia="宋体" w:cs="宋体"/>
          <w:b w:val="0"/>
          <w:color w:val="auto"/>
          <w:sz w:val="21"/>
          <w:szCs w:val="21"/>
          <w:highlight w:val="none"/>
          <w:lang w:val="en-US" w:eastAsia="zh-CN"/>
        </w:rPr>
      </w:pPr>
      <w:r>
        <w:rPr>
          <w:rStyle w:val="8"/>
          <w:rFonts w:hint="eastAsia" w:ascii="宋体" w:hAnsi="宋体" w:eastAsia="宋体" w:cs="宋体"/>
          <w:b w:val="0"/>
          <w:color w:val="auto"/>
          <w:sz w:val="21"/>
          <w:szCs w:val="21"/>
          <w:highlight w:val="none"/>
          <w:lang w:val="en-US" w:eastAsia="zh-CN"/>
        </w:rPr>
        <w:t>2.7标段</w:t>
      </w:r>
      <w:r>
        <w:rPr>
          <w:rFonts w:hint="eastAsia" w:ascii="宋体" w:hAnsi="宋体" w:eastAsia="宋体" w:cs="宋体"/>
          <w:bCs/>
          <w:color w:val="auto"/>
          <w:szCs w:val="21"/>
          <w:highlight w:val="none"/>
        </w:rPr>
        <w:t>划分</w:t>
      </w:r>
      <w:r>
        <w:rPr>
          <w:rStyle w:val="8"/>
          <w:rFonts w:hint="eastAsia" w:ascii="宋体" w:hAnsi="宋体" w:eastAsia="宋体" w:cs="宋体"/>
          <w:b w:val="0"/>
          <w:color w:val="auto"/>
          <w:sz w:val="21"/>
          <w:szCs w:val="21"/>
          <w:highlight w:val="none"/>
          <w:lang w:val="en-US" w:eastAsia="zh-CN"/>
        </w:rPr>
        <w:t>：本次招标共划分为1个标段，标段主要工作内容见下表：</w:t>
      </w:r>
    </w:p>
    <w:tbl>
      <w:tblPr>
        <w:tblStyle w:val="6"/>
        <w:tblW w:w="8974" w:type="dxa"/>
        <w:tblInd w:w="93" w:type="dxa"/>
        <w:tblLayout w:type="fixed"/>
        <w:tblCellMar>
          <w:top w:w="0" w:type="dxa"/>
          <w:left w:w="108" w:type="dxa"/>
          <w:bottom w:w="0" w:type="dxa"/>
          <w:right w:w="108" w:type="dxa"/>
        </w:tblCellMar>
      </w:tblPr>
      <w:tblGrid>
        <w:gridCol w:w="1174"/>
        <w:gridCol w:w="1470"/>
        <w:gridCol w:w="1305"/>
        <w:gridCol w:w="3296"/>
        <w:gridCol w:w="1729"/>
      </w:tblGrid>
      <w:tr w14:paraId="0D74739A">
        <w:tblPrEx>
          <w:tblCellMar>
            <w:top w:w="0" w:type="dxa"/>
            <w:left w:w="108" w:type="dxa"/>
            <w:bottom w:w="0" w:type="dxa"/>
            <w:right w:w="108" w:type="dxa"/>
          </w:tblCellMar>
        </w:tblPrEx>
        <w:trPr>
          <w:trHeight w:val="759" w:hRule="atLeast"/>
        </w:trPr>
        <w:tc>
          <w:tcPr>
            <w:tcW w:w="117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FBCB113">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监理标段</w:t>
            </w:r>
          </w:p>
        </w:tc>
        <w:tc>
          <w:tcPr>
            <w:tcW w:w="147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CE30710">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起终点</w:t>
            </w:r>
          </w:p>
        </w:tc>
        <w:tc>
          <w:tcPr>
            <w:tcW w:w="130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0C9BBB5">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长度(公里)</w:t>
            </w:r>
          </w:p>
        </w:tc>
        <w:tc>
          <w:tcPr>
            <w:tcW w:w="329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129A1E4">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监理主要工程内容</w:t>
            </w:r>
          </w:p>
        </w:tc>
        <w:tc>
          <w:tcPr>
            <w:tcW w:w="1729"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78446BA9">
            <w:pPr>
              <w:widowControl/>
              <w:jc w:val="center"/>
              <w:textAlignment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招标控制价</w:t>
            </w:r>
          </w:p>
          <w:p w14:paraId="30680DD0">
            <w:pPr>
              <w:widowControl/>
              <w:jc w:val="center"/>
              <w:textAlignment w:val="center"/>
              <w:rPr>
                <w:rFonts w:ascii="宋体" w:hAnsi="宋体" w:eastAsia="宋体" w:cs="宋体"/>
                <w:b/>
                <w:bCs/>
                <w:color w:val="auto"/>
                <w:sz w:val="24"/>
                <w:szCs w:val="24"/>
                <w:highlight w:val="none"/>
              </w:rPr>
            </w:pPr>
            <w:r>
              <w:rPr>
                <w:rFonts w:ascii="宋体" w:hAnsi="宋体" w:eastAsia="宋体" w:cs="宋体"/>
                <w:b/>
                <w:bCs/>
                <w:color w:val="auto"/>
                <w:kern w:val="0"/>
                <w:szCs w:val="21"/>
                <w:highlight w:val="none"/>
              </w:rPr>
              <w:t>(万元)</w:t>
            </w:r>
          </w:p>
        </w:tc>
      </w:tr>
      <w:tr w14:paraId="0223E589">
        <w:tblPrEx>
          <w:tblCellMar>
            <w:top w:w="0" w:type="dxa"/>
            <w:left w:w="108" w:type="dxa"/>
            <w:bottom w:w="0" w:type="dxa"/>
            <w:right w:w="108" w:type="dxa"/>
          </w:tblCellMar>
        </w:tblPrEx>
        <w:trPr>
          <w:trHeight w:val="1496" w:hRule="atLeast"/>
        </w:trPr>
        <w:tc>
          <w:tcPr>
            <w:tcW w:w="117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98846E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Z1</w:t>
            </w:r>
            <w:r>
              <w:rPr>
                <w:rFonts w:ascii="宋体" w:hAnsi="宋体" w:eastAsia="宋体" w:cs="宋体"/>
                <w:color w:val="auto"/>
                <w:szCs w:val="21"/>
                <w:highlight w:val="none"/>
              </w:rPr>
              <w:t xml:space="preserve"> </w:t>
            </w:r>
          </w:p>
        </w:tc>
        <w:tc>
          <w:tcPr>
            <w:tcW w:w="147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0D7F293">
            <w:pPr>
              <w:widowControl/>
              <w:jc w:val="center"/>
              <w:textAlignment w:val="center"/>
              <w:rPr>
                <w:rFonts w:ascii="宋体" w:hAnsi="宋体" w:eastAsia="宋体" w:cs="宋体"/>
                <w:color w:val="auto"/>
                <w:szCs w:val="21"/>
                <w:highlight w:val="none"/>
              </w:rPr>
            </w:pPr>
            <w:r>
              <w:rPr>
                <w:rFonts w:ascii="仿宋" w:hAnsi="仿宋" w:eastAsia="仿宋" w:cs="仿宋"/>
                <w:color w:val="auto"/>
                <w:szCs w:val="21"/>
                <w:highlight w:val="none"/>
              </w:rPr>
              <w:t>K6+</w:t>
            </w:r>
            <w:r>
              <w:rPr>
                <w:rFonts w:hint="eastAsia" w:ascii="仿宋" w:hAnsi="仿宋" w:eastAsia="仿宋" w:cs="仿宋"/>
                <w:color w:val="auto"/>
                <w:szCs w:val="21"/>
                <w:highlight w:val="none"/>
              </w:rPr>
              <w:t>196-</w:t>
            </w:r>
            <w:r>
              <w:rPr>
                <w:rFonts w:ascii="仿宋" w:hAnsi="仿宋" w:eastAsia="仿宋" w:cs="仿宋"/>
                <w:color w:val="auto"/>
                <w:szCs w:val="21"/>
                <w:highlight w:val="none"/>
              </w:rPr>
              <w:t>K50+</w:t>
            </w:r>
            <w:r>
              <w:rPr>
                <w:rFonts w:hint="eastAsia" w:ascii="仿宋" w:hAnsi="仿宋" w:eastAsia="仿宋" w:cs="仿宋"/>
                <w:color w:val="auto"/>
                <w:szCs w:val="21"/>
                <w:highlight w:val="none"/>
              </w:rPr>
              <w:t>931</w:t>
            </w:r>
          </w:p>
        </w:tc>
        <w:tc>
          <w:tcPr>
            <w:tcW w:w="1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60AF478">
            <w:pPr>
              <w:widowControl/>
              <w:jc w:val="center"/>
              <w:textAlignment w:val="center"/>
              <w:rPr>
                <w:rFonts w:ascii="宋体" w:hAnsi="宋体" w:eastAsia="宋体" w:cs="宋体"/>
                <w:color w:val="auto"/>
                <w:szCs w:val="21"/>
                <w:highlight w:val="none"/>
              </w:rPr>
            </w:pPr>
            <w:r>
              <w:rPr>
                <w:rFonts w:hint="eastAsia" w:ascii="宋体" w:hAnsi="宋体" w:cs="宋体"/>
                <w:color w:val="auto"/>
                <w:kern w:val="0"/>
                <w:szCs w:val="21"/>
                <w:highlight w:val="none"/>
                <w:lang w:val="zh-CN"/>
              </w:rPr>
              <w:t>44.735</w:t>
            </w:r>
          </w:p>
        </w:tc>
        <w:tc>
          <w:tcPr>
            <w:tcW w:w="329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13492FE">
            <w:pPr>
              <w:pStyle w:val="3"/>
              <w:spacing w:line="360" w:lineRule="auto"/>
              <w:rPr>
                <w:rStyle w:val="8"/>
                <w:rFonts w:ascii="宋体" w:hAnsi="宋体" w:eastAsia="宋体" w:cs="宋体"/>
                <w:b w:val="0"/>
                <w:color w:val="auto"/>
                <w:sz w:val="21"/>
                <w:szCs w:val="21"/>
                <w:highlight w:val="none"/>
                <w:lang w:val="en-US" w:eastAsia="zh-CN"/>
              </w:rPr>
            </w:pPr>
            <w:r>
              <w:rPr>
                <w:rStyle w:val="8"/>
                <w:rFonts w:hint="eastAsia" w:ascii="宋体" w:hAnsi="宋体" w:eastAsia="宋体" w:cs="宋体"/>
                <w:b w:val="0"/>
                <w:color w:val="auto"/>
                <w:sz w:val="21"/>
                <w:szCs w:val="21"/>
                <w:highlight w:val="none"/>
                <w:lang w:val="en-US" w:eastAsia="zh-CN"/>
              </w:rPr>
              <w:t>路基、路面、桥梁涵洞、交叉工程、</w:t>
            </w:r>
          </w:p>
          <w:p w14:paraId="4873B3D7">
            <w:pPr>
              <w:pStyle w:val="3"/>
              <w:spacing w:line="360" w:lineRule="auto"/>
              <w:rPr>
                <w:rFonts w:ascii="宋体" w:hAnsi="宋体" w:eastAsia="宋体" w:cs="宋体"/>
                <w:color w:val="auto"/>
                <w:szCs w:val="21"/>
                <w:highlight w:val="none"/>
              </w:rPr>
            </w:pPr>
            <w:r>
              <w:rPr>
                <w:rStyle w:val="8"/>
                <w:rFonts w:hint="eastAsia" w:ascii="宋体" w:hAnsi="宋体" w:eastAsia="宋体" w:cs="宋体"/>
                <w:b w:val="0"/>
                <w:color w:val="auto"/>
                <w:sz w:val="21"/>
                <w:szCs w:val="21"/>
                <w:highlight w:val="none"/>
                <w:lang w:val="en-US" w:eastAsia="zh-CN"/>
              </w:rPr>
              <w:t>绿化及环境保护工程施工</w:t>
            </w:r>
            <w:r>
              <w:rPr>
                <w:rStyle w:val="8"/>
                <w:rFonts w:ascii="宋体" w:hAnsi="宋体" w:eastAsia="宋体" w:cs="宋体"/>
                <w:b w:val="0"/>
                <w:color w:val="auto"/>
                <w:sz w:val="21"/>
                <w:szCs w:val="21"/>
                <w:highlight w:val="none"/>
                <w:lang w:val="en-US" w:eastAsia="zh-CN"/>
              </w:rPr>
              <w:t>。</w:t>
            </w:r>
          </w:p>
        </w:tc>
        <w:tc>
          <w:tcPr>
            <w:tcW w:w="1729"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018C5CB">
            <w:pPr>
              <w:widowControl/>
              <w:spacing w:line="36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229</w:t>
            </w:r>
          </w:p>
        </w:tc>
      </w:tr>
    </w:tbl>
    <w:p w14:paraId="3E7E4DE5">
      <w:pPr>
        <w:spacing w:line="360" w:lineRule="auto"/>
        <w:ind w:firstLine="422" w:firstLineChars="200"/>
        <w:jc w:val="left"/>
        <w:rPr>
          <w:rFonts w:ascii="宋体" w:hAnsi="宋体" w:eastAsia="宋体" w:cs="宋体"/>
          <w:b/>
          <w:color w:val="auto"/>
          <w:szCs w:val="21"/>
          <w:highlight w:val="none"/>
        </w:rPr>
      </w:pPr>
      <w:bookmarkStart w:id="1" w:name="_Toc509393621"/>
      <w:bookmarkStart w:id="2" w:name="_Toc509470604"/>
      <w:bookmarkStart w:id="3" w:name="_Toc509387329"/>
      <w:r>
        <w:rPr>
          <w:rFonts w:hint="eastAsia" w:ascii="宋体" w:hAnsi="宋体" w:eastAsia="宋体" w:cs="宋体"/>
          <w:b/>
          <w:color w:val="auto"/>
          <w:szCs w:val="21"/>
          <w:highlight w:val="none"/>
        </w:rPr>
        <w:t>3.投标人资格要求</w:t>
      </w:r>
      <w:bookmarkEnd w:id="1"/>
      <w:bookmarkEnd w:id="2"/>
      <w:bookmarkEnd w:id="3"/>
    </w:p>
    <w:p w14:paraId="28B8EAF5">
      <w:pPr>
        <w:spacing w:line="360" w:lineRule="auto"/>
        <w:ind w:firstLine="420" w:firstLineChars="200"/>
        <w:jc w:val="left"/>
        <w:rPr>
          <w:rFonts w:ascii="宋体" w:hAnsi="宋体" w:eastAsia="宋体" w:cs="宋体"/>
          <w:color w:val="auto"/>
          <w:szCs w:val="21"/>
          <w:highlight w:val="none"/>
        </w:rPr>
      </w:pPr>
      <w:r>
        <w:rPr>
          <w:rStyle w:val="8"/>
          <w:rFonts w:hint="eastAsia" w:ascii="宋体" w:hAnsi="宋体" w:eastAsia="宋体" w:cs="宋体"/>
          <w:b w:val="0"/>
          <w:color w:val="auto"/>
          <w:sz w:val="21"/>
          <w:szCs w:val="21"/>
          <w:highlight w:val="none"/>
          <w:lang w:eastAsia="zh-CN"/>
        </w:rPr>
        <w:t>3.1</w:t>
      </w:r>
      <w:r>
        <w:rPr>
          <w:rFonts w:hint="eastAsia" w:ascii="宋体" w:hAnsi="宋体" w:eastAsia="宋体" w:cs="宋体"/>
          <w:bCs/>
          <w:color w:val="auto"/>
          <w:szCs w:val="21"/>
          <w:highlight w:val="none"/>
        </w:rPr>
        <w:t>本次</w:t>
      </w:r>
      <w:r>
        <w:rPr>
          <w:rFonts w:hint="eastAsia" w:ascii="宋体" w:hAnsi="宋体" w:eastAsia="宋体" w:cs="宋体"/>
          <w:color w:val="auto"/>
          <w:szCs w:val="21"/>
          <w:highlight w:val="none"/>
        </w:rPr>
        <w:t>招标要求投标人须具备国内独立法人资格，持有</w:t>
      </w:r>
      <w:r>
        <w:rPr>
          <w:rFonts w:hint="eastAsia" w:ascii="宋体" w:hAnsi="宋体" w:eastAsia="宋体" w:cs="宋体"/>
          <w:color w:val="auto"/>
          <w:szCs w:val="21"/>
          <w:highlight w:val="none"/>
          <w:lang w:val="en-US" w:eastAsia="zh-CN"/>
        </w:rPr>
        <w:t>市场监督行政管理部门</w:t>
      </w:r>
      <w:r>
        <w:rPr>
          <w:rFonts w:hint="eastAsia" w:ascii="宋体" w:hAnsi="宋体" w:eastAsia="宋体" w:cs="宋体"/>
          <w:color w:val="auto"/>
          <w:szCs w:val="21"/>
          <w:highlight w:val="none"/>
        </w:rPr>
        <w:t>核发的企业法人营业执照，并在人员、设备、资金及试验仪器等方面具有相应的监理能力，且同时满足下列要求：</w:t>
      </w:r>
    </w:p>
    <w:p w14:paraId="64175492">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3.1.1资质最低要求</w:t>
      </w:r>
    </w:p>
    <w:p w14:paraId="19017C15">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1）投标人须具备中华人民共和国交通运输部颁发的公路工程</w:t>
      </w:r>
      <w:r>
        <w:rPr>
          <w:rFonts w:hint="eastAsia" w:ascii="宋体" w:hAnsi="宋体" w:eastAsia="宋体" w:cs="宋体"/>
          <w:color w:val="auto"/>
          <w:szCs w:val="21"/>
          <w:highlight w:val="none"/>
        </w:rPr>
        <w:t>乙级及以上</w:t>
      </w:r>
      <w:r>
        <w:rPr>
          <w:rFonts w:ascii="宋体" w:hAnsi="宋体" w:eastAsia="宋体" w:cs="宋体"/>
          <w:color w:val="auto"/>
          <w:szCs w:val="21"/>
          <w:highlight w:val="none"/>
        </w:rPr>
        <w:t>监理资质证书。</w:t>
      </w:r>
    </w:p>
    <w:p w14:paraId="6CB1895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投标人应进入交通运输部“</w:t>
      </w:r>
      <w:r>
        <w:rPr>
          <w:rFonts w:hint="eastAsia" w:ascii="宋体" w:hAnsi="宋体" w:eastAsia="宋体" w:cs="宋体"/>
          <w:color w:val="auto"/>
          <w:szCs w:val="21"/>
          <w:highlight w:val="none"/>
          <w:lang w:val="en-US" w:eastAsia="zh-CN"/>
        </w:rPr>
        <w:t>全国公路建设市场监督管理系统 （http://hwdms.mot.gov.cn）</w:t>
      </w:r>
      <w:r>
        <w:rPr>
          <w:rFonts w:ascii="宋体" w:hAnsi="宋体" w:eastAsia="宋体" w:cs="宋体"/>
          <w:color w:val="auto"/>
          <w:szCs w:val="21"/>
          <w:highlight w:val="none"/>
        </w:rPr>
        <w:t>”中的公路工程施工监理资质企业名录，且企业名称和资质与该名录中的相应企业名称和资质完全一致。</w:t>
      </w:r>
    </w:p>
    <w:p w14:paraId="689C1C93">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监理工作范围内的试验检测工作应由具备交通运输主管部门颁发的公路工程综合类乙级及以上等级试验检测资质的单位承担，试验检测单位应持有省级或以上质量技术监督部门颁发的CMA计量认证证书（含证书附表），若投标人不具备上述资质和证书，应在投标文件中注明委托满足上述要求的第三方对本标段进行试验检测，并附双方试验检测合同书或者意向书。满足上述要求的试验检测机构如果是投标人出资设立的视为投标人具备试验检测资质和证书要求。</w:t>
      </w:r>
    </w:p>
    <w:p w14:paraId="73CE7FD6">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3.1.2业绩最低要求</w:t>
      </w:r>
    </w:p>
    <w:p w14:paraId="57381FF5">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投标人近五年（201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 xml:space="preserve">月1日～投标文件递交截止时间止，以实际交工验收日期为准）交工验收达到合格标准且同时满足： </w:t>
      </w:r>
    </w:p>
    <w:p w14:paraId="7DD6DC84">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（1）累计独立完成过路基工程、路面工程里程不少于</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公里的二级及以上公路新建或改扩建主体工程施工监理项目（以标段计）。</w:t>
      </w:r>
    </w:p>
    <w:p w14:paraId="555DFDC9">
      <w:pPr>
        <w:pStyle w:val="5"/>
        <w:rPr>
          <w:color w:val="auto"/>
          <w:sz w:val="21"/>
          <w:szCs w:val="21"/>
          <w:highlight w:val="none"/>
          <w:lang w:val="en-US" w:eastAsia="zh-TW" w:bidi="ar-SA"/>
        </w:rPr>
      </w:pPr>
      <w:r>
        <w:rPr>
          <w:rFonts w:hint="eastAsia"/>
          <w:color w:val="auto"/>
          <w:sz w:val="21"/>
          <w:szCs w:val="21"/>
          <w:highlight w:val="none"/>
          <w:lang w:val="en-US" w:eastAsia="zh-TW" w:bidi="ar-SA"/>
        </w:rPr>
        <w:t>（</w:t>
      </w:r>
      <w:r>
        <w:rPr>
          <w:rFonts w:hint="eastAsia"/>
          <w:color w:val="auto"/>
          <w:sz w:val="21"/>
          <w:szCs w:val="21"/>
          <w:highlight w:val="none"/>
          <w:lang w:val="en-US" w:bidi="ar-SA"/>
        </w:rPr>
        <w:t>2</w:t>
      </w:r>
      <w:r>
        <w:rPr>
          <w:rFonts w:hint="eastAsia"/>
          <w:color w:val="auto"/>
          <w:sz w:val="21"/>
          <w:szCs w:val="21"/>
          <w:highlight w:val="none"/>
          <w:lang w:val="en-US" w:eastAsia="zh-TW" w:bidi="ar-SA"/>
        </w:rPr>
        <w:t>）独立完成过路基工程、路面工程里程不少于</w:t>
      </w:r>
      <w:r>
        <w:rPr>
          <w:color w:val="auto"/>
          <w:sz w:val="21"/>
          <w:szCs w:val="21"/>
          <w:highlight w:val="none"/>
          <w:lang w:val="en-US" w:eastAsia="zh-TW" w:bidi="ar-SA"/>
        </w:rPr>
        <w:t>10公里的</w:t>
      </w:r>
      <w:r>
        <w:rPr>
          <w:rFonts w:hint="eastAsia"/>
          <w:color w:val="auto"/>
          <w:sz w:val="21"/>
          <w:szCs w:val="21"/>
          <w:highlight w:val="none"/>
          <w:lang w:val="en-US" w:bidi="ar-SA"/>
        </w:rPr>
        <w:t>二</w:t>
      </w:r>
      <w:r>
        <w:rPr>
          <w:color w:val="auto"/>
          <w:sz w:val="21"/>
          <w:szCs w:val="21"/>
          <w:highlight w:val="none"/>
          <w:lang w:val="en-US" w:eastAsia="zh-TW" w:bidi="ar-SA"/>
        </w:rPr>
        <w:t>级及以上公路新建或改扩建主体工程施工监理项目（以标段计）。</w:t>
      </w:r>
    </w:p>
    <w:p w14:paraId="1976510B">
      <w:pPr>
        <w:pStyle w:val="5"/>
        <w:rPr>
          <w:rFonts w:hint="default"/>
          <w:color w:val="auto"/>
          <w:sz w:val="21"/>
          <w:szCs w:val="21"/>
          <w:highlight w:val="none"/>
          <w:lang w:val="en-US" w:eastAsia="zh-TW" w:bidi="ar-SA"/>
        </w:rPr>
      </w:pPr>
      <w:r>
        <w:rPr>
          <w:rFonts w:hint="eastAsia" w:ascii="宋体" w:hAnsi="宋体" w:eastAsia="宋体" w:cs="宋体"/>
          <w:color w:val="auto"/>
          <w:szCs w:val="21"/>
          <w:highlight w:val="none"/>
          <w:lang w:val="en-US" w:eastAsia="zh-CN"/>
        </w:rPr>
        <w:t>注：</w:t>
      </w:r>
      <w:r>
        <w:rPr>
          <w:rFonts w:hint="eastAsia"/>
          <w:color w:val="auto"/>
          <w:sz w:val="21"/>
          <w:szCs w:val="21"/>
          <w:highlight w:val="none"/>
          <w:lang w:val="en-US" w:eastAsia="zh-TW" w:bidi="ar-SA"/>
        </w:rPr>
        <w:t>（1）</w:t>
      </w:r>
      <w:r>
        <w:rPr>
          <w:rFonts w:hint="default"/>
          <w:color w:val="auto"/>
          <w:sz w:val="21"/>
          <w:szCs w:val="21"/>
          <w:highlight w:val="none"/>
          <w:lang w:val="en-US" w:eastAsia="zh-TW" w:bidi="ar-SA"/>
        </w:rPr>
        <w:t>如单个业绩能同时满足上述条件要求的，则该业绩可分别予以认定。</w:t>
      </w:r>
    </w:p>
    <w:p w14:paraId="4A5D89DA">
      <w:pPr>
        <w:pStyle w:val="5"/>
        <w:rPr>
          <w:rFonts w:hint="default"/>
          <w:color w:val="auto"/>
          <w:sz w:val="21"/>
          <w:szCs w:val="21"/>
          <w:highlight w:val="none"/>
          <w:lang w:val="en-US" w:eastAsia="zh-TW" w:bidi="ar-SA"/>
        </w:rPr>
      </w:pPr>
      <w:r>
        <w:rPr>
          <w:rFonts w:hint="eastAsia"/>
          <w:color w:val="auto"/>
          <w:sz w:val="21"/>
          <w:szCs w:val="21"/>
          <w:highlight w:val="none"/>
          <w:lang w:val="en-US" w:eastAsia="zh-TW" w:bidi="ar-SA"/>
        </w:rPr>
        <w:t>（2）</w:t>
      </w:r>
      <w:r>
        <w:rPr>
          <w:rFonts w:hint="default"/>
          <w:color w:val="auto"/>
          <w:sz w:val="21"/>
          <w:szCs w:val="21"/>
          <w:highlight w:val="none"/>
          <w:lang w:val="en-US" w:eastAsia="zh-TW" w:bidi="ar-SA"/>
        </w:rPr>
        <w:t>业绩指新建或改扩建项目，不含养护工程。</w:t>
      </w:r>
    </w:p>
    <w:p w14:paraId="44DCCB0A">
      <w:pPr>
        <w:pStyle w:val="5"/>
        <w:rPr>
          <w:color w:val="auto"/>
          <w:sz w:val="21"/>
          <w:szCs w:val="21"/>
          <w:highlight w:val="none"/>
          <w:lang w:val="en-US" w:eastAsia="zh-TW" w:bidi="ar-SA"/>
        </w:rPr>
      </w:pPr>
      <w:r>
        <w:rPr>
          <w:rFonts w:hint="default"/>
          <w:color w:val="auto"/>
          <w:sz w:val="21"/>
          <w:szCs w:val="21"/>
          <w:highlight w:val="none"/>
          <w:lang w:val="en-US" w:eastAsia="zh-TW" w:bidi="ar-SA"/>
        </w:rPr>
        <w:t>如投标人提供高速公路、一级公路业绩的，其公路里程可折算成2倍的二级公路里程。</w:t>
      </w:r>
    </w:p>
    <w:p w14:paraId="7FF2FC26">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3.1.3总监理工程师最低要求</w:t>
      </w:r>
    </w:p>
    <w:p w14:paraId="3A2522EF">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具有交通运输主管部门颁发的公路工程监理工程师资格证书（道路与桥梁）及安全、环保培训证书（如在</w:t>
      </w:r>
      <w:r>
        <w:rPr>
          <w:rFonts w:ascii="宋体" w:hAnsi="宋体" w:eastAsia="宋体" w:cs="宋体"/>
          <w:color w:val="auto"/>
          <w:szCs w:val="21"/>
          <w:highlight w:val="none"/>
        </w:rPr>
        <w:t>2011年1月1日后取得的监理工程师资格，可不附安全、环保培训证书）或交通运输部与人力资源和社会保障部颁发并经注册登记的《监理工程师职业资格证书》（交通运输工程），且已在投标人处进行岗位登记，具有公路工程相关专业</w:t>
      </w:r>
      <w:r>
        <w:rPr>
          <w:rFonts w:hint="eastAsia" w:ascii="宋体" w:hAnsi="宋体" w:eastAsia="宋体" w:cs="宋体"/>
          <w:color w:val="auto"/>
          <w:szCs w:val="21"/>
          <w:highlight w:val="none"/>
          <w:lang w:val="en-US" w:eastAsia="zh-CN"/>
        </w:rPr>
        <w:t>高级</w:t>
      </w:r>
      <w:r>
        <w:rPr>
          <w:rFonts w:ascii="宋体" w:hAnsi="宋体" w:eastAsia="宋体" w:cs="宋体"/>
          <w:color w:val="auto"/>
          <w:szCs w:val="21"/>
          <w:highlight w:val="none"/>
        </w:rPr>
        <w:t>工程师</w:t>
      </w:r>
      <w:r>
        <w:rPr>
          <w:rFonts w:hint="eastAsia" w:ascii="宋体" w:hAnsi="宋体" w:eastAsia="宋体" w:cs="宋体"/>
          <w:color w:val="auto"/>
          <w:szCs w:val="21"/>
          <w:highlight w:val="none"/>
        </w:rPr>
        <w:t>及以上</w:t>
      </w:r>
      <w:r>
        <w:rPr>
          <w:rFonts w:ascii="宋体" w:hAnsi="宋体" w:eastAsia="宋体" w:cs="宋体"/>
          <w:color w:val="auto"/>
          <w:szCs w:val="21"/>
          <w:highlight w:val="none"/>
        </w:rPr>
        <w:t>资格。</w:t>
      </w:r>
    </w:p>
    <w:p w14:paraId="07FA9926">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3.1.4试验室主任最低要求：</w:t>
      </w:r>
    </w:p>
    <w:p w14:paraId="2617FA0D">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具有交通运输主管部门颁发的试验检测师资格证书（检测专业同时包含道路工程、桥梁隧道工程、交通工程）或试验检测工程师资格证书〔检测专业同时包含道路、桥梁隧道、交通工程（或公路、材料、桥梁、交通安全设施四项）〕</w:t>
      </w:r>
      <w:r>
        <w:rPr>
          <w:rFonts w:hint="eastAsia" w:ascii="宋体" w:hAnsi="宋体" w:eastAsia="宋体" w:cs="宋体"/>
          <w:color w:val="auto"/>
          <w:szCs w:val="21"/>
          <w:highlight w:val="none"/>
        </w:rPr>
        <w:t>。</w:t>
      </w:r>
    </w:p>
    <w:p w14:paraId="27D8DE0F">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3.1.5信誉最低要求</w:t>
      </w:r>
    </w:p>
    <w:p w14:paraId="419C5AC1">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1）本次招标不接受202</w:t>
      </w: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rPr>
        <w:t>年度黑龙江省交通运输厅公路施工监理单位</w:t>
      </w:r>
      <w:r>
        <w:rPr>
          <w:rFonts w:hint="eastAsia" w:ascii="宋体" w:hAnsi="宋体" w:eastAsia="宋体" w:cs="宋体"/>
          <w:color w:val="auto"/>
          <w:szCs w:val="21"/>
          <w:highlight w:val="none"/>
        </w:rPr>
        <w:t>及检测机构</w:t>
      </w:r>
      <w:r>
        <w:rPr>
          <w:rFonts w:ascii="宋体" w:hAnsi="宋体" w:eastAsia="宋体" w:cs="宋体"/>
          <w:color w:val="auto"/>
          <w:szCs w:val="21"/>
          <w:highlight w:val="none"/>
        </w:rPr>
        <w:t>信用评价或202</w:t>
      </w: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rPr>
        <w:t>年度交通运输部公路建设市场全国综合信用评价被认定为D级的投标人提出投标申请。</w:t>
      </w:r>
    </w:p>
    <w:p w14:paraId="1B7EB8B1">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2）近三年（20</w:t>
      </w:r>
      <w:r>
        <w:rPr>
          <w:rFonts w:hint="eastAsia" w:ascii="宋体" w:hAnsi="宋体" w:eastAsia="宋体" w:cs="宋体"/>
          <w:color w:val="auto"/>
          <w:szCs w:val="21"/>
          <w:highlight w:val="none"/>
          <w:lang w:val="en-US" w:eastAsia="zh-CN"/>
        </w:rPr>
        <w:t>21</w:t>
      </w:r>
      <w:r>
        <w:rPr>
          <w:rFonts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12</w:t>
      </w:r>
      <w:r>
        <w:rPr>
          <w:rFonts w:ascii="宋体" w:hAnsi="宋体" w:eastAsia="宋体" w:cs="宋体"/>
          <w:color w:val="auto"/>
          <w:szCs w:val="21"/>
          <w:highlight w:val="none"/>
        </w:rPr>
        <w:t>月1日～</w:t>
      </w:r>
      <w:r>
        <w:rPr>
          <w:rFonts w:hint="eastAsia" w:ascii="宋体" w:hAnsi="宋体" w:eastAsia="宋体" w:cs="宋体"/>
          <w:color w:val="auto"/>
          <w:szCs w:val="21"/>
          <w:highlight w:val="none"/>
          <w:lang w:val="en-US" w:eastAsia="zh-CN"/>
        </w:rPr>
        <w:t>至开标时间之前(投标期间)</w:t>
      </w:r>
      <w:r>
        <w:rPr>
          <w:rFonts w:ascii="宋体" w:hAnsi="宋体" w:eastAsia="宋体" w:cs="宋体"/>
          <w:color w:val="auto"/>
          <w:szCs w:val="21"/>
          <w:highlight w:val="none"/>
        </w:rPr>
        <w:t>）投标人或其法定代表人、拟委任的总监理工程师及试验室主任有行贿犯罪记录的（以投标人提供的承诺为准），不得参加本项目投标。</w:t>
      </w:r>
    </w:p>
    <w:p w14:paraId="64D4AD8E">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3）在“信用中国”网站（http://www.creditchina.gov.cn）或“信用中国（黑龙江）”网站（http://www.hljcredit.gov.cn/）中，被列入失信被执行人名单的投标人，不得参加本项目投标。</w:t>
      </w:r>
    </w:p>
    <w:p w14:paraId="6B0A3768">
      <w:pPr>
        <w:spacing w:line="360" w:lineRule="auto"/>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3.2本次招标不接受联合体投标。</w:t>
      </w:r>
    </w:p>
    <w:p w14:paraId="20161531">
      <w:pPr>
        <w:spacing w:line="360" w:lineRule="auto"/>
        <w:ind w:firstLine="420" w:firstLineChars="200"/>
        <w:jc w:val="left"/>
        <w:rPr>
          <w:rFonts w:ascii="宋体" w:hAnsi="宋体" w:eastAsia="宋体" w:cs="宋体"/>
          <w:color w:val="auto"/>
          <w:szCs w:val="21"/>
          <w:highlight w:val="none"/>
        </w:rPr>
      </w:pPr>
      <w:bookmarkStart w:id="4" w:name="_Toc509387330"/>
      <w:bookmarkStart w:id="5" w:name="_Toc509393622"/>
      <w:bookmarkStart w:id="6" w:name="_Toc509470605"/>
      <w:r>
        <w:rPr>
          <w:rFonts w:ascii="宋体" w:hAnsi="宋体" w:eastAsia="宋体" w:cs="宋体"/>
          <w:color w:val="auto"/>
          <w:szCs w:val="21"/>
          <w:highlight w:val="none"/>
        </w:rPr>
        <w:t>3.3与招标人存在利害关系可能影响招标公正性的单位，不得参加投标。单位负责人为同一人或存在控股、管理关系的不同单位，不得同时参加本项目同一标段投标，否则，相关投标均无效。</w:t>
      </w:r>
    </w:p>
    <w:p w14:paraId="46A5A8A7">
      <w:pPr>
        <w:spacing w:line="360" w:lineRule="auto"/>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3.4拟参与本项目施工监理投标的投标人须自行调查与其存在关联企业关系的施工企业在本项目施工招标中的中标情况，若存在关联关系的施工监理单位与施工企业在中标后形成监理与被监理关系，评标委员会将取消施工监理投标人的第一中标候选人资格。</w:t>
      </w:r>
    </w:p>
    <w:p w14:paraId="3C5FBF5F">
      <w:pPr>
        <w:spacing w:line="360" w:lineRule="auto"/>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3.5本次招标评标采用综合评估法。投标文件采用双信封形式包封，对投标人的资格审查采用资格后审的方式。</w:t>
      </w:r>
    </w:p>
    <w:p w14:paraId="36020533">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4.招标文件的获取</w:t>
      </w:r>
      <w:bookmarkEnd w:id="4"/>
      <w:bookmarkEnd w:id="5"/>
      <w:bookmarkEnd w:id="6"/>
    </w:p>
    <w:p w14:paraId="2B95D08F">
      <w:pPr>
        <w:tabs>
          <w:tab w:val="left" w:pos="360"/>
        </w:tabs>
        <w:spacing w:line="360" w:lineRule="auto"/>
        <w:ind w:firstLine="420" w:firstLineChars="200"/>
        <w:jc w:val="left"/>
        <w:rPr>
          <w:rFonts w:ascii="宋体" w:hAnsi="宋体" w:eastAsia="宋体" w:cs="宋体"/>
          <w:color w:val="auto"/>
          <w:szCs w:val="21"/>
          <w:highlight w:val="none"/>
        </w:rPr>
      </w:pPr>
      <w:bookmarkStart w:id="7" w:name="_Toc509387331"/>
      <w:bookmarkStart w:id="8" w:name="_Toc509470606"/>
      <w:bookmarkStart w:id="9" w:name="_Toc509393623"/>
      <w:r>
        <w:rPr>
          <w:rFonts w:ascii="宋体" w:hAnsi="宋体" w:eastAsia="宋体" w:cs="宋体"/>
          <w:color w:val="auto"/>
          <w:szCs w:val="21"/>
          <w:highlight w:val="none"/>
        </w:rPr>
        <w:t>4.1凡有意参加投标者，请在“黑龙江公共资源交易网”（http://www.hljggzyjyw.org.cn/）进行用户注册、办理数字证书，使用数字证书登录“黑龙江公共资源交易网”，选择相应项目，明确所投标段，在线下载招标文件等资料。下载时间为202</w:t>
      </w: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12</w:t>
      </w:r>
      <w:r>
        <w:rPr>
          <w:rFonts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03</w:t>
      </w:r>
      <w:r>
        <w:rPr>
          <w:rFonts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ascii="宋体" w:hAnsi="宋体" w:eastAsia="宋体" w:cs="宋体"/>
          <w:color w:val="auto"/>
          <w:szCs w:val="21"/>
          <w:highlight w:val="none"/>
        </w:rPr>
        <w:t>时00分至202</w:t>
      </w: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12</w:t>
      </w:r>
      <w:r>
        <w:rPr>
          <w:rFonts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09</w:t>
      </w:r>
      <w:r>
        <w:rPr>
          <w:rFonts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ascii="宋体" w:hAnsi="宋体" w:eastAsia="宋体" w:cs="宋体"/>
          <w:color w:val="auto"/>
          <w:szCs w:val="21"/>
          <w:highlight w:val="none"/>
        </w:rPr>
        <w:t>时00分（北京时间）。具体事宜详见“黑龙江公共资源交易网”《服务指南》中的相关操作手册。</w:t>
      </w:r>
    </w:p>
    <w:p w14:paraId="6FA4D886">
      <w:pPr>
        <w:tabs>
          <w:tab w:val="left" w:pos="360"/>
        </w:tabs>
        <w:spacing w:line="360" w:lineRule="auto"/>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4.2投标人未按“黑龙江公共资源交易网”的流程要求完成全部操作的，自行承担相应责任。</w:t>
      </w:r>
    </w:p>
    <w:p w14:paraId="613BCE78">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5.</w:t>
      </w:r>
      <w:bookmarkEnd w:id="7"/>
      <w:bookmarkEnd w:id="8"/>
      <w:bookmarkEnd w:id="9"/>
      <w:r>
        <w:rPr>
          <w:rFonts w:hint="eastAsia" w:ascii="宋体" w:hAnsi="宋体" w:eastAsia="宋体" w:cs="宋体"/>
          <w:b/>
          <w:color w:val="auto"/>
          <w:szCs w:val="21"/>
          <w:highlight w:val="none"/>
        </w:rPr>
        <w:t xml:space="preserve"> 投标文件的递交及相关事宜</w:t>
      </w:r>
    </w:p>
    <w:p w14:paraId="2B6B8A70">
      <w:pPr>
        <w:tabs>
          <w:tab w:val="left" w:pos="360"/>
        </w:tabs>
        <w:spacing w:line="400" w:lineRule="exact"/>
        <w:ind w:firstLine="420" w:firstLineChars="200"/>
        <w:jc w:val="left"/>
        <w:rPr>
          <w:rFonts w:ascii="宋体" w:hAnsi="宋体" w:eastAsia="宋体" w:cs="宋体"/>
          <w:color w:val="auto"/>
          <w:szCs w:val="21"/>
          <w:highlight w:val="none"/>
        </w:rPr>
      </w:pPr>
      <w:bookmarkStart w:id="10" w:name="_Toc28538"/>
      <w:r>
        <w:rPr>
          <w:rFonts w:ascii="宋体" w:hAnsi="宋体" w:eastAsia="宋体" w:cs="宋体"/>
          <w:color w:val="auto"/>
          <w:szCs w:val="21"/>
          <w:highlight w:val="none"/>
        </w:rPr>
        <w:t>5.1招标人不组织现场踏勘，不召开投标预备会。</w:t>
      </w:r>
    </w:p>
    <w:p w14:paraId="42C49890">
      <w:pPr>
        <w:tabs>
          <w:tab w:val="left" w:pos="360"/>
        </w:tabs>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5.2投标文件的递交截止时间为（同开标时间）2024年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日9时</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分，投标人应于电子投标文件递交截止时间前将电子投标文件第一个信封（商务及技术文件）、电子投标文件第二个信封（报价文件）分别上传至“黑龙江公共资源交易网”上的“交易平台”进行网上投标，未在电子投标文件递交截止时间前递交电子投标文件的，电子交易平台将予以拒收。</w:t>
      </w:r>
    </w:p>
    <w:p w14:paraId="3C19CE77">
      <w:pPr>
        <w:tabs>
          <w:tab w:val="left" w:pos="360"/>
        </w:tabs>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5.3开标时间为2024年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日9时</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分；该项目为线上开标，各投标人无需在现场开标，在开标时间前，安装好数字证书驱动程序，提前登录交易平台，在线上开标页面，按照《服务指南》中开标操作手册完成开标程序，开标期间投标人须使用CA锁进行线上解密。</w:t>
      </w:r>
    </w:p>
    <w:p w14:paraId="629678FC">
      <w:pPr>
        <w:tabs>
          <w:tab w:val="left" w:pos="360"/>
        </w:tabs>
        <w:spacing w:line="400" w:lineRule="exact"/>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5.4本项目投标保证金的金额：4万元人民币</w:t>
      </w:r>
      <w:r>
        <w:rPr>
          <w:rFonts w:hint="eastAsia" w:ascii="宋体" w:hAnsi="宋体" w:eastAsia="宋体" w:cs="宋体"/>
          <w:color w:val="auto"/>
          <w:szCs w:val="21"/>
          <w:highlight w:val="none"/>
        </w:rPr>
        <w:t>。请各投标人按招标公告规定投标保证金金额足额缴纳）。</w:t>
      </w:r>
      <w:r>
        <w:rPr>
          <w:rFonts w:ascii="宋体" w:hAnsi="宋体" w:eastAsia="宋体" w:cs="宋体"/>
          <w:color w:val="auto"/>
          <w:szCs w:val="21"/>
          <w:highlight w:val="none"/>
        </w:rPr>
        <w:t>投标保证金递交截止时间：202</w:t>
      </w: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rPr>
        <w:t>年</w:t>
      </w:r>
      <w:r>
        <w:rPr>
          <w:rFonts w:hint="eastAsia" w:ascii="宋体" w:hAnsi="宋体" w:eastAsia="宋体" w:cs="宋体"/>
          <w:color w:val="auto"/>
          <w:szCs w:val="21"/>
          <w:highlight w:val="none"/>
        </w:rPr>
        <w:t>1</w:t>
      </w:r>
      <w:r>
        <w:rPr>
          <w:rFonts w:ascii="宋体" w:hAnsi="宋体" w:eastAsia="宋体" w:cs="宋体"/>
          <w:color w:val="auto"/>
          <w:szCs w:val="21"/>
          <w:highlight w:val="none"/>
        </w:rPr>
        <w:t>2月</w:t>
      </w:r>
      <w:r>
        <w:rPr>
          <w:rFonts w:hint="eastAsia" w:ascii="宋体" w:hAnsi="宋体" w:eastAsia="宋体" w:cs="宋体"/>
          <w:color w:val="auto"/>
          <w:szCs w:val="21"/>
          <w:highlight w:val="none"/>
          <w:lang w:val="en-US" w:eastAsia="zh-CN"/>
        </w:rPr>
        <w:t>24</w:t>
      </w:r>
      <w:r>
        <w:rPr>
          <w:rFonts w:ascii="宋体" w:hAnsi="宋体" w:eastAsia="宋体" w:cs="宋体"/>
          <w:color w:val="auto"/>
          <w:szCs w:val="21"/>
          <w:highlight w:val="none"/>
        </w:rPr>
        <w:t>日9时</w:t>
      </w:r>
      <w:r>
        <w:rPr>
          <w:rFonts w:hint="eastAsia" w:ascii="宋体" w:hAnsi="宋体" w:eastAsia="宋体" w:cs="宋体"/>
          <w:color w:val="auto"/>
          <w:szCs w:val="21"/>
          <w:highlight w:val="none"/>
          <w:lang w:val="en-US" w:eastAsia="zh-CN"/>
        </w:rPr>
        <w:t>0</w:t>
      </w:r>
      <w:r>
        <w:rPr>
          <w:rFonts w:ascii="宋体" w:hAnsi="宋体" w:eastAsia="宋体" w:cs="宋体"/>
          <w:color w:val="auto"/>
          <w:szCs w:val="21"/>
          <w:highlight w:val="none"/>
        </w:rPr>
        <w:t>0分，投标保证金应采用网银转账、电汇或电子保函形式：①采用网银转账、电汇形式递交投标保证金的，投标保证金由投标人基本存款账户汇出，汇入与黑龙江公共资源交易平台对接的银行虚拟子账户。②采用电子保函方式递交投标保证金的，投标人应按黑龙江省公共资源交易中心的相关规定递交。</w:t>
      </w:r>
    </w:p>
    <w:p w14:paraId="0D1B846D">
      <w:pPr>
        <w:tabs>
          <w:tab w:val="left" w:pos="360"/>
        </w:tabs>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重要说明：本项目投标采用电子投标，投标人应在投标文件递交截止时间前完成电子投标文件的递交工作，并安排线上远程开标。投标人在交易平台投标文件第一信封商务和技术文件时，切勿出现有关报价内容，由于投标人自身原因导致投标报价在第一信封泄露，投标人自行承担责任。如需填报价请用“0”代替。</w:t>
      </w:r>
    </w:p>
    <w:p w14:paraId="2199CFB2">
      <w:pPr>
        <w:tabs>
          <w:tab w:val="left" w:pos="360"/>
        </w:tabs>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6.</w:t>
      </w:r>
      <w:bookmarkEnd w:id="10"/>
      <w:r>
        <w:rPr>
          <w:rFonts w:hint="eastAsia" w:ascii="宋体" w:hAnsi="宋体" w:eastAsia="宋体" w:cs="宋体"/>
          <w:b/>
          <w:color w:val="auto"/>
          <w:szCs w:val="21"/>
          <w:highlight w:val="none"/>
        </w:rPr>
        <w:t xml:space="preserve"> 发布公告的媒介</w:t>
      </w:r>
    </w:p>
    <w:p w14:paraId="64A3FCB6">
      <w:pPr>
        <w:tabs>
          <w:tab w:val="left" w:pos="36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本次招标公告同时在黑龙江公共资源交易网</w:t>
      </w:r>
      <w:r>
        <w:rPr>
          <w:rFonts w:ascii="宋体" w:hAnsi="宋体" w:eastAsia="宋体" w:cs="宋体"/>
          <w:color w:val="auto"/>
          <w:szCs w:val="21"/>
          <w:highlight w:val="none"/>
        </w:rPr>
        <w:t>(http://www.hljggzyjyw.org.cn)和黑龙江省交通运输厅(</w:t>
      </w:r>
      <w:r>
        <w:rPr>
          <w:rFonts w:hint="eastAsia" w:ascii="宋体" w:hAnsi="宋体" w:eastAsia="宋体" w:cs="宋体"/>
          <w:color w:val="auto"/>
          <w:szCs w:val="21"/>
          <w:highlight w:val="none"/>
        </w:rPr>
        <w:t>https://jt.hlj.gov.cn/</w:t>
      </w:r>
      <w:r>
        <w:rPr>
          <w:rFonts w:ascii="宋体" w:hAnsi="宋体" w:eastAsia="宋体" w:cs="宋体"/>
          <w:color w:val="auto"/>
          <w:szCs w:val="21"/>
          <w:highlight w:val="none"/>
        </w:rPr>
        <w:t>)上发布</w:t>
      </w:r>
      <w:r>
        <w:rPr>
          <w:rFonts w:hint="eastAsia" w:ascii="宋体" w:hAnsi="宋体" w:eastAsia="宋体" w:cs="宋体"/>
          <w:color w:val="auto"/>
          <w:szCs w:val="21"/>
          <w:highlight w:val="none"/>
        </w:rPr>
        <w:t>。</w:t>
      </w:r>
    </w:p>
    <w:p w14:paraId="5B23F2B9">
      <w:pPr>
        <w:tabs>
          <w:tab w:val="left" w:pos="360"/>
        </w:tabs>
        <w:spacing w:line="360" w:lineRule="auto"/>
        <w:ind w:firstLine="422" w:firstLineChars="200"/>
        <w:jc w:val="left"/>
        <w:rPr>
          <w:rFonts w:ascii="宋体" w:hAnsi="宋体" w:eastAsia="宋体" w:cs="宋体"/>
          <w:b/>
          <w:color w:val="auto"/>
          <w:szCs w:val="21"/>
          <w:highlight w:val="none"/>
        </w:rPr>
      </w:pPr>
      <w:r>
        <w:rPr>
          <w:rFonts w:ascii="宋体" w:hAnsi="宋体" w:eastAsia="宋体" w:cs="宋体"/>
          <w:b/>
          <w:color w:val="auto"/>
          <w:szCs w:val="21"/>
          <w:highlight w:val="none"/>
        </w:rPr>
        <w:t>7．中标候选人公示</w:t>
      </w:r>
    </w:p>
    <w:p w14:paraId="00D70D8E">
      <w:pPr>
        <w:tabs>
          <w:tab w:val="left" w:pos="36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本项目同时在黑龙江公共资源交易网（http://ggzyjyw.hlj.gov.cn/）及黑龙江省交通运输厅（https://jt.hlj.gov.cn/）网站上公示中标候选人</w:t>
      </w:r>
      <w:r>
        <w:rPr>
          <w:rFonts w:ascii="宋体" w:hAnsi="宋体" w:eastAsia="宋体" w:cs="宋体"/>
          <w:color w:val="auto"/>
          <w:szCs w:val="21"/>
          <w:highlight w:val="none"/>
        </w:rPr>
        <w:t>，公示期为3日，公示内容包括：</w:t>
      </w:r>
    </w:p>
    <w:p w14:paraId="517BDE07">
      <w:pPr>
        <w:tabs>
          <w:tab w:val="left" w:pos="36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1）中标候选人排序、名称、投标报价、工程质量、安全目标、</w:t>
      </w:r>
      <w:r>
        <w:rPr>
          <w:rFonts w:hint="eastAsia" w:ascii="宋体" w:hAnsi="宋体" w:eastAsia="宋体" w:cs="宋体"/>
          <w:color w:val="auto"/>
          <w:szCs w:val="21"/>
          <w:highlight w:val="none"/>
        </w:rPr>
        <w:t>监理服务期</w:t>
      </w:r>
      <w:r>
        <w:rPr>
          <w:rFonts w:ascii="宋体" w:hAnsi="宋体" w:eastAsia="宋体" w:cs="宋体"/>
          <w:color w:val="auto"/>
          <w:szCs w:val="21"/>
          <w:highlight w:val="none"/>
        </w:rPr>
        <w:t>；</w:t>
      </w:r>
    </w:p>
    <w:p w14:paraId="1DC32F36">
      <w:pPr>
        <w:tabs>
          <w:tab w:val="left" w:pos="36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2）中标候选人在投标文件中承诺的</w:t>
      </w:r>
      <w:r>
        <w:rPr>
          <w:rFonts w:hint="eastAsia" w:ascii="宋体" w:hAnsi="宋体" w:eastAsia="宋体" w:cs="宋体"/>
          <w:color w:val="auto"/>
          <w:szCs w:val="21"/>
          <w:highlight w:val="none"/>
        </w:rPr>
        <w:t>总监理工程师</w:t>
      </w:r>
      <w:r>
        <w:rPr>
          <w:rFonts w:ascii="宋体" w:hAnsi="宋体" w:eastAsia="宋体" w:cs="宋体"/>
          <w:color w:val="auto"/>
          <w:szCs w:val="21"/>
          <w:highlight w:val="none"/>
        </w:rPr>
        <w:t>姓名、个人业绩、相关证书名称和编号；</w:t>
      </w:r>
    </w:p>
    <w:p w14:paraId="38EE6140">
      <w:pPr>
        <w:tabs>
          <w:tab w:val="left" w:pos="36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3）中标候选人在投标文件中填报的项目业绩；</w:t>
      </w:r>
    </w:p>
    <w:p w14:paraId="4375281E">
      <w:pPr>
        <w:tabs>
          <w:tab w:val="left" w:pos="36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4）被否决投标的投标人名称、否决依据和原因；</w:t>
      </w:r>
    </w:p>
    <w:p w14:paraId="4F4E8CA9">
      <w:pPr>
        <w:tabs>
          <w:tab w:val="left" w:pos="36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5）提出异议的渠道和方式。</w:t>
      </w:r>
    </w:p>
    <w:p w14:paraId="6B7E8676">
      <w:pPr>
        <w:spacing w:line="360" w:lineRule="auto"/>
        <w:ind w:firstLine="422" w:firstLineChars="200"/>
        <w:jc w:val="left"/>
        <w:rPr>
          <w:rFonts w:ascii="宋体" w:hAnsi="宋体" w:eastAsia="宋体" w:cs="宋体"/>
          <w:b/>
          <w:color w:val="auto"/>
          <w:szCs w:val="21"/>
          <w:highlight w:val="none"/>
        </w:rPr>
      </w:pPr>
      <w:bookmarkStart w:id="11" w:name="_Toc17862"/>
      <w:r>
        <w:rPr>
          <w:rFonts w:ascii="宋体" w:hAnsi="宋体" w:eastAsia="宋体" w:cs="宋体"/>
          <w:b/>
          <w:color w:val="auto"/>
          <w:szCs w:val="21"/>
          <w:highlight w:val="none"/>
        </w:rPr>
        <w:t>8</w:t>
      </w:r>
      <w:r>
        <w:rPr>
          <w:rFonts w:hint="eastAsia" w:ascii="宋体" w:hAnsi="宋体" w:eastAsia="宋体" w:cs="宋体"/>
          <w:b/>
          <w:color w:val="auto"/>
          <w:szCs w:val="21"/>
          <w:highlight w:val="none"/>
        </w:rPr>
        <w:t>.</w:t>
      </w:r>
      <w:bookmarkEnd w:id="11"/>
      <w:bookmarkStart w:id="12" w:name="_Toc20674"/>
      <w:r>
        <w:rPr>
          <w:rFonts w:hint="eastAsia" w:ascii="宋体" w:hAnsi="宋体" w:eastAsia="宋体" w:cs="宋体"/>
          <w:b/>
          <w:color w:val="auto"/>
          <w:szCs w:val="21"/>
          <w:highlight w:val="none"/>
        </w:rPr>
        <w:t>联系方式</w:t>
      </w:r>
      <w:bookmarkEnd w:id="12"/>
    </w:p>
    <w:p w14:paraId="68069F40">
      <w:pPr>
        <w:spacing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招标投标监督单位：绥化市交通运输局</w:t>
      </w:r>
    </w:p>
    <w:p w14:paraId="5106F28A">
      <w:pPr>
        <w:spacing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电话：0455-8315929</w:t>
      </w:r>
    </w:p>
    <w:p w14:paraId="7D7C97C6">
      <w:pPr>
        <w:spacing w:line="400" w:lineRule="exact"/>
        <w:ind w:firstLine="420" w:firstLineChars="200"/>
        <w:jc w:val="left"/>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招</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标</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人：绥棱县交通运输局</w:t>
      </w:r>
    </w:p>
    <w:p w14:paraId="5E5A6F95">
      <w:pPr>
        <w:spacing w:line="400" w:lineRule="exact"/>
        <w:ind w:firstLine="420" w:firstLineChars="200"/>
        <w:jc w:val="left"/>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地</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址：绥棱县东城路89号</w:t>
      </w:r>
    </w:p>
    <w:p w14:paraId="26DC987D">
      <w:pPr>
        <w:spacing w:line="400" w:lineRule="exact"/>
        <w:ind w:firstLine="420" w:firstLineChars="200"/>
        <w:jc w:val="left"/>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联</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系</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人：李先生</w:t>
      </w:r>
    </w:p>
    <w:p w14:paraId="301BF83E">
      <w:pPr>
        <w:tabs>
          <w:tab w:val="left" w:pos="4678"/>
        </w:tabs>
        <w:adjustRightInd w:val="0"/>
        <w:snapToGrid w:val="0"/>
        <w:spacing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话：</w:t>
      </w:r>
      <w:r>
        <w:rPr>
          <w:rFonts w:ascii="宋体" w:hAnsi="宋体" w:eastAsia="宋体" w:cs="Times New Roman"/>
          <w:color w:val="auto"/>
          <w:szCs w:val="21"/>
          <w:highlight w:val="none"/>
        </w:rPr>
        <w:t>0455-4656376</w:t>
      </w:r>
    </w:p>
    <w:p w14:paraId="412038FD">
      <w:pPr>
        <w:tabs>
          <w:tab w:val="left" w:pos="4678"/>
        </w:tabs>
        <w:adjustRightInd w:val="0"/>
        <w:snapToGrid w:val="0"/>
        <w:spacing w:line="400" w:lineRule="exact"/>
        <w:ind w:firstLine="460" w:firstLineChars="200"/>
        <w:jc w:val="left"/>
        <w:rPr>
          <w:rFonts w:hint="eastAsia" w:ascii="宋体" w:hAnsi="Calibri" w:eastAsia="宋体" w:cs="Times New Roman"/>
          <w:bCs/>
          <w:color w:val="auto"/>
          <w:spacing w:val="10"/>
          <w:kern w:val="0"/>
          <w:szCs w:val="21"/>
          <w:highlight w:val="none"/>
          <w:lang w:eastAsia="zh-CN"/>
        </w:rPr>
      </w:pPr>
      <w:r>
        <w:rPr>
          <w:rFonts w:hint="eastAsia" w:ascii="宋体" w:hAnsi="宋体" w:eastAsia="宋体" w:cs="Times New Roman"/>
          <w:bCs/>
          <w:color w:val="auto"/>
          <w:spacing w:val="10"/>
          <w:kern w:val="0"/>
          <w:szCs w:val="21"/>
          <w:highlight w:val="none"/>
        </w:rPr>
        <w:t>招标代理机构：</w:t>
      </w:r>
      <w:r>
        <w:rPr>
          <w:rFonts w:hint="eastAsia" w:ascii="宋体" w:hAnsi="宋体" w:eastAsia="宋体" w:cs="Times New Roman"/>
          <w:bCs/>
          <w:color w:val="auto"/>
          <w:spacing w:val="10"/>
          <w:kern w:val="0"/>
          <w:szCs w:val="21"/>
          <w:highlight w:val="none"/>
          <w:lang w:eastAsia="zh-CN"/>
        </w:rPr>
        <w:t>国信国际工程咨询集团股份有限公司</w:t>
      </w:r>
    </w:p>
    <w:p w14:paraId="1A09A2C8">
      <w:pPr>
        <w:tabs>
          <w:tab w:val="left" w:pos="4678"/>
        </w:tabs>
        <w:adjustRightInd w:val="0"/>
        <w:snapToGrid w:val="0"/>
        <w:spacing w:line="400" w:lineRule="exact"/>
        <w:ind w:firstLine="460" w:firstLineChars="200"/>
        <w:jc w:val="left"/>
        <w:rPr>
          <w:rFonts w:ascii="宋体" w:hAnsi="Calibri" w:eastAsia="宋体" w:cs="Times New Roman"/>
          <w:bCs/>
          <w:color w:val="auto"/>
          <w:spacing w:val="10"/>
          <w:kern w:val="0"/>
          <w:szCs w:val="21"/>
          <w:highlight w:val="none"/>
        </w:rPr>
      </w:pPr>
      <w:r>
        <w:rPr>
          <w:rFonts w:hint="eastAsia" w:ascii="宋体" w:hAnsi="宋体" w:eastAsia="宋体" w:cs="Times New Roman"/>
          <w:bCs/>
          <w:color w:val="auto"/>
          <w:spacing w:val="10"/>
          <w:kern w:val="0"/>
          <w:szCs w:val="21"/>
          <w:highlight w:val="none"/>
        </w:rPr>
        <w:t>地</w:t>
      </w:r>
      <w:r>
        <w:rPr>
          <w:rFonts w:ascii="宋体" w:hAnsi="宋体" w:eastAsia="宋体" w:cs="Times New Roman"/>
          <w:bCs/>
          <w:color w:val="auto"/>
          <w:spacing w:val="10"/>
          <w:kern w:val="0"/>
          <w:szCs w:val="21"/>
          <w:highlight w:val="none"/>
        </w:rPr>
        <w:t xml:space="preserve">    </w:t>
      </w:r>
      <w:r>
        <w:rPr>
          <w:rFonts w:hint="eastAsia" w:ascii="宋体" w:hAnsi="宋体" w:eastAsia="宋体" w:cs="Times New Roman"/>
          <w:bCs/>
          <w:color w:val="auto"/>
          <w:spacing w:val="10"/>
          <w:kern w:val="0"/>
          <w:szCs w:val="21"/>
          <w:highlight w:val="none"/>
        </w:rPr>
        <w:t>址：哈尔滨市南岗区红旗大街</w:t>
      </w:r>
      <w:r>
        <w:rPr>
          <w:rFonts w:ascii="宋体" w:hAnsi="宋体" w:eastAsia="宋体" w:cs="Times New Roman"/>
          <w:bCs/>
          <w:color w:val="auto"/>
          <w:spacing w:val="10"/>
          <w:kern w:val="0"/>
          <w:szCs w:val="21"/>
          <w:highlight w:val="none"/>
        </w:rPr>
        <w:t>208</w:t>
      </w:r>
      <w:r>
        <w:rPr>
          <w:rFonts w:hint="eastAsia" w:ascii="宋体" w:hAnsi="宋体" w:eastAsia="宋体" w:cs="Times New Roman"/>
          <w:bCs/>
          <w:color w:val="auto"/>
          <w:spacing w:val="10"/>
          <w:kern w:val="0"/>
          <w:szCs w:val="21"/>
          <w:highlight w:val="none"/>
        </w:rPr>
        <w:t>号</w:t>
      </w:r>
      <w:r>
        <w:rPr>
          <w:rFonts w:ascii="宋体" w:hAnsi="宋体" w:eastAsia="宋体" w:cs="Times New Roman"/>
          <w:bCs/>
          <w:color w:val="auto"/>
          <w:spacing w:val="10"/>
          <w:kern w:val="0"/>
          <w:szCs w:val="21"/>
          <w:highlight w:val="none"/>
        </w:rPr>
        <w:t>6</w:t>
      </w:r>
      <w:r>
        <w:rPr>
          <w:rFonts w:hint="eastAsia" w:ascii="宋体" w:hAnsi="宋体" w:eastAsia="宋体" w:cs="Times New Roman"/>
          <w:bCs/>
          <w:color w:val="auto"/>
          <w:spacing w:val="10"/>
          <w:kern w:val="0"/>
          <w:szCs w:val="21"/>
          <w:highlight w:val="none"/>
        </w:rPr>
        <w:t>层</w:t>
      </w:r>
    </w:p>
    <w:p w14:paraId="252AAF5D">
      <w:pPr>
        <w:tabs>
          <w:tab w:val="left" w:pos="4678"/>
        </w:tabs>
        <w:adjustRightInd w:val="0"/>
        <w:snapToGrid w:val="0"/>
        <w:spacing w:line="400" w:lineRule="exact"/>
        <w:ind w:firstLine="460" w:firstLineChars="200"/>
        <w:jc w:val="left"/>
        <w:rPr>
          <w:rFonts w:ascii="宋体" w:hAnsi="宋体" w:eastAsia="宋体" w:cs="Times New Roman"/>
          <w:bCs/>
          <w:color w:val="auto"/>
          <w:spacing w:val="10"/>
          <w:kern w:val="0"/>
          <w:szCs w:val="21"/>
          <w:highlight w:val="none"/>
        </w:rPr>
      </w:pPr>
      <w:r>
        <w:rPr>
          <w:rFonts w:hint="eastAsia" w:ascii="宋体" w:hAnsi="宋体" w:eastAsia="宋体" w:cs="Times New Roman"/>
          <w:bCs/>
          <w:color w:val="auto"/>
          <w:spacing w:val="10"/>
          <w:kern w:val="0"/>
          <w:szCs w:val="21"/>
          <w:highlight w:val="none"/>
        </w:rPr>
        <w:t>联系人：</w:t>
      </w:r>
      <w:r>
        <w:rPr>
          <w:rFonts w:hint="eastAsia" w:ascii="宋体" w:hAnsi="宋体" w:eastAsia="宋体" w:cs="Times New Roman"/>
          <w:bCs/>
          <w:color w:val="auto"/>
          <w:spacing w:val="10"/>
          <w:kern w:val="0"/>
          <w:szCs w:val="21"/>
          <w:highlight w:val="none"/>
          <w:lang w:val="en-US" w:eastAsia="zh-CN"/>
        </w:rPr>
        <w:t>戴</w:t>
      </w:r>
      <w:r>
        <w:rPr>
          <w:rFonts w:hint="eastAsia" w:ascii="宋体" w:hAnsi="宋体" w:eastAsia="宋体" w:cs="Times New Roman"/>
          <w:bCs/>
          <w:color w:val="auto"/>
          <w:spacing w:val="10"/>
          <w:kern w:val="0"/>
          <w:szCs w:val="21"/>
          <w:highlight w:val="none"/>
        </w:rPr>
        <w:t>先生、</w:t>
      </w:r>
      <w:r>
        <w:rPr>
          <w:rFonts w:hint="eastAsia" w:ascii="宋体" w:hAnsi="宋体" w:eastAsia="宋体" w:cs="Times New Roman"/>
          <w:bCs/>
          <w:color w:val="auto"/>
          <w:spacing w:val="10"/>
          <w:kern w:val="0"/>
          <w:szCs w:val="21"/>
          <w:highlight w:val="none"/>
          <w:lang w:val="en-US" w:eastAsia="zh-CN"/>
        </w:rPr>
        <w:t>王先生</w:t>
      </w:r>
      <w:r>
        <w:rPr>
          <w:rFonts w:ascii="宋体" w:hAnsi="宋体" w:eastAsia="宋体" w:cs="Times New Roman"/>
          <w:bCs/>
          <w:color w:val="auto"/>
          <w:spacing w:val="10"/>
          <w:kern w:val="0"/>
          <w:szCs w:val="21"/>
          <w:highlight w:val="none"/>
        </w:rPr>
        <w:t xml:space="preserve"> </w:t>
      </w:r>
    </w:p>
    <w:p w14:paraId="0C5600C6">
      <w:pPr>
        <w:tabs>
          <w:tab w:val="left" w:pos="4678"/>
        </w:tabs>
        <w:adjustRightInd w:val="0"/>
        <w:snapToGrid w:val="0"/>
        <w:spacing w:line="400" w:lineRule="exact"/>
        <w:ind w:firstLine="460" w:firstLineChars="200"/>
        <w:jc w:val="left"/>
        <w:rPr>
          <w:rFonts w:hint="eastAsia" w:ascii="宋体" w:hAnsi="宋体" w:eastAsia="宋体" w:cs="Times New Roman"/>
          <w:bCs/>
          <w:color w:val="auto"/>
          <w:spacing w:val="10"/>
          <w:kern w:val="0"/>
          <w:szCs w:val="21"/>
          <w:highlight w:val="none"/>
        </w:rPr>
      </w:pPr>
      <w:r>
        <w:rPr>
          <w:rFonts w:hint="eastAsia" w:ascii="宋体" w:hAnsi="宋体" w:eastAsia="宋体" w:cs="Times New Roman"/>
          <w:bCs/>
          <w:color w:val="auto"/>
          <w:spacing w:val="10"/>
          <w:kern w:val="0"/>
          <w:szCs w:val="21"/>
          <w:highlight w:val="none"/>
        </w:rPr>
        <w:t>电话：0451-87001301转80</w:t>
      </w:r>
      <w:r>
        <w:rPr>
          <w:rFonts w:hint="eastAsia" w:ascii="宋体" w:hAnsi="宋体" w:eastAsia="宋体" w:cs="Times New Roman"/>
          <w:bCs/>
          <w:color w:val="auto"/>
          <w:spacing w:val="10"/>
          <w:kern w:val="0"/>
          <w:szCs w:val="21"/>
          <w:highlight w:val="none"/>
          <w:lang w:val="en-US" w:eastAsia="zh-CN"/>
        </w:rPr>
        <w:t>09</w:t>
      </w:r>
      <w:r>
        <w:rPr>
          <w:rFonts w:hint="eastAsia" w:ascii="宋体" w:hAnsi="宋体" w:eastAsia="宋体" w:cs="Times New Roman"/>
          <w:bCs/>
          <w:color w:val="auto"/>
          <w:spacing w:val="10"/>
          <w:kern w:val="0"/>
          <w:szCs w:val="21"/>
          <w:highlight w:val="none"/>
        </w:rPr>
        <w:t>、80</w:t>
      </w:r>
      <w:r>
        <w:rPr>
          <w:rFonts w:hint="eastAsia" w:ascii="宋体" w:hAnsi="宋体" w:eastAsia="宋体" w:cs="Times New Roman"/>
          <w:bCs/>
          <w:color w:val="auto"/>
          <w:spacing w:val="10"/>
          <w:kern w:val="0"/>
          <w:szCs w:val="21"/>
          <w:highlight w:val="none"/>
          <w:lang w:val="en-US" w:eastAsia="zh-CN"/>
        </w:rPr>
        <w:t>18</w:t>
      </w:r>
    </w:p>
    <w:p w14:paraId="3750AA66">
      <w:pPr>
        <w:tabs>
          <w:tab w:val="left" w:pos="4678"/>
        </w:tabs>
        <w:adjustRightInd w:val="0"/>
        <w:snapToGrid w:val="0"/>
        <w:spacing w:line="400" w:lineRule="exact"/>
        <w:ind w:firstLine="460" w:firstLineChars="200"/>
        <w:jc w:val="left"/>
        <w:rPr>
          <w:rFonts w:hint="eastAsia" w:ascii="宋体" w:hAnsi="宋体" w:eastAsia="宋体" w:cs="Times New Roman"/>
          <w:bCs/>
          <w:color w:val="auto"/>
          <w:spacing w:val="10"/>
          <w:kern w:val="0"/>
          <w:szCs w:val="21"/>
          <w:highlight w:val="none"/>
        </w:rPr>
      </w:pPr>
      <w:r>
        <w:rPr>
          <w:rFonts w:hint="eastAsia" w:ascii="宋体" w:hAnsi="宋体" w:eastAsia="宋体" w:cs="Times New Roman"/>
          <w:bCs/>
          <w:color w:val="auto"/>
          <w:spacing w:val="10"/>
          <w:kern w:val="0"/>
          <w:szCs w:val="21"/>
          <w:highlight w:val="none"/>
        </w:rPr>
        <w:t>电子邮箱：gx87009131@163.com</w:t>
      </w:r>
    </w:p>
    <w:p w14:paraId="003EF775">
      <w:pPr>
        <w:spacing w:line="360" w:lineRule="auto"/>
        <w:ind w:firstLine="420" w:firstLineChars="200"/>
        <w:jc w:val="right"/>
        <w:rPr>
          <w:rFonts w:ascii="宋体" w:hAnsi="宋体" w:eastAsia="宋体" w:cs="宋体"/>
          <w:color w:val="auto"/>
          <w:szCs w:val="21"/>
          <w:highlight w:val="none"/>
        </w:rPr>
      </w:pPr>
    </w:p>
    <w:p w14:paraId="1516C2D4">
      <w:pPr>
        <w:tabs>
          <w:tab w:val="left" w:pos="4678"/>
        </w:tabs>
        <w:adjustRightInd w:val="0"/>
        <w:snapToGrid w:val="0"/>
        <w:spacing w:line="400" w:lineRule="exact"/>
        <w:ind w:firstLine="460" w:firstLineChars="200"/>
        <w:jc w:val="left"/>
        <w:rPr>
          <w:rFonts w:hint="eastAsia" w:ascii="宋体" w:hAnsi="宋体" w:eastAsia="宋体" w:cs="Times New Roman"/>
          <w:bCs/>
          <w:color w:val="auto"/>
          <w:spacing w:val="10"/>
          <w:kern w:val="0"/>
          <w:szCs w:val="21"/>
          <w:highlight w:val="none"/>
        </w:rPr>
      </w:pPr>
      <w:r>
        <w:rPr>
          <w:rFonts w:hint="eastAsia" w:ascii="宋体" w:hAnsi="宋体" w:eastAsia="宋体" w:cs="Times New Roman"/>
          <w:bCs/>
          <w:color w:val="auto"/>
          <w:spacing w:val="10"/>
          <w:kern w:val="0"/>
          <w:szCs w:val="21"/>
          <w:highlight w:val="none"/>
        </w:rPr>
        <w:t>附件1：资格审查条件</w:t>
      </w:r>
    </w:p>
    <w:p w14:paraId="7BA863C9">
      <w:pPr>
        <w:tabs>
          <w:tab w:val="left" w:pos="4678"/>
        </w:tabs>
        <w:adjustRightInd w:val="0"/>
        <w:snapToGrid w:val="0"/>
        <w:spacing w:line="400" w:lineRule="exact"/>
        <w:ind w:firstLine="460" w:firstLineChars="200"/>
        <w:jc w:val="left"/>
        <w:rPr>
          <w:rFonts w:hint="eastAsia" w:ascii="宋体" w:hAnsi="宋体" w:eastAsia="宋体" w:cs="Times New Roman"/>
          <w:bCs/>
          <w:color w:val="auto"/>
          <w:spacing w:val="10"/>
          <w:kern w:val="0"/>
          <w:szCs w:val="21"/>
          <w:highlight w:val="none"/>
        </w:rPr>
      </w:pPr>
      <w:r>
        <w:rPr>
          <w:rFonts w:hint="eastAsia" w:ascii="宋体" w:hAnsi="宋体" w:eastAsia="宋体" w:cs="Times New Roman"/>
          <w:bCs/>
          <w:color w:val="auto"/>
          <w:spacing w:val="10"/>
          <w:kern w:val="0"/>
          <w:szCs w:val="21"/>
          <w:highlight w:val="none"/>
        </w:rPr>
        <w:t>附件2：评标办法</w:t>
      </w:r>
    </w:p>
    <w:p w14:paraId="5B1B0511">
      <w:pPr>
        <w:rPr>
          <w:rFonts w:hint="eastAsia" w:ascii="宋体" w:hAnsi="宋体" w:eastAsia="宋体" w:cs="Times New Roman"/>
          <w:bCs/>
          <w:color w:val="auto"/>
          <w:spacing w:val="10"/>
          <w:kern w:val="0"/>
          <w:szCs w:val="21"/>
          <w:highlight w:val="none"/>
        </w:rPr>
      </w:pPr>
      <w:r>
        <w:rPr>
          <w:rFonts w:hint="eastAsia" w:ascii="宋体" w:hAnsi="宋体" w:eastAsia="宋体" w:cs="Times New Roman"/>
          <w:bCs/>
          <w:color w:val="auto"/>
          <w:spacing w:val="10"/>
          <w:kern w:val="0"/>
          <w:szCs w:val="21"/>
          <w:highlight w:val="none"/>
        </w:rPr>
        <w:br w:type="page"/>
      </w:r>
    </w:p>
    <w:p w14:paraId="3B209D19">
      <w:pPr>
        <w:pStyle w:val="2"/>
        <w:spacing w:before="0" w:after="0" w:line="360" w:lineRule="auto"/>
        <w:jc w:val="center"/>
        <w:rPr>
          <w:rFonts w:ascii="Times New Roman" w:hAnsi="Times New Roman" w:eastAsia="宋体" w:cs="Times New Roman"/>
          <w:color w:val="auto"/>
          <w:highlight w:val="none"/>
          <w:lang w:val="zh-TW"/>
        </w:rPr>
      </w:pPr>
      <w:bookmarkStart w:id="13" w:name="_Toc509470691"/>
      <w:bookmarkStart w:id="14" w:name="_Toc509393703"/>
      <w:bookmarkStart w:id="15" w:name="_Toc509387404"/>
      <w:bookmarkStart w:id="16" w:name="_Toc7569"/>
      <w:r>
        <w:rPr>
          <w:rFonts w:hint="eastAsia" w:ascii="黑体" w:hAnsi="黑体" w:eastAsia="黑体" w:cs="黑体"/>
          <w:color w:val="auto"/>
          <w:highlight w:val="none"/>
          <w:lang w:val="zh-TW"/>
        </w:rPr>
        <w:t>第三章 评标办法（综合评估法)</w:t>
      </w:r>
      <w:bookmarkEnd w:id="13"/>
      <w:bookmarkEnd w:id="14"/>
      <w:bookmarkEnd w:id="15"/>
      <w:bookmarkEnd w:id="16"/>
    </w:p>
    <w:p w14:paraId="7EF7D45C">
      <w:pPr>
        <w:pStyle w:val="2"/>
        <w:spacing w:before="0" w:after="0" w:line="360" w:lineRule="auto"/>
        <w:jc w:val="center"/>
        <w:rPr>
          <w:rFonts w:ascii="黑体" w:hAnsi="黑体" w:eastAsia="黑体" w:cs="Times New Roman"/>
          <w:bCs w:val="0"/>
          <w:color w:val="auto"/>
          <w:highlight w:val="none"/>
        </w:rPr>
      </w:pPr>
      <w:r>
        <w:rPr>
          <w:rFonts w:hint="eastAsia" w:ascii="黑体" w:hAnsi="黑体" w:eastAsia="黑体" w:cs="Times New Roman"/>
          <w:bCs w:val="0"/>
          <w:color w:val="auto"/>
          <w:highlight w:val="none"/>
        </w:rPr>
        <w:t>评标办法前附表</w:t>
      </w:r>
    </w:p>
    <w:tbl>
      <w:tblPr>
        <w:tblStyle w:val="6"/>
        <w:tblW w:w="92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3"/>
        <w:gridCol w:w="1420"/>
        <w:gridCol w:w="6765"/>
      </w:tblGrid>
      <w:tr w14:paraId="1892B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blHeader/>
          <w:jc w:val="center"/>
        </w:trPr>
        <w:tc>
          <w:tcPr>
            <w:tcW w:w="1093" w:type="dxa"/>
            <w:vAlign w:val="center"/>
          </w:tcPr>
          <w:p w14:paraId="553A5BAC">
            <w:pPr>
              <w:jc w:val="center"/>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条款号</w:t>
            </w:r>
          </w:p>
        </w:tc>
        <w:tc>
          <w:tcPr>
            <w:tcW w:w="1420" w:type="dxa"/>
            <w:vAlign w:val="center"/>
          </w:tcPr>
          <w:p w14:paraId="4FFD852C">
            <w:pPr>
              <w:jc w:val="center"/>
              <w:rPr>
                <w:rFonts w:ascii="宋体" w:hAnsi="宋体" w:eastAsia="宋体" w:cs="宋体"/>
                <w:b/>
                <w:bCs/>
                <w:color w:val="auto"/>
                <w:highlight w:val="none"/>
              </w:rPr>
            </w:pPr>
            <w:r>
              <w:rPr>
                <w:rFonts w:hint="eastAsia" w:ascii="宋体" w:hAnsi="宋体" w:eastAsia="宋体" w:cs="宋体"/>
                <w:b/>
                <w:bCs/>
                <w:color w:val="auto"/>
                <w:highlight w:val="none"/>
              </w:rPr>
              <w:t>条款内容</w:t>
            </w:r>
          </w:p>
        </w:tc>
        <w:tc>
          <w:tcPr>
            <w:tcW w:w="6765" w:type="dxa"/>
            <w:vAlign w:val="center"/>
          </w:tcPr>
          <w:p w14:paraId="306D2B4B">
            <w:pPr>
              <w:jc w:val="center"/>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评审因素与评审标准</w:t>
            </w:r>
          </w:p>
        </w:tc>
      </w:tr>
      <w:tr w14:paraId="7DC09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1093" w:type="dxa"/>
            <w:tcBorders>
              <w:right w:val="single" w:color="auto" w:sz="4" w:space="0"/>
            </w:tcBorders>
            <w:vAlign w:val="center"/>
          </w:tcPr>
          <w:p w14:paraId="4D0D1DE1">
            <w:pPr>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w:t>
            </w:r>
          </w:p>
        </w:tc>
        <w:tc>
          <w:tcPr>
            <w:tcW w:w="1420" w:type="dxa"/>
            <w:tcBorders>
              <w:left w:val="single" w:color="auto" w:sz="4" w:space="0"/>
            </w:tcBorders>
            <w:vAlign w:val="center"/>
          </w:tcPr>
          <w:p w14:paraId="7AA32DBF">
            <w:pPr>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评标方法</w:t>
            </w:r>
          </w:p>
        </w:tc>
        <w:tc>
          <w:tcPr>
            <w:tcW w:w="6765" w:type="dxa"/>
            <w:vAlign w:val="center"/>
          </w:tcPr>
          <w:p w14:paraId="7D4EE821">
            <w:pPr>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本次招标评标采用综合评估法。</w:t>
            </w:r>
          </w:p>
          <w:p w14:paraId="4BFD02CE">
            <w:pPr>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综合评分相等时，评标委员会依次按照以下优先顺序推荐中标候选人：</w:t>
            </w:r>
          </w:p>
          <w:p w14:paraId="16BD987A">
            <w:pPr>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w:t>
            </w:r>
            <w:r>
              <w:rPr>
                <w:rFonts w:ascii="宋体" w:hAnsi="宋体" w:eastAsia="宋体" w:cs="宋体"/>
                <w:color w:val="auto"/>
                <w:highlight w:val="none"/>
                <w:lang w:val="zh-TW" w:eastAsia="zh-TW"/>
              </w:rPr>
              <w:t>1）评标价低的投标人优先；</w:t>
            </w:r>
          </w:p>
          <w:p w14:paraId="7C97964D">
            <w:pPr>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w:t>
            </w:r>
            <w:r>
              <w:rPr>
                <w:rFonts w:ascii="宋体" w:hAnsi="宋体" w:eastAsia="宋体" w:cs="宋体"/>
                <w:color w:val="auto"/>
                <w:highlight w:val="none"/>
                <w:lang w:val="zh-TW" w:eastAsia="zh-TW"/>
              </w:rPr>
              <w:t>2）202</w:t>
            </w:r>
            <w:r>
              <w:rPr>
                <w:rFonts w:hint="eastAsia" w:ascii="宋体" w:hAnsi="宋体" w:eastAsia="宋体" w:cs="宋体"/>
                <w:color w:val="auto"/>
                <w:highlight w:val="none"/>
                <w:lang w:val="en-US" w:eastAsia="zh-CN"/>
              </w:rPr>
              <w:t>2</w:t>
            </w:r>
            <w:r>
              <w:rPr>
                <w:rFonts w:ascii="宋体" w:hAnsi="宋体" w:eastAsia="宋体" w:cs="宋体"/>
                <w:color w:val="auto"/>
                <w:highlight w:val="none"/>
                <w:lang w:val="zh-TW" w:eastAsia="zh-TW"/>
              </w:rPr>
              <w:t>年度在黑龙江省交通运输厅公路施工监理企业信用评价或202</w:t>
            </w:r>
            <w:r>
              <w:rPr>
                <w:rFonts w:hint="eastAsia" w:ascii="宋体" w:hAnsi="宋体" w:eastAsia="宋体" w:cs="宋体"/>
                <w:color w:val="auto"/>
                <w:highlight w:val="none"/>
                <w:lang w:val="en-US" w:eastAsia="zh-CN"/>
              </w:rPr>
              <w:t>2</w:t>
            </w:r>
            <w:r>
              <w:rPr>
                <w:rFonts w:ascii="宋体" w:hAnsi="宋体" w:eastAsia="宋体" w:cs="宋体"/>
                <w:color w:val="auto"/>
                <w:highlight w:val="none"/>
                <w:lang w:val="zh-TW" w:eastAsia="zh-TW"/>
              </w:rPr>
              <w:t>年度在交通运输部公路建设市场全国综合信用评价中取得较高信用等级的投标人优先（如果省级或部级评价等级不一致，以最高的信用评价等级认定）；202</w:t>
            </w:r>
            <w:r>
              <w:rPr>
                <w:rFonts w:hint="eastAsia" w:ascii="宋体" w:hAnsi="宋体" w:eastAsia="宋体" w:cs="宋体"/>
                <w:color w:val="auto"/>
                <w:highlight w:val="none"/>
                <w:lang w:val="en-US" w:eastAsia="zh-CN"/>
              </w:rPr>
              <w:t>2</w:t>
            </w:r>
            <w:r>
              <w:rPr>
                <w:rFonts w:ascii="宋体" w:hAnsi="宋体" w:eastAsia="宋体" w:cs="宋体"/>
                <w:color w:val="auto"/>
                <w:highlight w:val="none"/>
                <w:lang w:val="zh-TW" w:eastAsia="zh-TW"/>
              </w:rPr>
              <w:t>年度在黑龙江省交通运输厅或202</w:t>
            </w:r>
            <w:r>
              <w:rPr>
                <w:rFonts w:hint="eastAsia" w:ascii="宋体" w:hAnsi="宋体" w:eastAsia="宋体" w:cs="宋体"/>
                <w:color w:val="auto"/>
                <w:highlight w:val="none"/>
                <w:lang w:val="en-US" w:eastAsia="zh-CN"/>
              </w:rPr>
              <w:t>2</w:t>
            </w:r>
            <w:r>
              <w:rPr>
                <w:rFonts w:ascii="宋体" w:hAnsi="宋体" w:eastAsia="宋体" w:cs="宋体"/>
                <w:color w:val="auto"/>
                <w:highlight w:val="none"/>
                <w:lang w:val="zh-TW" w:eastAsia="zh-TW"/>
              </w:rPr>
              <w:t>年度在交通运输部无监理企业信用评价结果的，采用202</w:t>
            </w:r>
            <w:r>
              <w:rPr>
                <w:rFonts w:hint="eastAsia" w:ascii="宋体" w:hAnsi="宋体" w:eastAsia="宋体" w:cs="宋体"/>
                <w:color w:val="auto"/>
                <w:highlight w:val="none"/>
                <w:lang w:val="en-US" w:eastAsia="zh-CN"/>
              </w:rPr>
              <w:t>1</w:t>
            </w:r>
            <w:r>
              <w:rPr>
                <w:rFonts w:ascii="宋体" w:hAnsi="宋体" w:eastAsia="宋体" w:cs="宋体"/>
                <w:color w:val="auto"/>
                <w:highlight w:val="none"/>
                <w:lang w:val="zh-TW" w:eastAsia="zh-TW"/>
              </w:rPr>
              <w:t>年度黑龙江省交通运输厅或202</w:t>
            </w:r>
            <w:r>
              <w:rPr>
                <w:rFonts w:hint="eastAsia" w:ascii="宋体" w:hAnsi="宋体" w:eastAsia="宋体" w:cs="宋体"/>
                <w:color w:val="auto"/>
                <w:highlight w:val="none"/>
                <w:lang w:val="en-US" w:eastAsia="zh-CN"/>
              </w:rPr>
              <w:t>1</w:t>
            </w:r>
            <w:r>
              <w:rPr>
                <w:rFonts w:ascii="宋体" w:hAnsi="宋体" w:eastAsia="宋体" w:cs="宋体"/>
                <w:color w:val="auto"/>
                <w:highlight w:val="none"/>
                <w:lang w:val="zh-TW" w:eastAsia="zh-TW"/>
              </w:rPr>
              <w:t>年度交通运输部监理企业信用评价结果。</w:t>
            </w:r>
          </w:p>
          <w:p w14:paraId="50D69DF7">
            <w:pPr>
              <w:spacing w:line="360" w:lineRule="auto"/>
              <w:rPr>
                <w:rFonts w:ascii="宋体" w:hAnsi="宋体" w:eastAsia="宋体" w:cs="宋体"/>
                <w:color w:val="auto"/>
                <w:highlight w:val="none"/>
                <w:lang w:eastAsia="zh-TW"/>
              </w:rPr>
            </w:pPr>
            <w:r>
              <w:rPr>
                <w:rFonts w:hint="eastAsia" w:ascii="宋体" w:hAnsi="宋体" w:eastAsia="宋体" w:cs="宋体"/>
                <w:color w:val="auto"/>
                <w:highlight w:val="none"/>
                <w:lang w:val="zh-TW" w:eastAsia="zh-TW"/>
              </w:rPr>
              <w:t>（</w:t>
            </w:r>
            <w:r>
              <w:rPr>
                <w:rFonts w:ascii="宋体" w:hAnsi="宋体" w:eastAsia="宋体" w:cs="宋体"/>
                <w:color w:val="auto"/>
                <w:highlight w:val="none"/>
                <w:lang w:val="zh-TW" w:eastAsia="zh-TW"/>
              </w:rPr>
              <w:t>3）技术建议书得分较高的投标人优先。</w:t>
            </w:r>
          </w:p>
        </w:tc>
      </w:tr>
      <w:tr w14:paraId="4335E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5" w:hRule="atLeast"/>
          <w:jc w:val="center"/>
        </w:trPr>
        <w:tc>
          <w:tcPr>
            <w:tcW w:w="1093" w:type="dxa"/>
            <w:tcBorders>
              <w:right w:val="single" w:color="auto" w:sz="4" w:space="0"/>
            </w:tcBorders>
            <w:vAlign w:val="center"/>
          </w:tcPr>
          <w:p w14:paraId="6D1974B3">
            <w:pPr>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2.1.1</w:t>
            </w:r>
          </w:p>
          <w:p w14:paraId="49A8F587">
            <w:pPr>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2.1.3</w:t>
            </w:r>
          </w:p>
        </w:tc>
        <w:tc>
          <w:tcPr>
            <w:tcW w:w="1420" w:type="dxa"/>
            <w:tcBorders>
              <w:left w:val="single" w:color="auto" w:sz="4" w:space="0"/>
            </w:tcBorders>
            <w:vAlign w:val="center"/>
          </w:tcPr>
          <w:p w14:paraId="7F2BF680">
            <w:pPr>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形式评审</w:t>
            </w:r>
          </w:p>
          <w:p w14:paraId="1D9F6FAE">
            <w:pPr>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与响应性</w:t>
            </w:r>
          </w:p>
          <w:p w14:paraId="08E40B5B">
            <w:pPr>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评审标准</w:t>
            </w:r>
          </w:p>
        </w:tc>
        <w:tc>
          <w:tcPr>
            <w:tcW w:w="6765" w:type="dxa"/>
            <w:vAlign w:val="center"/>
          </w:tcPr>
          <w:p w14:paraId="0A578128">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第一个信封（商务及技术文件）评审标准：</w:t>
            </w:r>
          </w:p>
          <w:p w14:paraId="4C472189">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（1）投标文件按照招标文件规定的格式、内容填写，字迹清晰可辨：</w:t>
            </w:r>
          </w:p>
          <w:p w14:paraId="6E24E778">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a.投标函按招标文件规定填报了项目名称、标段号、补遗书编号（如有）、监理服务期限、质量要求及安全目标；</w:t>
            </w:r>
          </w:p>
          <w:p w14:paraId="522BD718">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b.投标文件组成齐全完整，内容均按规定填写。</w:t>
            </w:r>
          </w:p>
          <w:p w14:paraId="0702ADDF">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（2）投标文件上法定代表人或其委托代理人的签字、投标人的单位章盖章齐全，符合招标文件规定。</w:t>
            </w:r>
          </w:p>
          <w:p w14:paraId="72A8CEA8">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（3）投标人按照招标文件的规定提供了投标保证金：</w:t>
            </w:r>
          </w:p>
          <w:p w14:paraId="72CD34A8">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a.投标保证金金额符合招标文件规定的金额，且投标保证金有效期不少于投标有效期；</w:t>
            </w:r>
          </w:p>
          <w:p w14:paraId="25BFCFBE">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b.若投标保证金采用网银转账、银行电汇形式提交，投标人在投标保证金递交截止时间之前，将投标保证金由投标人的基本账户转入黑龙江公共资源交易平台对接的银行虚拟子账户；</w:t>
            </w:r>
          </w:p>
          <w:p w14:paraId="7E349F45">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c.若投标保证金采用电子保函形式递交，投标人按黑龙江公共资源交易网电子保函相关规定递交。</w:t>
            </w:r>
          </w:p>
          <w:p w14:paraId="70033DFC">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(4）投标人法定代表人授权委托代理人签署投标文件的，须提交授权委托书，且授权人和被授权人均在授权委托书上签名，未使用印章签名章或其他电子制版签名代替。</w:t>
            </w:r>
          </w:p>
          <w:p w14:paraId="1018E209">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(5）投标人法定代表人亲自签署投标文件的，提供了法定代表人身份证明，且法定代表人在法定代表人身份证明上签名，未使用印章签名章或其他电子制版签名代替。</w:t>
            </w:r>
          </w:p>
          <w:p w14:paraId="38845329">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(6）同一投标人未提交两个以上不同的投标文件。</w:t>
            </w:r>
          </w:p>
          <w:p w14:paraId="589A01A9">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(7）投标文件中未出现有关投标报价的内容。</w:t>
            </w:r>
          </w:p>
          <w:p w14:paraId="2814A2AB">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(8）投标文件载明的招标项目完成期限符合招标文件规定。</w:t>
            </w:r>
          </w:p>
          <w:p w14:paraId="38A8080D">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(9）投标文件对招标文件的实质性要求和条件作出响应。</w:t>
            </w:r>
          </w:p>
          <w:p w14:paraId="3BCEC612">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(10）权利义务符合招标文件规定：</w:t>
            </w:r>
          </w:p>
          <w:p w14:paraId="2B880D88">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a.投标人应接受招标文件规定的风险划分原则，未提出新的风险划分办法；</w:t>
            </w:r>
          </w:p>
          <w:p w14:paraId="610B5E5F">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b.投标人未增加委托人的责任范围，或减少投标人义务；</w:t>
            </w:r>
          </w:p>
          <w:p w14:paraId="19096CB7">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c.投标人未提出不同的支付办法；</w:t>
            </w:r>
          </w:p>
          <w:p w14:paraId="417E5F75">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d.投标人对合同纠纷、事故处理办法未提出异议；</w:t>
            </w:r>
          </w:p>
          <w:p w14:paraId="03605C94">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e.投标人在投标活动中无欺诈行为；</w:t>
            </w:r>
          </w:p>
          <w:p w14:paraId="11607101">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f.投标人未对合同条款有重要保留。</w:t>
            </w:r>
          </w:p>
          <w:p w14:paraId="2D38DB9C">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(11）投标文件份数为正本1份、副本2份。</w:t>
            </w:r>
          </w:p>
          <w:p w14:paraId="7997C091">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(12)不存在违反法律、法规的其他情形。</w:t>
            </w:r>
          </w:p>
          <w:p w14:paraId="3AC8A0DF">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第二个信封（报价文件）评审标准：</w:t>
            </w:r>
          </w:p>
          <w:p w14:paraId="72D8C3CD">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（1）投标文件按照招标文件规定的格式、内容填写，字迹清晰可辨，内容齐全完整：</w:t>
            </w:r>
          </w:p>
          <w:p w14:paraId="756A3794">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a.投标函按招标文件规定填报了项目名称、标段号、补遗书编号（如有）、投标价（包括大写金额和小写金额）；</w:t>
            </w:r>
          </w:p>
          <w:p w14:paraId="35EDBBA7">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b.已标价报价清单说明文字与招标文件规定一致，未进行实质性修改和删减；</w:t>
            </w:r>
          </w:p>
          <w:p w14:paraId="7F3D9C1E">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c.投标文件组成齐全完整，内容均按规定填写。</w:t>
            </w:r>
          </w:p>
          <w:p w14:paraId="37E97375">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（2）投标文件上法定代表人或其委托代理人的签字、投标人的单位章盖章齐全，符合招标文件规定。</w:t>
            </w:r>
          </w:p>
          <w:p w14:paraId="54BC5A5E">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（3）投标报价未超过招标文件设定的最高投标限价。</w:t>
            </w:r>
          </w:p>
          <w:p w14:paraId="551E69B0">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（4）投标报价的大写金额能够确定具体数值。</w:t>
            </w:r>
          </w:p>
          <w:p w14:paraId="181EB61E">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（5）同一投标人未提交两个以上不同的投标报价。</w:t>
            </w:r>
          </w:p>
          <w:p w14:paraId="721D0A8A">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（6）投标文件份数为正本1份、副本2份。</w:t>
            </w:r>
          </w:p>
          <w:p w14:paraId="64B20491">
            <w:pPr>
              <w:widowControl/>
              <w:shd w:val="clear" w:color="auto" w:fill="FFFFFF"/>
              <w:ind w:firstLine="420"/>
              <w:jc w:val="left"/>
              <w:rPr>
                <w:rFonts w:ascii="宋体" w:hAnsi="宋体" w:eastAsia="宋体" w:cs="宋体"/>
                <w:color w:val="auto"/>
                <w:highlight w:val="none"/>
                <w:lang w:eastAsia="zh-TW"/>
              </w:rPr>
            </w:pPr>
            <w:r>
              <w:rPr>
                <w:rFonts w:hint="eastAsia" w:ascii="宋体" w:hAnsi="宋体" w:eastAsia="宋体" w:cs="宋体"/>
                <w:color w:val="auto"/>
                <w:kern w:val="0"/>
                <w:szCs w:val="21"/>
                <w:highlight w:val="none"/>
              </w:rPr>
              <w:t>（7）不存在违反法律、法规的其他情形。</w:t>
            </w:r>
          </w:p>
        </w:tc>
      </w:tr>
      <w:tr w14:paraId="36D8C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1" w:hRule="atLeast"/>
          <w:jc w:val="center"/>
        </w:trPr>
        <w:tc>
          <w:tcPr>
            <w:tcW w:w="1093" w:type="dxa"/>
            <w:tcBorders>
              <w:right w:val="single" w:color="auto" w:sz="4" w:space="0"/>
            </w:tcBorders>
            <w:vAlign w:val="center"/>
          </w:tcPr>
          <w:p w14:paraId="71642988">
            <w:pPr>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2.1.2</w:t>
            </w:r>
          </w:p>
        </w:tc>
        <w:tc>
          <w:tcPr>
            <w:tcW w:w="1420" w:type="dxa"/>
            <w:tcBorders>
              <w:left w:val="single" w:color="auto" w:sz="4" w:space="0"/>
            </w:tcBorders>
            <w:vAlign w:val="center"/>
          </w:tcPr>
          <w:p w14:paraId="7A17DD41">
            <w:pPr>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资格评审</w:t>
            </w:r>
          </w:p>
          <w:p w14:paraId="27756F61">
            <w:pPr>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标准</w:t>
            </w:r>
          </w:p>
        </w:tc>
        <w:tc>
          <w:tcPr>
            <w:tcW w:w="6765" w:type="dxa"/>
            <w:vAlign w:val="center"/>
          </w:tcPr>
          <w:p w14:paraId="7FA979A7">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具备有效的营业执照、组织机构代码证（按照三证合一、五证合一登记制度进行登记的，可仅提供营业执照）、监理资质证书和基本账户开户许可证或经基本账户开户银行出具加盖银行公章的基本账户信息证明、投标人在国家企业信用信息公示系统中基础信息（体现股东及出资详细信息）的网页截图。</w:t>
            </w:r>
          </w:p>
          <w:p w14:paraId="4171A21B">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（2）投标人的资质等级符合招标文件规定。</w:t>
            </w:r>
          </w:p>
          <w:p w14:paraId="451A6D15">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（3）投标人的类似项目业绩符合招标文件规定。</w:t>
            </w:r>
          </w:p>
          <w:p w14:paraId="534386FF">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（4）投标人的信誉符合招标文件规定。</w:t>
            </w:r>
          </w:p>
          <w:p w14:paraId="79D0D85A">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（5）投标人的总监理工程师及试验室主任资格、在岗情况符合招标文件规定。</w:t>
            </w:r>
          </w:p>
          <w:p w14:paraId="701A662A">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（6）投标人不存在第二章“投标人须知”第1.4.3项或第1.4.4项规定的任何一种情形。</w:t>
            </w:r>
          </w:p>
          <w:p w14:paraId="200EAF8E">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1.4.3投标人不得与本标段相关单位存在下列关联关系：</w:t>
            </w:r>
          </w:p>
          <w:p w14:paraId="24963C46">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①为招标人不具有独立法人资格的附属机构（单位）；</w:t>
            </w:r>
          </w:p>
          <w:p w14:paraId="21E80EFE">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②与招标人存在利害关系且可能影响招标公正性；</w:t>
            </w:r>
          </w:p>
          <w:p w14:paraId="3BAC4CAE">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③与本标段的其他投标人同为一个单位负责人；</w:t>
            </w:r>
          </w:p>
          <w:p w14:paraId="2DF16BC7">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④与本标段的其他投标人存在控股、管理关系；</w:t>
            </w:r>
          </w:p>
          <w:p w14:paraId="34992D1B">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⑤为本标段的代建人；</w:t>
            </w:r>
          </w:p>
          <w:p w14:paraId="01F24ED4">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⑥为本标段的招标代理机构；</w:t>
            </w:r>
          </w:p>
          <w:p w14:paraId="4C44DD2D">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⑦与本标段的代建人或招标代理机构同为一个法定代表人；</w:t>
            </w:r>
          </w:p>
          <w:p w14:paraId="66983B63">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⑧与本标段的代建人或招标代理机构存在控股或参股关系；</w:t>
            </w:r>
          </w:p>
          <w:p w14:paraId="64C270AF">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⑨与本标段对应工程的施工承包人以及建筑材料、建筑构配件和设备供应商有隶属关系或其他利害关系；</w:t>
            </w:r>
          </w:p>
          <w:p w14:paraId="675E393F">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⑩法律法规或投标人须知前附表规定的其他情形。</w:t>
            </w:r>
          </w:p>
          <w:p w14:paraId="4F59333F">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1.4.4投标人不得存在下列不良状况或不良信用记录：</w:t>
            </w:r>
          </w:p>
          <w:p w14:paraId="354B8087">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①被省级及以上交通运输主管部门取消招标项目所在地的投标资格且处于有效期内；</w:t>
            </w:r>
          </w:p>
          <w:p w14:paraId="2FE34C09">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②被责令停业，暂扣或吊销执照，或吊销资质证书；</w:t>
            </w:r>
          </w:p>
          <w:p w14:paraId="26D62CB5">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③进入清算程序，或被宣告破产，或其他丧失履约能力的情形；</w:t>
            </w:r>
          </w:p>
          <w:p w14:paraId="2C8D7F88">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④在国家企业信用信息公示系统（http://www.gsxt.gov.cn/）中被列入严重违法失信企业名单；</w:t>
            </w:r>
          </w:p>
          <w:p w14:paraId="229261D3">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⑤在“信用中国”网站（http://www.creditchina.gov.cn）或“信用中国（黑龙江）”网站（http://www.hljcredit.gov.cn/）中被列入失信被执行人名单；</w:t>
            </w:r>
          </w:p>
          <w:p w14:paraId="4769A4E4">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投标人或其法定代表人、拟委任的总监理工程师及试验室主任在近三年内有行贿犯罪行为的（行贿犯罪行为的认定以投标人提供的在中国裁判文书（http://wenshu.court.gov.cn/）网站上无行贿犯罪查询记录的承诺函为准）。</w:t>
            </w:r>
          </w:p>
          <w:p w14:paraId="70F56A28">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⑦法律法规或投标人须知前附表规定的其他情形。</w:t>
            </w:r>
          </w:p>
          <w:p w14:paraId="7909DF07">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（7）投标人符合第二章“投标人须知”第1.4.5项规定。</w:t>
            </w:r>
          </w:p>
          <w:p w14:paraId="32F8D72E">
            <w:pPr>
              <w:widowControl/>
              <w:shd w:val="clear" w:color="auto" w:fill="FFFFFF"/>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1.4.5投标人应进入交通运输部“全国公路建设市场信用信息管理系统（https://glxy.mot.gov.cn/）”中的公路工程施工监理资质企业名录，且投标人名称和资质与该名录中的相应企业名称和资质完全一致。</w:t>
            </w:r>
          </w:p>
          <w:p w14:paraId="63749D9E">
            <w:pPr>
              <w:widowControl/>
              <w:shd w:val="clear" w:color="auto" w:fill="FFFFFF"/>
              <w:ind w:firstLine="420"/>
              <w:jc w:val="left"/>
              <w:rPr>
                <w:rFonts w:ascii="宋体" w:hAnsi="宋体" w:eastAsia="宋体" w:cs="宋体"/>
                <w:color w:val="auto"/>
                <w:highlight w:val="none"/>
                <w:lang w:eastAsia="zh-TW"/>
              </w:rPr>
            </w:pPr>
            <w:r>
              <w:rPr>
                <w:rFonts w:hint="eastAsia" w:ascii="宋体" w:hAnsi="宋体" w:eastAsia="宋体" w:cs="宋体"/>
                <w:color w:val="auto"/>
                <w:kern w:val="0"/>
                <w:szCs w:val="21"/>
                <w:highlight w:val="none"/>
              </w:rPr>
              <w:t>（8）不存在违反法律、法规的其他情形。</w:t>
            </w:r>
          </w:p>
        </w:tc>
      </w:tr>
      <w:tr w14:paraId="0A28E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1" w:hRule="atLeast"/>
          <w:jc w:val="center"/>
        </w:trPr>
        <w:tc>
          <w:tcPr>
            <w:tcW w:w="1093" w:type="dxa"/>
            <w:tcBorders>
              <w:right w:val="single" w:color="auto" w:sz="4" w:space="0"/>
            </w:tcBorders>
            <w:vAlign w:val="center"/>
          </w:tcPr>
          <w:p w14:paraId="29DFF8D2">
            <w:pPr>
              <w:pStyle w:val="10"/>
              <w:spacing w:line="300" w:lineRule="exact"/>
              <w:rPr>
                <w:rFonts w:eastAsia="宋体"/>
                <w:color w:val="auto"/>
                <w:highlight w:val="none"/>
                <w:lang w:val="zh-TW" w:eastAsia="zh-TW"/>
              </w:rPr>
            </w:pPr>
            <w:r>
              <w:rPr>
                <w:rFonts w:hint="eastAsia" w:eastAsia="宋体"/>
                <w:color w:val="auto"/>
                <w:sz w:val="21"/>
                <w:szCs w:val="21"/>
                <w:highlight w:val="none"/>
              </w:rPr>
              <w:t>2.2.1</w:t>
            </w:r>
          </w:p>
        </w:tc>
        <w:tc>
          <w:tcPr>
            <w:tcW w:w="1420" w:type="dxa"/>
            <w:tcBorders>
              <w:left w:val="single" w:color="auto" w:sz="4" w:space="0"/>
            </w:tcBorders>
            <w:vAlign w:val="center"/>
          </w:tcPr>
          <w:p w14:paraId="5C62F150">
            <w:pPr>
              <w:pStyle w:val="10"/>
              <w:spacing w:line="300" w:lineRule="exact"/>
              <w:rPr>
                <w:rFonts w:eastAsia="宋体"/>
                <w:color w:val="auto"/>
                <w:sz w:val="21"/>
                <w:szCs w:val="21"/>
                <w:highlight w:val="none"/>
              </w:rPr>
            </w:pPr>
            <w:r>
              <w:rPr>
                <w:rFonts w:hint="eastAsia" w:eastAsia="宋体"/>
                <w:color w:val="auto"/>
                <w:sz w:val="21"/>
                <w:szCs w:val="21"/>
                <w:highlight w:val="none"/>
              </w:rPr>
              <w:t>分值构成</w:t>
            </w:r>
          </w:p>
          <w:p w14:paraId="7FA3888C">
            <w:pPr>
              <w:pStyle w:val="10"/>
              <w:spacing w:line="300" w:lineRule="exact"/>
              <w:rPr>
                <w:rFonts w:eastAsia="宋体"/>
                <w:color w:val="auto"/>
                <w:highlight w:val="none"/>
                <w:lang w:val="zh-TW" w:eastAsia="zh-TW"/>
              </w:rPr>
            </w:pPr>
            <w:r>
              <w:rPr>
                <w:rFonts w:hint="eastAsia" w:eastAsia="宋体"/>
                <w:color w:val="auto"/>
                <w:spacing w:val="-20"/>
                <w:sz w:val="21"/>
                <w:szCs w:val="21"/>
                <w:highlight w:val="none"/>
              </w:rPr>
              <w:t>（总分100分）</w:t>
            </w:r>
          </w:p>
        </w:tc>
        <w:tc>
          <w:tcPr>
            <w:tcW w:w="6765" w:type="dxa"/>
          </w:tcPr>
          <w:p w14:paraId="002AAE68">
            <w:pPr>
              <w:pStyle w:val="11"/>
              <w:shd w:val="clear" w:color="auto" w:fill="FFFFFF"/>
              <w:spacing w:before="0" w:beforeAutospacing="0" w:after="0" w:afterAutospacing="0" w:line="300" w:lineRule="atLeast"/>
              <w:ind w:right="-4" w:firstLine="457"/>
              <w:rPr>
                <w:color w:val="auto"/>
                <w:sz w:val="21"/>
                <w:szCs w:val="21"/>
                <w:highlight w:val="none"/>
              </w:rPr>
            </w:pPr>
            <w:r>
              <w:rPr>
                <w:rFonts w:hint="eastAsia"/>
                <w:b/>
                <w:bCs/>
                <w:color w:val="auto"/>
                <w:sz w:val="21"/>
                <w:szCs w:val="21"/>
                <w:highlight w:val="none"/>
              </w:rPr>
              <w:t>第一个信封（商务及技术文件）评分分值构成：</w:t>
            </w:r>
          </w:p>
          <w:p w14:paraId="12511EF6">
            <w:pPr>
              <w:pStyle w:val="11"/>
              <w:shd w:val="clear" w:color="auto" w:fill="FFFFFF"/>
              <w:spacing w:before="0" w:beforeAutospacing="0" w:after="0" w:afterAutospacing="0" w:line="300" w:lineRule="atLeast"/>
              <w:ind w:right="-4" w:firstLine="455"/>
              <w:rPr>
                <w:color w:val="auto"/>
                <w:sz w:val="21"/>
                <w:szCs w:val="21"/>
                <w:highlight w:val="none"/>
              </w:rPr>
            </w:pPr>
            <w:r>
              <w:rPr>
                <w:rFonts w:hint="eastAsia"/>
                <w:color w:val="auto"/>
                <w:sz w:val="21"/>
                <w:szCs w:val="21"/>
                <w:highlight w:val="none"/>
              </w:rPr>
              <w:t>技术建议书：30分；</w:t>
            </w:r>
          </w:p>
          <w:p w14:paraId="7ADA6AF0">
            <w:pPr>
              <w:pStyle w:val="11"/>
              <w:shd w:val="clear" w:color="auto" w:fill="FFFFFF"/>
              <w:spacing w:before="0" w:beforeAutospacing="0" w:after="0" w:afterAutospacing="0" w:line="300" w:lineRule="atLeast"/>
              <w:ind w:right="-4" w:firstLine="455"/>
              <w:rPr>
                <w:color w:val="auto"/>
                <w:sz w:val="21"/>
                <w:szCs w:val="21"/>
                <w:highlight w:val="none"/>
              </w:rPr>
            </w:pPr>
            <w:r>
              <w:rPr>
                <w:rFonts w:hint="eastAsia"/>
                <w:color w:val="auto"/>
                <w:sz w:val="21"/>
                <w:szCs w:val="21"/>
                <w:highlight w:val="none"/>
              </w:rPr>
              <w:t>主要人员：30分；</w:t>
            </w:r>
          </w:p>
          <w:p w14:paraId="76BB0B49">
            <w:pPr>
              <w:pStyle w:val="11"/>
              <w:shd w:val="clear" w:color="auto" w:fill="FFFFFF"/>
              <w:spacing w:before="0" w:beforeAutospacing="0" w:after="0" w:afterAutospacing="0" w:line="300" w:lineRule="atLeast"/>
              <w:ind w:right="-4" w:firstLine="455"/>
              <w:rPr>
                <w:color w:val="auto"/>
                <w:sz w:val="21"/>
                <w:szCs w:val="21"/>
                <w:highlight w:val="none"/>
              </w:rPr>
            </w:pPr>
            <w:r>
              <w:rPr>
                <w:rFonts w:hint="eastAsia"/>
                <w:color w:val="auto"/>
                <w:sz w:val="21"/>
                <w:szCs w:val="21"/>
                <w:highlight w:val="none"/>
              </w:rPr>
              <w:t>业绩：25分；</w:t>
            </w:r>
          </w:p>
          <w:p w14:paraId="1D6570B4">
            <w:pPr>
              <w:pStyle w:val="11"/>
              <w:shd w:val="clear" w:color="auto" w:fill="FFFFFF"/>
              <w:spacing w:before="0" w:beforeAutospacing="0" w:after="0" w:afterAutospacing="0" w:line="300" w:lineRule="atLeast"/>
              <w:ind w:right="-4" w:firstLine="455"/>
              <w:rPr>
                <w:color w:val="auto"/>
                <w:sz w:val="21"/>
                <w:szCs w:val="21"/>
                <w:highlight w:val="none"/>
              </w:rPr>
            </w:pPr>
            <w:r>
              <w:rPr>
                <w:rFonts w:hint="eastAsia"/>
                <w:color w:val="auto"/>
                <w:sz w:val="21"/>
                <w:szCs w:val="21"/>
                <w:highlight w:val="none"/>
              </w:rPr>
              <w:t>履约信誉：5分；</w:t>
            </w:r>
          </w:p>
          <w:p w14:paraId="41338C6A">
            <w:pPr>
              <w:pStyle w:val="11"/>
              <w:shd w:val="clear" w:color="auto" w:fill="FFFFFF"/>
              <w:spacing w:before="0" w:beforeAutospacing="0" w:after="0" w:afterAutospacing="0" w:line="300" w:lineRule="atLeast"/>
              <w:ind w:right="-4" w:firstLine="457"/>
              <w:rPr>
                <w:color w:val="auto"/>
                <w:sz w:val="21"/>
                <w:szCs w:val="21"/>
                <w:highlight w:val="none"/>
              </w:rPr>
            </w:pPr>
            <w:r>
              <w:rPr>
                <w:rFonts w:hint="eastAsia"/>
                <w:b/>
                <w:bCs/>
                <w:color w:val="auto"/>
                <w:sz w:val="21"/>
                <w:szCs w:val="21"/>
                <w:highlight w:val="none"/>
              </w:rPr>
              <w:t>第二个信封（报价文件）评分分值构成：</w:t>
            </w:r>
          </w:p>
          <w:p w14:paraId="27EB5077">
            <w:pPr>
              <w:pStyle w:val="11"/>
              <w:shd w:val="clear" w:color="auto" w:fill="FFFFFF"/>
              <w:spacing w:before="0" w:beforeAutospacing="0" w:after="0" w:afterAutospacing="0" w:line="300" w:lineRule="atLeast"/>
              <w:ind w:right="-4" w:firstLine="455"/>
              <w:rPr>
                <w:color w:val="auto"/>
                <w:highlight w:val="none"/>
                <w:lang w:val="zh-TW" w:eastAsia="zh-TW"/>
              </w:rPr>
            </w:pPr>
            <w:r>
              <w:rPr>
                <w:rFonts w:hint="eastAsia"/>
                <w:color w:val="auto"/>
                <w:sz w:val="21"/>
                <w:szCs w:val="21"/>
                <w:highlight w:val="none"/>
              </w:rPr>
              <w:t>评标价：10分。</w:t>
            </w:r>
          </w:p>
        </w:tc>
      </w:tr>
      <w:tr w14:paraId="22E23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1" w:hRule="atLeast"/>
          <w:jc w:val="center"/>
        </w:trPr>
        <w:tc>
          <w:tcPr>
            <w:tcW w:w="1093" w:type="dxa"/>
            <w:tcBorders>
              <w:right w:val="single" w:color="auto" w:sz="4" w:space="0"/>
            </w:tcBorders>
            <w:vAlign w:val="center"/>
          </w:tcPr>
          <w:p w14:paraId="1374319E">
            <w:pPr>
              <w:pStyle w:val="10"/>
              <w:spacing w:line="300" w:lineRule="exact"/>
              <w:rPr>
                <w:rFonts w:eastAsia="宋体"/>
                <w:color w:val="auto"/>
                <w:sz w:val="21"/>
                <w:szCs w:val="21"/>
                <w:highlight w:val="none"/>
              </w:rPr>
            </w:pPr>
            <w:r>
              <w:rPr>
                <w:rFonts w:hint="eastAsia" w:eastAsia="宋体"/>
                <w:color w:val="auto"/>
                <w:sz w:val="21"/>
                <w:szCs w:val="21"/>
                <w:highlight w:val="none"/>
              </w:rPr>
              <w:t>2.2.2</w:t>
            </w:r>
          </w:p>
        </w:tc>
        <w:tc>
          <w:tcPr>
            <w:tcW w:w="1420" w:type="dxa"/>
            <w:tcBorders>
              <w:left w:val="single" w:color="auto" w:sz="4" w:space="0"/>
            </w:tcBorders>
            <w:vAlign w:val="center"/>
          </w:tcPr>
          <w:p w14:paraId="0C636573">
            <w:pPr>
              <w:pStyle w:val="10"/>
              <w:spacing w:line="300" w:lineRule="exact"/>
              <w:ind w:right="105"/>
              <w:rPr>
                <w:rFonts w:eastAsia="宋体"/>
                <w:color w:val="auto"/>
                <w:spacing w:val="-20"/>
                <w:sz w:val="21"/>
                <w:szCs w:val="21"/>
                <w:highlight w:val="none"/>
              </w:rPr>
            </w:pPr>
            <w:r>
              <w:rPr>
                <w:rFonts w:hint="eastAsia" w:eastAsia="宋体"/>
                <w:color w:val="auto"/>
                <w:sz w:val="21"/>
                <w:szCs w:val="21"/>
                <w:highlight w:val="none"/>
              </w:rPr>
              <w:t>评标基准价计算方法</w:t>
            </w:r>
          </w:p>
        </w:tc>
        <w:tc>
          <w:tcPr>
            <w:tcW w:w="6765" w:type="dxa"/>
          </w:tcPr>
          <w:p w14:paraId="6EAC808C">
            <w:pPr>
              <w:pStyle w:val="11"/>
              <w:shd w:val="clear" w:color="auto" w:fill="FFFFFF"/>
              <w:spacing w:before="0" w:beforeAutospacing="0" w:after="0" w:afterAutospacing="0" w:line="300" w:lineRule="atLeast"/>
              <w:ind w:left="34" w:right="-4" w:firstLine="422"/>
              <w:rPr>
                <w:color w:val="auto"/>
                <w:sz w:val="21"/>
                <w:szCs w:val="21"/>
                <w:highlight w:val="none"/>
              </w:rPr>
            </w:pPr>
            <w:r>
              <w:rPr>
                <w:rFonts w:hint="eastAsia"/>
                <w:color w:val="auto"/>
                <w:sz w:val="21"/>
                <w:szCs w:val="21"/>
                <w:highlight w:val="none"/>
              </w:rPr>
              <w:t>评标基准价的计算：</w:t>
            </w:r>
          </w:p>
          <w:p w14:paraId="334B379C">
            <w:pPr>
              <w:pStyle w:val="11"/>
              <w:shd w:val="clear" w:color="auto" w:fill="FFFFFF"/>
              <w:spacing w:before="0" w:beforeAutospacing="0" w:after="0" w:afterAutospacing="0" w:line="300" w:lineRule="atLeast"/>
              <w:ind w:left="34" w:right="-4" w:firstLine="422"/>
              <w:rPr>
                <w:color w:val="auto"/>
                <w:sz w:val="21"/>
                <w:szCs w:val="21"/>
                <w:highlight w:val="none"/>
              </w:rPr>
            </w:pPr>
            <w:r>
              <w:rPr>
                <w:rFonts w:hint="eastAsia"/>
                <w:color w:val="auto"/>
                <w:sz w:val="21"/>
                <w:szCs w:val="21"/>
                <w:highlight w:val="none"/>
              </w:rPr>
              <w:t>在开标现场，招标人将当场计算并宣布评标基准价。</w:t>
            </w:r>
          </w:p>
          <w:p w14:paraId="6A4B7874">
            <w:pPr>
              <w:pStyle w:val="11"/>
              <w:shd w:val="clear" w:color="auto" w:fill="FFFFFF"/>
              <w:spacing w:before="0" w:beforeAutospacing="0" w:after="0" w:afterAutospacing="0" w:line="300" w:lineRule="atLeast"/>
              <w:ind w:left="34" w:right="-4" w:firstLine="422"/>
              <w:rPr>
                <w:color w:val="auto"/>
                <w:sz w:val="21"/>
                <w:szCs w:val="21"/>
                <w:highlight w:val="none"/>
              </w:rPr>
            </w:pPr>
            <w:r>
              <w:rPr>
                <w:rFonts w:hint="eastAsia"/>
                <w:color w:val="auto"/>
                <w:sz w:val="21"/>
                <w:szCs w:val="21"/>
                <w:highlight w:val="none"/>
              </w:rPr>
              <w:t>（1）评标价的确定：</w:t>
            </w:r>
          </w:p>
          <w:p w14:paraId="194A8D16">
            <w:pPr>
              <w:pStyle w:val="11"/>
              <w:shd w:val="clear" w:color="auto" w:fill="FFFFFF"/>
              <w:spacing w:before="0" w:beforeAutospacing="0" w:after="0" w:afterAutospacing="0" w:line="300" w:lineRule="atLeast"/>
              <w:ind w:left="34" w:right="-4" w:firstLine="422"/>
              <w:rPr>
                <w:color w:val="auto"/>
                <w:sz w:val="21"/>
                <w:szCs w:val="21"/>
                <w:highlight w:val="none"/>
              </w:rPr>
            </w:pPr>
            <w:r>
              <w:rPr>
                <w:rFonts w:hint="eastAsia"/>
                <w:color w:val="auto"/>
                <w:sz w:val="21"/>
                <w:szCs w:val="21"/>
                <w:highlight w:val="none"/>
              </w:rPr>
              <w:t>评标价=投标函文字报价</w:t>
            </w:r>
          </w:p>
          <w:p w14:paraId="22ED6015">
            <w:pPr>
              <w:pStyle w:val="11"/>
              <w:shd w:val="clear" w:color="auto" w:fill="FFFFFF"/>
              <w:spacing w:before="0" w:beforeAutospacing="0" w:after="0" w:afterAutospacing="0" w:line="300" w:lineRule="atLeast"/>
              <w:ind w:left="34" w:right="-4" w:firstLine="422"/>
              <w:rPr>
                <w:color w:val="auto"/>
                <w:sz w:val="21"/>
                <w:szCs w:val="21"/>
                <w:highlight w:val="none"/>
              </w:rPr>
            </w:pPr>
            <w:r>
              <w:rPr>
                <w:rFonts w:hint="eastAsia"/>
                <w:color w:val="auto"/>
                <w:sz w:val="21"/>
                <w:szCs w:val="21"/>
                <w:highlight w:val="none"/>
              </w:rPr>
              <w:t>（2）评标价平均值的计算</w:t>
            </w:r>
          </w:p>
          <w:p w14:paraId="4223A6B6">
            <w:pPr>
              <w:pStyle w:val="11"/>
              <w:shd w:val="clear" w:color="auto" w:fill="FFFFFF"/>
              <w:spacing w:before="0" w:beforeAutospacing="0" w:after="0" w:afterAutospacing="0" w:line="300" w:lineRule="atLeast"/>
              <w:ind w:left="34" w:right="-4" w:firstLine="422"/>
              <w:rPr>
                <w:color w:val="auto"/>
                <w:sz w:val="21"/>
                <w:szCs w:val="21"/>
                <w:highlight w:val="none"/>
              </w:rPr>
            </w:pPr>
            <w:r>
              <w:rPr>
                <w:rFonts w:hint="eastAsia"/>
                <w:color w:val="auto"/>
                <w:sz w:val="21"/>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或等于5家，则计算评标价平均值时不去掉最高值和最低值）。</w:t>
            </w:r>
          </w:p>
          <w:p w14:paraId="59266D8F">
            <w:pPr>
              <w:pStyle w:val="11"/>
              <w:shd w:val="clear" w:color="auto" w:fill="FFFFFF"/>
              <w:spacing w:before="0" w:beforeAutospacing="0" w:after="0" w:afterAutospacing="0" w:line="300" w:lineRule="atLeast"/>
              <w:ind w:left="34" w:right="-4" w:firstLine="422"/>
              <w:rPr>
                <w:color w:val="auto"/>
                <w:sz w:val="21"/>
                <w:szCs w:val="21"/>
                <w:highlight w:val="none"/>
              </w:rPr>
            </w:pPr>
            <w:r>
              <w:rPr>
                <w:rFonts w:hint="eastAsia"/>
                <w:color w:val="auto"/>
                <w:sz w:val="21"/>
                <w:szCs w:val="21"/>
                <w:highlight w:val="none"/>
              </w:rPr>
              <w:t>（3）评标基准价的确定：将评标价平均值直接作为评标基准价。</w:t>
            </w:r>
          </w:p>
          <w:p w14:paraId="7848175C">
            <w:pPr>
              <w:pStyle w:val="11"/>
              <w:shd w:val="clear" w:color="auto" w:fill="FFFFFF"/>
              <w:spacing w:before="0" w:beforeAutospacing="0" w:after="0" w:afterAutospacing="0" w:line="300" w:lineRule="atLeast"/>
              <w:ind w:left="34" w:right="-4" w:firstLine="422"/>
              <w:rPr>
                <w:color w:val="auto"/>
                <w:sz w:val="21"/>
                <w:szCs w:val="21"/>
                <w:highlight w:val="none"/>
              </w:rPr>
            </w:pPr>
            <w:r>
              <w:rPr>
                <w:rFonts w:hint="eastAsia"/>
                <w:color w:val="auto"/>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4D97E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1093" w:type="dxa"/>
            <w:tcBorders>
              <w:right w:val="single" w:color="auto" w:sz="4" w:space="0"/>
            </w:tcBorders>
            <w:vAlign w:val="center"/>
          </w:tcPr>
          <w:p w14:paraId="77506A9D">
            <w:pPr>
              <w:pStyle w:val="10"/>
              <w:spacing w:line="300" w:lineRule="exact"/>
              <w:rPr>
                <w:rFonts w:eastAsia="宋体"/>
                <w:color w:val="auto"/>
                <w:sz w:val="21"/>
                <w:szCs w:val="21"/>
                <w:highlight w:val="none"/>
              </w:rPr>
            </w:pPr>
            <w:r>
              <w:rPr>
                <w:rFonts w:hint="eastAsia" w:eastAsia="宋体"/>
                <w:color w:val="auto"/>
                <w:w w:val="105"/>
                <w:sz w:val="21"/>
                <w:szCs w:val="21"/>
                <w:highlight w:val="none"/>
              </w:rPr>
              <w:t>2.2.3</w:t>
            </w:r>
          </w:p>
        </w:tc>
        <w:tc>
          <w:tcPr>
            <w:tcW w:w="1420" w:type="dxa"/>
            <w:tcBorders>
              <w:left w:val="single" w:color="auto" w:sz="4" w:space="0"/>
            </w:tcBorders>
            <w:vAlign w:val="center"/>
          </w:tcPr>
          <w:p w14:paraId="325DED8E">
            <w:pPr>
              <w:pStyle w:val="10"/>
              <w:spacing w:line="300" w:lineRule="exact"/>
              <w:ind w:left="178" w:right="68"/>
              <w:rPr>
                <w:rFonts w:eastAsia="宋体"/>
                <w:color w:val="auto"/>
                <w:spacing w:val="-20"/>
                <w:sz w:val="21"/>
                <w:szCs w:val="21"/>
                <w:highlight w:val="none"/>
              </w:rPr>
            </w:pPr>
            <w:r>
              <w:rPr>
                <w:rFonts w:hint="eastAsia" w:eastAsia="宋体"/>
                <w:color w:val="auto"/>
                <w:spacing w:val="-5"/>
                <w:sz w:val="21"/>
                <w:szCs w:val="21"/>
                <w:highlight w:val="none"/>
              </w:rPr>
              <w:t>评标价的偏差率计算公式</w:t>
            </w:r>
          </w:p>
        </w:tc>
        <w:tc>
          <w:tcPr>
            <w:tcW w:w="6765" w:type="dxa"/>
            <w:vAlign w:val="center"/>
          </w:tcPr>
          <w:p w14:paraId="7822AB46">
            <w:pPr>
              <w:pStyle w:val="10"/>
              <w:spacing w:line="360" w:lineRule="auto"/>
              <w:ind w:left="34" w:leftChars="16" w:right="-4" w:rightChars="-2" w:firstLine="422" w:firstLineChars="201"/>
              <w:rPr>
                <w:rFonts w:eastAsia="宋体"/>
                <w:color w:val="auto"/>
                <w:sz w:val="21"/>
                <w:szCs w:val="21"/>
                <w:highlight w:val="none"/>
              </w:rPr>
            </w:pPr>
            <w:r>
              <w:rPr>
                <w:rFonts w:hint="eastAsia" w:eastAsia="宋体"/>
                <w:color w:val="auto"/>
                <w:sz w:val="21"/>
                <w:szCs w:val="21"/>
                <w:highlight w:val="none"/>
              </w:rPr>
              <w:t>偏差率＝100% ×（投标人评标价—评标基准价）/评标基准价</w:t>
            </w:r>
          </w:p>
          <w:p w14:paraId="301F20C1">
            <w:pPr>
              <w:pStyle w:val="10"/>
              <w:spacing w:line="360" w:lineRule="auto"/>
              <w:ind w:left="34" w:leftChars="16" w:right="-4" w:rightChars="-2" w:firstLine="422" w:firstLineChars="201"/>
              <w:rPr>
                <w:rFonts w:eastAsia="宋体"/>
                <w:color w:val="auto"/>
                <w:sz w:val="21"/>
                <w:szCs w:val="21"/>
                <w:highlight w:val="none"/>
              </w:rPr>
            </w:pPr>
            <w:r>
              <w:rPr>
                <w:rFonts w:hint="eastAsia" w:eastAsia="宋体"/>
                <w:color w:val="auto"/>
                <w:sz w:val="21"/>
                <w:szCs w:val="21"/>
                <w:highlight w:val="none"/>
              </w:rPr>
              <w:t>偏差率保留</w:t>
            </w:r>
            <w:r>
              <w:rPr>
                <w:rFonts w:hint="eastAsia" w:eastAsia="宋体"/>
                <w:color w:val="auto"/>
                <w:sz w:val="21"/>
                <w:szCs w:val="21"/>
                <w:highlight w:val="none"/>
                <w:u w:val="single"/>
              </w:rPr>
              <w:t xml:space="preserve"> 2 </w:t>
            </w:r>
            <w:r>
              <w:rPr>
                <w:rFonts w:hint="eastAsia" w:eastAsia="宋体"/>
                <w:color w:val="auto"/>
                <w:sz w:val="21"/>
                <w:szCs w:val="21"/>
                <w:highlight w:val="none"/>
              </w:rPr>
              <w:t>位小数</w:t>
            </w:r>
          </w:p>
        </w:tc>
      </w:tr>
      <w:tr w14:paraId="015BC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9278" w:type="dxa"/>
            <w:gridSpan w:val="3"/>
            <w:vAlign w:val="center"/>
          </w:tcPr>
          <w:p w14:paraId="0633968D">
            <w:pPr>
              <w:pStyle w:val="11"/>
              <w:shd w:val="clear" w:color="auto" w:fill="FFFFFF"/>
              <w:spacing w:before="0" w:beforeAutospacing="0" w:after="0" w:afterAutospacing="0" w:line="300" w:lineRule="atLeast"/>
              <w:ind w:left="34" w:right="-4"/>
              <w:rPr>
                <w:color w:val="auto"/>
                <w:sz w:val="21"/>
                <w:szCs w:val="21"/>
                <w:highlight w:val="none"/>
              </w:rPr>
            </w:pPr>
            <w:r>
              <w:rPr>
                <w:rFonts w:hint="eastAsia"/>
                <w:color w:val="auto"/>
                <w:sz w:val="21"/>
                <w:szCs w:val="21"/>
                <w:highlight w:val="none"/>
              </w:rPr>
              <w:t>3.10需要补充的其他内容：</w:t>
            </w:r>
          </w:p>
          <w:p w14:paraId="6EB2832C">
            <w:pPr>
              <w:pStyle w:val="11"/>
              <w:shd w:val="clear" w:color="auto" w:fill="FFFFFF"/>
              <w:spacing w:before="0" w:beforeAutospacing="0" w:after="0" w:afterAutospacing="0" w:line="300" w:lineRule="atLeast"/>
              <w:ind w:left="34" w:right="-4"/>
              <w:rPr>
                <w:color w:val="auto"/>
                <w:sz w:val="21"/>
                <w:szCs w:val="21"/>
                <w:highlight w:val="none"/>
              </w:rPr>
            </w:pPr>
            <w:r>
              <w:rPr>
                <w:rFonts w:hint="eastAsia"/>
                <w:color w:val="auto"/>
                <w:sz w:val="21"/>
                <w:szCs w:val="21"/>
                <w:highlight w:val="none"/>
              </w:rPr>
              <w:t>3.10.1评标委员会对投标文件第一个信封（商务及技术文件）进行评审后，因有效投标不足3个使得投标明显缺乏竞争的，可以否决全部投标。未否决全部投标的，评标委员会应当在评标报告中阐明理由。评标委员会对通过第一个信封（商务及技术文件）评审的投标人的第二个信封（报价文件）进行评审后，有效投标不足3个的，可以否决全部投标。未否决全部投标的，评标委员会应当在评标报告中阐明理由并推荐中标候选人。</w:t>
            </w:r>
          </w:p>
        </w:tc>
      </w:tr>
    </w:tbl>
    <w:p w14:paraId="53FB9F01">
      <w:pPr>
        <w:rPr>
          <w:rFonts w:ascii="宋体" w:hAnsi="宋体" w:eastAsia="宋体" w:cs="宋体"/>
          <w:color w:val="auto"/>
          <w:highlight w:val="none"/>
          <w:lang w:val="zh-TW" w:eastAsia="zh-TW"/>
        </w:rPr>
      </w:pPr>
    </w:p>
    <w:p w14:paraId="7CB0D2A9">
      <w:pPr>
        <w:widowControl/>
        <w:jc w:val="left"/>
        <w:rPr>
          <w:rFonts w:ascii="Times New Roman" w:hAnsi="Times New Roman" w:eastAsia="宋体" w:cs="Times New Roman"/>
          <w:color w:val="auto"/>
          <w:highlight w:val="none"/>
        </w:rPr>
      </w:pPr>
    </w:p>
    <w:tbl>
      <w:tblPr>
        <w:tblStyle w:val="6"/>
        <w:tblW w:w="94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570"/>
        <w:gridCol w:w="713"/>
        <w:gridCol w:w="1133"/>
        <w:gridCol w:w="1961"/>
        <w:gridCol w:w="733"/>
        <w:gridCol w:w="3259"/>
      </w:tblGrid>
      <w:tr w14:paraId="76EAF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blHeader/>
        </w:trPr>
        <w:tc>
          <w:tcPr>
            <w:tcW w:w="1095" w:type="dxa"/>
            <w:vMerge w:val="restart"/>
            <w:tcBorders>
              <w:top w:val="single" w:color="auto" w:sz="12" w:space="0"/>
              <w:right w:val="single" w:color="auto" w:sz="2" w:space="0"/>
            </w:tcBorders>
            <w:vAlign w:val="center"/>
          </w:tcPr>
          <w:p w14:paraId="753D36CB">
            <w:pPr>
              <w:jc w:val="center"/>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条款号</w:t>
            </w:r>
          </w:p>
        </w:tc>
        <w:tc>
          <w:tcPr>
            <w:tcW w:w="5110" w:type="dxa"/>
            <w:gridSpan w:val="5"/>
            <w:tcBorders>
              <w:top w:val="single" w:color="auto" w:sz="12" w:space="0"/>
              <w:left w:val="single" w:color="auto" w:sz="2" w:space="0"/>
              <w:bottom w:val="single" w:color="auto" w:sz="2" w:space="0"/>
              <w:right w:val="single" w:color="auto" w:sz="2" w:space="0"/>
            </w:tcBorders>
            <w:vAlign w:val="center"/>
          </w:tcPr>
          <w:p w14:paraId="2BD4B6D1">
            <w:pPr>
              <w:jc w:val="center"/>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评分因素与权重分值</w:t>
            </w:r>
          </w:p>
        </w:tc>
        <w:tc>
          <w:tcPr>
            <w:tcW w:w="3259" w:type="dxa"/>
            <w:vMerge w:val="restart"/>
            <w:tcBorders>
              <w:top w:val="single" w:color="auto" w:sz="12" w:space="0"/>
              <w:left w:val="single" w:color="auto" w:sz="2" w:space="0"/>
            </w:tcBorders>
            <w:vAlign w:val="center"/>
          </w:tcPr>
          <w:p w14:paraId="303003FB">
            <w:pPr>
              <w:jc w:val="center"/>
              <w:rPr>
                <w:rFonts w:ascii="宋体" w:hAnsi="宋体" w:eastAsia="宋体" w:cs="宋体"/>
                <w:bCs/>
                <w:color w:val="auto"/>
                <w:szCs w:val="21"/>
                <w:highlight w:val="none"/>
              </w:rPr>
            </w:pPr>
            <w:r>
              <w:rPr>
                <w:rFonts w:hint="eastAsia" w:ascii="宋体" w:hAnsi="宋体" w:eastAsia="宋体" w:cs="宋体"/>
                <w:b/>
                <w:bCs/>
                <w:color w:val="auto"/>
                <w:highlight w:val="none"/>
                <w:lang w:val="zh-TW" w:eastAsia="zh-TW"/>
              </w:rPr>
              <w:t>评分标准</w:t>
            </w:r>
          </w:p>
        </w:tc>
      </w:tr>
      <w:tr w14:paraId="1BEA3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blHeader/>
        </w:trPr>
        <w:tc>
          <w:tcPr>
            <w:tcW w:w="1095" w:type="dxa"/>
            <w:vMerge w:val="continue"/>
            <w:tcBorders>
              <w:right w:val="single" w:color="auto" w:sz="2" w:space="0"/>
            </w:tcBorders>
            <w:vAlign w:val="center"/>
          </w:tcPr>
          <w:p w14:paraId="26FA0D00">
            <w:pPr>
              <w:jc w:val="center"/>
              <w:rPr>
                <w:rFonts w:ascii="宋体" w:hAnsi="宋体" w:eastAsia="宋体" w:cs="宋体"/>
                <w:b/>
                <w:bCs/>
                <w:color w:val="auto"/>
                <w:highlight w:val="none"/>
                <w:lang w:val="zh-TW" w:eastAsia="zh-TW"/>
              </w:rPr>
            </w:pPr>
          </w:p>
        </w:tc>
        <w:tc>
          <w:tcPr>
            <w:tcW w:w="1283" w:type="dxa"/>
            <w:gridSpan w:val="2"/>
            <w:tcBorders>
              <w:top w:val="single" w:color="auto" w:sz="2" w:space="0"/>
              <w:left w:val="single" w:color="auto" w:sz="2" w:space="0"/>
            </w:tcBorders>
            <w:vAlign w:val="center"/>
          </w:tcPr>
          <w:p w14:paraId="22D848C1">
            <w:pPr>
              <w:jc w:val="center"/>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评分</w:t>
            </w:r>
          </w:p>
          <w:p w14:paraId="4646C871">
            <w:pPr>
              <w:jc w:val="center"/>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因素</w:t>
            </w:r>
          </w:p>
        </w:tc>
        <w:tc>
          <w:tcPr>
            <w:tcW w:w="1133" w:type="dxa"/>
            <w:tcBorders>
              <w:top w:val="single" w:color="auto" w:sz="2" w:space="0"/>
              <w:right w:val="single" w:color="auto" w:sz="2" w:space="0"/>
            </w:tcBorders>
            <w:vAlign w:val="center"/>
          </w:tcPr>
          <w:p w14:paraId="5E74324A">
            <w:pPr>
              <w:jc w:val="center"/>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评分因素</w:t>
            </w:r>
          </w:p>
          <w:p w14:paraId="378A2869">
            <w:pPr>
              <w:jc w:val="center"/>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权重分值</w:t>
            </w:r>
          </w:p>
        </w:tc>
        <w:tc>
          <w:tcPr>
            <w:tcW w:w="1961" w:type="dxa"/>
            <w:tcBorders>
              <w:top w:val="single" w:color="auto" w:sz="2" w:space="0"/>
              <w:left w:val="single" w:color="auto" w:sz="2" w:space="0"/>
              <w:right w:val="single" w:color="auto" w:sz="2" w:space="0"/>
            </w:tcBorders>
            <w:vAlign w:val="center"/>
          </w:tcPr>
          <w:p w14:paraId="2CE511CF">
            <w:pPr>
              <w:jc w:val="center"/>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各评分因素细分项</w:t>
            </w:r>
          </w:p>
        </w:tc>
        <w:tc>
          <w:tcPr>
            <w:tcW w:w="733" w:type="dxa"/>
            <w:tcBorders>
              <w:top w:val="single" w:color="auto" w:sz="2" w:space="0"/>
              <w:left w:val="single" w:color="auto" w:sz="2" w:space="0"/>
              <w:right w:val="single" w:color="auto" w:sz="2" w:space="0"/>
            </w:tcBorders>
            <w:vAlign w:val="center"/>
          </w:tcPr>
          <w:p w14:paraId="5E63DB4F">
            <w:pPr>
              <w:jc w:val="center"/>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分值</w:t>
            </w:r>
          </w:p>
        </w:tc>
        <w:tc>
          <w:tcPr>
            <w:tcW w:w="3259" w:type="dxa"/>
            <w:vMerge w:val="continue"/>
            <w:tcBorders>
              <w:left w:val="single" w:color="auto" w:sz="2" w:space="0"/>
            </w:tcBorders>
            <w:vAlign w:val="center"/>
          </w:tcPr>
          <w:p w14:paraId="234A1CE2">
            <w:pPr>
              <w:jc w:val="center"/>
              <w:rPr>
                <w:rFonts w:ascii="宋体" w:hAnsi="宋体" w:eastAsia="宋体" w:cs="宋体"/>
                <w:bCs/>
                <w:color w:val="auto"/>
                <w:szCs w:val="21"/>
                <w:highlight w:val="none"/>
              </w:rPr>
            </w:pPr>
          </w:p>
        </w:tc>
      </w:tr>
      <w:tr w14:paraId="0BA6D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4" w:hRule="atLeast"/>
        </w:trPr>
        <w:tc>
          <w:tcPr>
            <w:tcW w:w="1095" w:type="dxa"/>
            <w:vMerge w:val="restart"/>
            <w:tcBorders>
              <w:right w:val="single" w:color="auto" w:sz="2" w:space="0"/>
            </w:tcBorders>
            <w:vAlign w:val="center"/>
          </w:tcPr>
          <w:p w14:paraId="5BB09BD6">
            <w:pPr>
              <w:pStyle w:val="10"/>
              <w:rPr>
                <w:rFonts w:eastAsia="宋体"/>
                <w:bCs/>
                <w:color w:val="auto"/>
                <w:sz w:val="21"/>
                <w:szCs w:val="21"/>
                <w:highlight w:val="none"/>
              </w:rPr>
            </w:pPr>
            <w:r>
              <w:rPr>
                <w:rFonts w:hint="eastAsia" w:eastAsia="宋体"/>
                <w:bCs/>
                <w:color w:val="auto"/>
                <w:sz w:val="21"/>
                <w:szCs w:val="21"/>
                <w:highlight w:val="none"/>
              </w:rPr>
              <w:t>2.2.4(1)</w:t>
            </w:r>
          </w:p>
        </w:tc>
        <w:tc>
          <w:tcPr>
            <w:tcW w:w="1283" w:type="dxa"/>
            <w:gridSpan w:val="2"/>
            <w:vMerge w:val="restart"/>
            <w:tcBorders>
              <w:left w:val="single" w:color="auto" w:sz="2" w:space="0"/>
            </w:tcBorders>
            <w:vAlign w:val="center"/>
          </w:tcPr>
          <w:p w14:paraId="4B083070">
            <w:pPr>
              <w:pStyle w:val="10"/>
              <w:ind w:left="34" w:leftChars="16" w:right="-4" w:rightChars="-2"/>
              <w:rPr>
                <w:rFonts w:eastAsia="宋体"/>
                <w:bCs/>
                <w:color w:val="auto"/>
                <w:sz w:val="21"/>
                <w:szCs w:val="21"/>
                <w:highlight w:val="none"/>
              </w:rPr>
            </w:pPr>
            <w:r>
              <w:rPr>
                <w:rFonts w:hint="eastAsia" w:eastAsia="宋体"/>
                <w:bCs/>
                <w:color w:val="auto"/>
                <w:sz w:val="21"/>
                <w:szCs w:val="21"/>
                <w:highlight w:val="none"/>
              </w:rPr>
              <w:t>技术</w:t>
            </w:r>
          </w:p>
          <w:p w14:paraId="1FCAC796">
            <w:pPr>
              <w:pStyle w:val="10"/>
              <w:ind w:left="34" w:leftChars="16" w:right="-4" w:rightChars="-2"/>
              <w:rPr>
                <w:rFonts w:eastAsia="宋体"/>
                <w:bCs/>
                <w:color w:val="auto"/>
                <w:sz w:val="21"/>
                <w:szCs w:val="21"/>
                <w:highlight w:val="none"/>
              </w:rPr>
            </w:pPr>
            <w:r>
              <w:rPr>
                <w:rFonts w:hint="eastAsia" w:eastAsia="宋体"/>
                <w:bCs/>
                <w:color w:val="auto"/>
                <w:sz w:val="21"/>
                <w:szCs w:val="21"/>
                <w:highlight w:val="none"/>
              </w:rPr>
              <w:t>建议书</w:t>
            </w:r>
          </w:p>
        </w:tc>
        <w:tc>
          <w:tcPr>
            <w:tcW w:w="1133" w:type="dxa"/>
            <w:vMerge w:val="restart"/>
            <w:tcBorders>
              <w:right w:val="single" w:color="auto" w:sz="2" w:space="0"/>
            </w:tcBorders>
            <w:vAlign w:val="center"/>
          </w:tcPr>
          <w:p w14:paraId="18223972">
            <w:pPr>
              <w:pStyle w:val="10"/>
              <w:ind w:right="-4" w:rightChars="-2"/>
              <w:rPr>
                <w:rFonts w:eastAsia="宋体"/>
                <w:bCs/>
                <w:color w:val="auto"/>
                <w:sz w:val="21"/>
                <w:szCs w:val="21"/>
                <w:highlight w:val="none"/>
              </w:rPr>
            </w:pPr>
            <w:r>
              <w:rPr>
                <w:rFonts w:eastAsia="宋体"/>
                <w:bCs/>
                <w:color w:val="auto"/>
                <w:sz w:val="21"/>
                <w:szCs w:val="21"/>
                <w:highlight w:val="none"/>
              </w:rPr>
              <w:t>30</w:t>
            </w:r>
            <w:r>
              <w:rPr>
                <w:rFonts w:hint="eastAsia" w:eastAsia="宋体"/>
                <w:bCs/>
                <w:color w:val="auto"/>
                <w:sz w:val="21"/>
                <w:szCs w:val="21"/>
                <w:highlight w:val="none"/>
              </w:rPr>
              <w:t>分</w:t>
            </w:r>
          </w:p>
        </w:tc>
        <w:tc>
          <w:tcPr>
            <w:tcW w:w="1961" w:type="dxa"/>
            <w:tcBorders>
              <w:left w:val="single" w:color="auto" w:sz="2" w:space="0"/>
              <w:right w:val="single" w:color="auto" w:sz="2" w:space="0"/>
            </w:tcBorders>
            <w:vAlign w:val="center"/>
          </w:tcPr>
          <w:p w14:paraId="72876041">
            <w:pPr>
              <w:pStyle w:val="11"/>
              <w:spacing w:before="0" w:beforeAutospacing="0" w:after="0" w:afterAutospacing="0"/>
              <w:ind w:left="34" w:right="-4"/>
              <w:jc w:val="center"/>
              <w:rPr>
                <w:color w:val="auto"/>
                <w:sz w:val="21"/>
                <w:szCs w:val="21"/>
                <w:highlight w:val="none"/>
              </w:rPr>
            </w:pPr>
            <w:r>
              <w:rPr>
                <w:rFonts w:hint="eastAsia"/>
                <w:color w:val="auto"/>
                <w:sz w:val="21"/>
                <w:szCs w:val="21"/>
                <w:highlight w:val="none"/>
              </w:rPr>
              <w:t>监理大纲（或监理方案）和措施</w:t>
            </w:r>
          </w:p>
        </w:tc>
        <w:tc>
          <w:tcPr>
            <w:tcW w:w="733" w:type="dxa"/>
            <w:tcBorders>
              <w:left w:val="single" w:color="auto" w:sz="2" w:space="0"/>
              <w:right w:val="single" w:color="auto" w:sz="2" w:space="0"/>
            </w:tcBorders>
            <w:vAlign w:val="center"/>
          </w:tcPr>
          <w:p w14:paraId="68BBE47A">
            <w:pPr>
              <w:jc w:val="center"/>
              <w:rPr>
                <w:rFonts w:ascii="宋体" w:hAnsi="宋体" w:eastAsia="宋体"/>
                <w:color w:val="auto"/>
                <w:sz w:val="24"/>
                <w:szCs w:val="24"/>
                <w:highlight w:val="none"/>
              </w:rPr>
            </w:pPr>
            <w:r>
              <w:rPr>
                <w:rFonts w:hint="eastAsia" w:ascii="宋体" w:hAnsi="宋体" w:eastAsia="宋体"/>
                <w:color w:val="auto"/>
                <w:szCs w:val="21"/>
                <w:highlight w:val="none"/>
              </w:rPr>
              <w:t>10分</w:t>
            </w:r>
          </w:p>
        </w:tc>
        <w:tc>
          <w:tcPr>
            <w:tcW w:w="3259" w:type="dxa"/>
            <w:tcBorders>
              <w:left w:val="single" w:color="auto" w:sz="2" w:space="0"/>
            </w:tcBorders>
            <w:vAlign w:val="center"/>
          </w:tcPr>
          <w:p w14:paraId="79FF2795">
            <w:pPr>
              <w:rPr>
                <w:rFonts w:ascii="宋体" w:hAnsi="宋体" w:eastAsia="宋体"/>
                <w:color w:val="auto"/>
                <w:highlight w:val="none"/>
              </w:rPr>
            </w:pPr>
            <w:r>
              <w:rPr>
                <w:rFonts w:hint="eastAsia" w:ascii="宋体" w:hAnsi="宋体" w:eastAsia="宋体"/>
                <w:color w:val="auto"/>
                <w:szCs w:val="21"/>
                <w:highlight w:val="none"/>
              </w:rPr>
              <w:t>①内容、措施、可操作性一般的6～7.3分；</w:t>
            </w:r>
          </w:p>
          <w:p w14:paraId="2FC557B2">
            <w:pPr>
              <w:rPr>
                <w:rFonts w:ascii="宋体" w:hAnsi="宋体" w:eastAsia="宋体"/>
                <w:color w:val="auto"/>
                <w:highlight w:val="none"/>
              </w:rPr>
            </w:pPr>
            <w:r>
              <w:rPr>
                <w:rFonts w:hint="eastAsia" w:ascii="宋体" w:hAnsi="宋体" w:eastAsia="宋体"/>
                <w:color w:val="auto"/>
                <w:szCs w:val="21"/>
                <w:highlight w:val="none"/>
              </w:rPr>
              <w:t>②内容较完整、措施较全面、可操作性较强7.3～8.6分；</w:t>
            </w:r>
          </w:p>
          <w:p w14:paraId="68F2F5C4">
            <w:pPr>
              <w:rPr>
                <w:rFonts w:ascii="宋体" w:hAnsi="宋体" w:eastAsia="宋体"/>
                <w:color w:val="auto"/>
                <w:highlight w:val="none"/>
              </w:rPr>
            </w:pPr>
            <w:r>
              <w:rPr>
                <w:rFonts w:hint="eastAsia" w:ascii="宋体" w:hAnsi="宋体" w:eastAsia="宋体"/>
                <w:color w:val="auto"/>
                <w:szCs w:val="21"/>
                <w:highlight w:val="none"/>
              </w:rPr>
              <w:t>③内容完整、措施全面、可操作性强8.6～10分。</w:t>
            </w:r>
          </w:p>
        </w:tc>
      </w:tr>
      <w:tr w14:paraId="5B281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095" w:type="dxa"/>
            <w:vMerge w:val="continue"/>
            <w:tcBorders>
              <w:right w:val="single" w:color="auto" w:sz="2" w:space="0"/>
            </w:tcBorders>
            <w:vAlign w:val="center"/>
          </w:tcPr>
          <w:p w14:paraId="42A7A6C2">
            <w:pPr>
              <w:pStyle w:val="10"/>
              <w:rPr>
                <w:rFonts w:eastAsia="宋体"/>
                <w:bCs/>
                <w:color w:val="auto"/>
                <w:sz w:val="21"/>
                <w:szCs w:val="21"/>
                <w:highlight w:val="none"/>
              </w:rPr>
            </w:pPr>
          </w:p>
        </w:tc>
        <w:tc>
          <w:tcPr>
            <w:tcW w:w="1283" w:type="dxa"/>
            <w:gridSpan w:val="2"/>
            <w:vMerge w:val="continue"/>
            <w:tcBorders>
              <w:left w:val="single" w:color="auto" w:sz="2" w:space="0"/>
            </w:tcBorders>
            <w:vAlign w:val="center"/>
          </w:tcPr>
          <w:p w14:paraId="241D795B">
            <w:pPr>
              <w:pStyle w:val="10"/>
              <w:ind w:left="206" w:right="201"/>
              <w:rPr>
                <w:rFonts w:eastAsia="宋体"/>
                <w:bCs/>
                <w:color w:val="auto"/>
                <w:sz w:val="21"/>
                <w:szCs w:val="21"/>
                <w:highlight w:val="none"/>
              </w:rPr>
            </w:pPr>
          </w:p>
        </w:tc>
        <w:tc>
          <w:tcPr>
            <w:tcW w:w="1133" w:type="dxa"/>
            <w:vMerge w:val="continue"/>
            <w:tcBorders>
              <w:right w:val="single" w:color="auto" w:sz="2" w:space="0"/>
            </w:tcBorders>
            <w:vAlign w:val="center"/>
          </w:tcPr>
          <w:p w14:paraId="69B5DFCF">
            <w:pPr>
              <w:pStyle w:val="10"/>
              <w:ind w:left="34" w:leftChars="16" w:right="-4" w:rightChars="-2" w:firstLine="423"/>
              <w:rPr>
                <w:rFonts w:eastAsia="宋体"/>
                <w:bCs/>
                <w:color w:val="auto"/>
                <w:sz w:val="21"/>
                <w:szCs w:val="21"/>
                <w:highlight w:val="none"/>
              </w:rPr>
            </w:pPr>
          </w:p>
        </w:tc>
        <w:tc>
          <w:tcPr>
            <w:tcW w:w="1961" w:type="dxa"/>
            <w:tcBorders>
              <w:left w:val="single" w:color="auto" w:sz="2" w:space="0"/>
              <w:right w:val="single" w:color="auto" w:sz="2" w:space="0"/>
            </w:tcBorders>
            <w:vAlign w:val="center"/>
          </w:tcPr>
          <w:p w14:paraId="16807851">
            <w:pPr>
              <w:pStyle w:val="11"/>
              <w:spacing w:before="0" w:beforeAutospacing="0" w:after="0" w:afterAutospacing="0"/>
              <w:ind w:left="34" w:right="-4"/>
              <w:jc w:val="center"/>
              <w:rPr>
                <w:color w:val="auto"/>
                <w:sz w:val="21"/>
                <w:szCs w:val="21"/>
                <w:highlight w:val="none"/>
              </w:rPr>
            </w:pPr>
            <w:r>
              <w:rPr>
                <w:rFonts w:hint="eastAsia"/>
                <w:color w:val="auto"/>
                <w:sz w:val="21"/>
                <w:szCs w:val="21"/>
                <w:highlight w:val="none"/>
              </w:rPr>
              <w:t>本工程监理工作的重点与难点分析</w:t>
            </w:r>
          </w:p>
        </w:tc>
        <w:tc>
          <w:tcPr>
            <w:tcW w:w="733" w:type="dxa"/>
            <w:tcBorders>
              <w:left w:val="single" w:color="auto" w:sz="2" w:space="0"/>
              <w:right w:val="single" w:color="auto" w:sz="2" w:space="0"/>
            </w:tcBorders>
            <w:vAlign w:val="center"/>
          </w:tcPr>
          <w:p w14:paraId="6A1AA669">
            <w:pPr>
              <w:jc w:val="center"/>
              <w:rPr>
                <w:rFonts w:ascii="宋体" w:hAnsi="宋体" w:eastAsia="宋体"/>
                <w:color w:val="auto"/>
                <w:sz w:val="24"/>
                <w:szCs w:val="24"/>
                <w:highlight w:val="none"/>
              </w:rPr>
            </w:pPr>
            <w:r>
              <w:rPr>
                <w:rFonts w:hint="eastAsia" w:ascii="宋体" w:hAnsi="宋体" w:eastAsia="宋体"/>
                <w:color w:val="auto"/>
                <w:szCs w:val="21"/>
                <w:highlight w:val="none"/>
              </w:rPr>
              <w:t>10分</w:t>
            </w:r>
          </w:p>
        </w:tc>
        <w:tc>
          <w:tcPr>
            <w:tcW w:w="3259" w:type="dxa"/>
            <w:tcBorders>
              <w:left w:val="single" w:color="auto" w:sz="2" w:space="0"/>
            </w:tcBorders>
            <w:vAlign w:val="center"/>
          </w:tcPr>
          <w:p w14:paraId="27EF5866">
            <w:pPr>
              <w:rPr>
                <w:rFonts w:ascii="宋体" w:hAnsi="宋体" w:eastAsia="宋体"/>
                <w:color w:val="auto"/>
                <w:highlight w:val="none"/>
              </w:rPr>
            </w:pPr>
            <w:r>
              <w:rPr>
                <w:rFonts w:hint="eastAsia" w:ascii="宋体" w:hAnsi="宋体" w:eastAsia="宋体"/>
                <w:color w:val="auto"/>
                <w:szCs w:val="21"/>
                <w:highlight w:val="none"/>
              </w:rPr>
              <w:t>①对本工程重点难点分析一般，针对性一般的6～7.3分；</w:t>
            </w:r>
          </w:p>
          <w:p w14:paraId="0ED72087">
            <w:pPr>
              <w:rPr>
                <w:rFonts w:ascii="宋体" w:hAnsi="宋体" w:eastAsia="宋体"/>
                <w:color w:val="auto"/>
                <w:highlight w:val="none"/>
              </w:rPr>
            </w:pPr>
            <w:r>
              <w:rPr>
                <w:rFonts w:hint="eastAsia" w:ascii="宋体" w:hAnsi="宋体" w:eastAsia="宋体"/>
                <w:color w:val="auto"/>
                <w:szCs w:val="21"/>
                <w:highlight w:val="none"/>
              </w:rPr>
              <w:t>②对本工程重点难点分析较透彻，针对性较强7.3～8.6分；</w:t>
            </w:r>
          </w:p>
          <w:p w14:paraId="0AE6BBBB">
            <w:pPr>
              <w:rPr>
                <w:rFonts w:ascii="宋体" w:hAnsi="宋体" w:eastAsia="宋体"/>
                <w:color w:val="auto"/>
                <w:highlight w:val="none"/>
              </w:rPr>
            </w:pPr>
            <w:r>
              <w:rPr>
                <w:rFonts w:hint="eastAsia" w:ascii="宋体" w:hAnsi="宋体" w:eastAsia="宋体"/>
                <w:color w:val="auto"/>
                <w:szCs w:val="21"/>
                <w:highlight w:val="none"/>
              </w:rPr>
              <w:t>③对本工程重点难点分析透彻，针对性强8.6～10分。</w:t>
            </w:r>
          </w:p>
        </w:tc>
      </w:tr>
      <w:tr w14:paraId="0C446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095" w:type="dxa"/>
            <w:vMerge w:val="continue"/>
            <w:tcBorders>
              <w:right w:val="single" w:color="auto" w:sz="2" w:space="0"/>
            </w:tcBorders>
            <w:vAlign w:val="center"/>
          </w:tcPr>
          <w:p w14:paraId="20A644D4">
            <w:pPr>
              <w:pStyle w:val="10"/>
              <w:rPr>
                <w:rFonts w:eastAsia="宋体"/>
                <w:bCs/>
                <w:color w:val="auto"/>
                <w:sz w:val="21"/>
                <w:szCs w:val="21"/>
                <w:highlight w:val="none"/>
              </w:rPr>
            </w:pPr>
          </w:p>
        </w:tc>
        <w:tc>
          <w:tcPr>
            <w:tcW w:w="1283" w:type="dxa"/>
            <w:gridSpan w:val="2"/>
            <w:vMerge w:val="continue"/>
            <w:tcBorders>
              <w:left w:val="single" w:color="auto" w:sz="2" w:space="0"/>
            </w:tcBorders>
            <w:vAlign w:val="center"/>
          </w:tcPr>
          <w:p w14:paraId="1A9B9B29">
            <w:pPr>
              <w:pStyle w:val="10"/>
              <w:ind w:left="206" w:right="201"/>
              <w:rPr>
                <w:rFonts w:eastAsia="宋体"/>
                <w:bCs/>
                <w:color w:val="auto"/>
                <w:sz w:val="21"/>
                <w:szCs w:val="21"/>
                <w:highlight w:val="none"/>
              </w:rPr>
            </w:pPr>
          </w:p>
        </w:tc>
        <w:tc>
          <w:tcPr>
            <w:tcW w:w="1133" w:type="dxa"/>
            <w:vMerge w:val="continue"/>
            <w:tcBorders>
              <w:right w:val="single" w:color="auto" w:sz="2" w:space="0"/>
            </w:tcBorders>
            <w:vAlign w:val="center"/>
          </w:tcPr>
          <w:p w14:paraId="0CCD8474">
            <w:pPr>
              <w:pStyle w:val="10"/>
              <w:ind w:left="34" w:leftChars="16" w:right="-4" w:rightChars="-2" w:firstLine="423"/>
              <w:rPr>
                <w:rFonts w:eastAsia="宋体"/>
                <w:bCs/>
                <w:color w:val="auto"/>
                <w:sz w:val="21"/>
                <w:szCs w:val="21"/>
                <w:highlight w:val="none"/>
              </w:rPr>
            </w:pPr>
          </w:p>
        </w:tc>
        <w:tc>
          <w:tcPr>
            <w:tcW w:w="1961" w:type="dxa"/>
            <w:tcBorders>
              <w:left w:val="single" w:color="auto" w:sz="2" w:space="0"/>
              <w:right w:val="single" w:color="auto" w:sz="2" w:space="0"/>
            </w:tcBorders>
            <w:vAlign w:val="center"/>
          </w:tcPr>
          <w:p w14:paraId="092CA623">
            <w:pPr>
              <w:pStyle w:val="11"/>
              <w:spacing w:before="0" w:beforeAutospacing="0" w:after="0" w:afterAutospacing="0"/>
              <w:ind w:right="-4"/>
              <w:jc w:val="center"/>
              <w:rPr>
                <w:color w:val="auto"/>
                <w:sz w:val="21"/>
                <w:szCs w:val="21"/>
                <w:highlight w:val="none"/>
              </w:rPr>
            </w:pPr>
            <w:r>
              <w:rPr>
                <w:rFonts w:hint="eastAsia"/>
                <w:color w:val="auto"/>
                <w:sz w:val="21"/>
                <w:szCs w:val="21"/>
                <w:highlight w:val="none"/>
              </w:rPr>
              <w:t>对本工程的建议</w:t>
            </w:r>
          </w:p>
        </w:tc>
        <w:tc>
          <w:tcPr>
            <w:tcW w:w="733" w:type="dxa"/>
            <w:tcBorders>
              <w:left w:val="single" w:color="auto" w:sz="2" w:space="0"/>
              <w:right w:val="single" w:color="auto" w:sz="2" w:space="0"/>
            </w:tcBorders>
            <w:vAlign w:val="center"/>
          </w:tcPr>
          <w:p w14:paraId="4D8DED65">
            <w:pPr>
              <w:jc w:val="center"/>
              <w:rPr>
                <w:rFonts w:ascii="宋体" w:hAnsi="宋体" w:eastAsia="宋体"/>
                <w:color w:val="auto"/>
                <w:sz w:val="24"/>
                <w:szCs w:val="24"/>
                <w:highlight w:val="none"/>
              </w:rPr>
            </w:pPr>
            <w:r>
              <w:rPr>
                <w:rFonts w:hint="eastAsia" w:ascii="宋体" w:hAnsi="宋体" w:eastAsia="宋体"/>
                <w:color w:val="auto"/>
                <w:szCs w:val="21"/>
                <w:highlight w:val="none"/>
              </w:rPr>
              <w:t>10分</w:t>
            </w:r>
          </w:p>
        </w:tc>
        <w:tc>
          <w:tcPr>
            <w:tcW w:w="3259" w:type="dxa"/>
            <w:tcBorders>
              <w:left w:val="single" w:color="auto" w:sz="2" w:space="0"/>
            </w:tcBorders>
            <w:vAlign w:val="center"/>
          </w:tcPr>
          <w:p w14:paraId="13AE0E5C">
            <w:pPr>
              <w:rPr>
                <w:rFonts w:ascii="宋体" w:hAnsi="宋体" w:eastAsia="宋体"/>
                <w:color w:val="auto"/>
                <w:highlight w:val="none"/>
              </w:rPr>
            </w:pPr>
            <w:r>
              <w:rPr>
                <w:rFonts w:hint="eastAsia" w:ascii="宋体" w:hAnsi="宋体" w:eastAsia="宋体"/>
                <w:color w:val="auto"/>
                <w:szCs w:val="21"/>
                <w:highlight w:val="none"/>
              </w:rPr>
              <w:t>①针对性一般、可操作性一般的6～7.3分；</w:t>
            </w:r>
          </w:p>
          <w:p w14:paraId="496A6E43">
            <w:pPr>
              <w:rPr>
                <w:rFonts w:ascii="宋体" w:hAnsi="宋体" w:eastAsia="宋体"/>
                <w:color w:val="auto"/>
                <w:highlight w:val="none"/>
              </w:rPr>
            </w:pPr>
            <w:r>
              <w:rPr>
                <w:rFonts w:hint="eastAsia" w:ascii="宋体" w:hAnsi="宋体" w:eastAsia="宋体"/>
                <w:color w:val="auto"/>
                <w:szCs w:val="21"/>
                <w:highlight w:val="none"/>
              </w:rPr>
              <w:t>②针对性较强、可操作性较强7.3～8.6分；</w:t>
            </w:r>
          </w:p>
          <w:p w14:paraId="0171136D">
            <w:pPr>
              <w:rPr>
                <w:rFonts w:ascii="宋体" w:hAnsi="宋体" w:eastAsia="宋体"/>
                <w:color w:val="auto"/>
                <w:highlight w:val="none"/>
              </w:rPr>
            </w:pPr>
            <w:r>
              <w:rPr>
                <w:rFonts w:hint="eastAsia" w:ascii="宋体" w:hAnsi="宋体" w:eastAsia="宋体"/>
                <w:color w:val="auto"/>
                <w:szCs w:val="21"/>
                <w:highlight w:val="none"/>
              </w:rPr>
              <w:t>③针对性强、可操作性强8.6～10分。</w:t>
            </w:r>
          </w:p>
        </w:tc>
      </w:tr>
      <w:tr w14:paraId="195FF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95" w:type="dxa"/>
            <w:tcBorders>
              <w:right w:val="single" w:color="auto" w:sz="4" w:space="0"/>
            </w:tcBorders>
            <w:vAlign w:val="center"/>
          </w:tcPr>
          <w:p w14:paraId="6E235CDD">
            <w:pPr>
              <w:pStyle w:val="10"/>
              <w:ind w:left="34" w:leftChars="16" w:right="-4" w:rightChars="-2"/>
              <w:rPr>
                <w:rFonts w:eastAsia="宋体"/>
                <w:bCs/>
                <w:color w:val="auto"/>
                <w:sz w:val="21"/>
                <w:szCs w:val="21"/>
                <w:highlight w:val="none"/>
              </w:rPr>
            </w:pPr>
            <w:r>
              <w:rPr>
                <w:rFonts w:hint="eastAsia" w:eastAsia="宋体"/>
                <w:bCs/>
                <w:color w:val="auto"/>
                <w:sz w:val="21"/>
                <w:szCs w:val="21"/>
                <w:highlight w:val="none"/>
              </w:rPr>
              <w:t>2.2.4(2)</w:t>
            </w:r>
          </w:p>
        </w:tc>
        <w:tc>
          <w:tcPr>
            <w:tcW w:w="1283" w:type="dxa"/>
            <w:gridSpan w:val="2"/>
            <w:tcBorders>
              <w:left w:val="single" w:color="auto" w:sz="4" w:space="0"/>
            </w:tcBorders>
            <w:vAlign w:val="center"/>
          </w:tcPr>
          <w:p w14:paraId="189874B5">
            <w:pPr>
              <w:pStyle w:val="10"/>
              <w:ind w:left="34" w:leftChars="16" w:right="-4" w:rightChars="-2"/>
              <w:rPr>
                <w:rFonts w:eastAsia="宋体"/>
                <w:bCs/>
                <w:color w:val="auto"/>
                <w:sz w:val="21"/>
                <w:szCs w:val="21"/>
                <w:highlight w:val="none"/>
              </w:rPr>
            </w:pPr>
            <w:r>
              <w:rPr>
                <w:rFonts w:hint="eastAsia" w:eastAsia="宋体"/>
                <w:bCs/>
                <w:color w:val="auto"/>
                <w:sz w:val="21"/>
                <w:szCs w:val="21"/>
                <w:highlight w:val="none"/>
              </w:rPr>
              <w:t>主要人员</w:t>
            </w:r>
          </w:p>
        </w:tc>
        <w:tc>
          <w:tcPr>
            <w:tcW w:w="1133" w:type="dxa"/>
            <w:tcBorders>
              <w:right w:val="single" w:color="auto" w:sz="2" w:space="0"/>
            </w:tcBorders>
            <w:vAlign w:val="center"/>
          </w:tcPr>
          <w:p w14:paraId="67B1C94F">
            <w:pPr>
              <w:pStyle w:val="10"/>
              <w:ind w:right="-4" w:rightChars="-2"/>
              <w:rPr>
                <w:rFonts w:eastAsia="宋体"/>
                <w:bCs/>
                <w:color w:val="auto"/>
                <w:sz w:val="21"/>
                <w:szCs w:val="21"/>
                <w:highlight w:val="none"/>
              </w:rPr>
            </w:pPr>
            <w:r>
              <w:rPr>
                <w:rFonts w:eastAsia="宋体"/>
                <w:bCs/>
                <w:color w:val="auto"/>
                <w:sz w:val="21"/>
                <w:szCs w:val="21"/>
                <w:highlight w:val="none"/>
              </w:rPr>
              <w:t>30</w:t>
            </w:r>
            <w:r>
              <w:rPr>
                <w:rFonts w:hint="eastAsia" w:eastAsia="宋体"/>
                <w:bCs/>
                <w:color w:val="auto"/>
                <w:sz w:val="21"/>
                <w:szCs w:val="21"/>
                <w:highlight w:val="none"/>
              </w:rPr>
              <w:t>分</w:t>
            </w:r>
          </w:p>
        </w:tc>
        <w:tc>
          <w:tcPr>
            <w:tcW w:w="1961" w:type="dxa"/>
            <w:tcBorders>
              <w:left w:val="single" w:color="auto" w:sz="2" w:space="0"/>
              <w:right w:val="single" w:color="auto" w:sz="2" w:space="0"/>
            </w:tcBorders>
            <w:vAlign w:val="center"/>
          </w:tcPr>
          <w:p w14:paraId="223BE9EC">
            <w:pPr>
              <w:pStyle w:val="10"/>
              <w:ind w:left="34" w:leftChars="16" w:right="-4" w:rightChars="-2"/>
              <w:rPr>
                <w:rFonts w:eastAsia="宋体"/>
                <w:bCs/>
                <w:color w:val="auto"/>
                <w:sz w:val="21"/>
                <w:szCs w:val="21"/>
                <w:highlight w:val="none"/>
              </w:rPr>
            </w:pPr>
            <w:r>
              <w:rPr>
                <w:rFonts w:hint="eastAsia" w:eastAsia="宋体"/>
                <w:bCs/>
                <w:color w:val="auto"/>
                <w:sz w:val="21"/>
                <w:szCs w:val="21"/>
                <w:highlight w:val="none"/>
              </w:rPr>
              <w:t>总监理工程师</w:t>
            </w:r>
          </w:p>
          <w:p w14:paraId="7BFBBF2A">
            <w:pPr>
              <w:pStyle w:val="10"/>
              <w:ind w:left="34" w:leftChars="16" w:right="-4" w:rightChars="-2"/>
              <w:rPr>
                <w:rFonts w:eastAsia="宋体"/>
                <w:bCs/>
                <w:color w:val="auto"/>
                <w:sz w:val="21"/>
                <w:szCs w:val="21"/>
                <w:highlight w:val="none"/>
              </w:rPr>
            </w:pPr>
            <w:r>
              <w:rPr>
                <w:rFonts w:hint="eastAsia" w:eastAsia="宋体"/>
                <w:bCs/>
                <w:color w:val="auto"/>
                <w:sz w:val="21"/>
                <w:szCs w:val="21"/>
                <w:highlight w:val="none"/>
              </w:rPr>
              <w:t>任职资格与业绩</w:t>
            </w:r>
          </w:p>
        </w:tc>
        <w:tc>
          <w:tcPr>
            <w:tcW w:w="733" w:type="dxa"/>
            <w:tcBorders>
              <w:left w:val="single" w:color="auto" w:sz="2" w:space="0"/>
              <w:right w:val="single" w:color="auto" w:sz="2" w:space="0"/>
            </w:tcBorders>
            <w:vAlign w:val="center"/>
          </w:tcPr>
          <w:p w14:paraId="37C20875">
            <w:pPr>
              <w:pStyle w:val="10"/>
              <w:ind w:left="34" w:leftChars="16" w:right="-4" w:rightChars="-2"/>
              <w:rPr>
                <w:rFonts w:eastAsia="宋体"/>
                <w:bCs/>
                <w:color w:val="auto"/>
                <w:sz w:val="21"/>
                <w:szCs w:val="21"/>
                <w:highlight w:val="none"/>
              </w:rPr>
            </w:pPr>
            <w:r>
              <w:rPr>
                <w:rFonts w:eastAsia="宋体"/>
                <w:bCs/>
                <w:color w:val="auto"/>
                <w:sz w:val="21"/>
                <w:szCs w:val="21"/>
                <w:highlight w:val="none"/>
              </w:rPr>
              <w:t>30</w:t>
            </w:r>
            <w:r>
              <w:rPr>
                <w:rFonts w:hint="eastAsia" w:eastAsia="宋体"/>
                <w:bCs/>
                <w:color w:val="auto"/>
                <w:sz w:val="21"/>
                <w:szCs w:val="21"/>
                <w:highlight w:val="none"/>
              </w:rPr>
              <w:t>分</w:t>
            </w:r>
          </w:p>
        </w:tc>
        <w:tc>
          <w:tcPr>
            <w:tcW w:w="3259" w:type="dxa"/>
            <w:tcBorders>
              <w:left w:val="single" w:color="auto" w:sz="2" w:space="0"/>
            </w:tcBorders>
            <w:vAlign w:val="center"/>
          </w:tcPr>
          <w:p w14:paraId="06A1B82D">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①满足资格审查条件得</w:t>
            </w:r>
            <w:r>
              <w:rPr>
                <w:rFonts w:ascii="宋体" w:hAnsi="宋体" w:eastAsia="宋体" w:cs="宋体"/>
                <w:bCs/>
                <w:color w:val="auto"/>
                <w:szCs w:val="21"/>
                <w:highlight w:val="none"/>
              </w:rPr>
              <w:t>18分；</w:t>
            </w:r>
          </w:p>
          <w:p w14:paraId="0816BD0B">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②每提供</w:t>
            </w:r>
            <w:r>
              <w:rPr>
                <w:rFonts w:ascii="宋体" w:hAnsi="宋体" w:eastAsia="宋体" w:cs="宋体"/>
                <w:bCs/>
                <w:color w:val="auto"/>
                <w:szCs w:val="21"/>
                <w:highlight w:val="none"/>
              </w:rPr>
              <w:t>1个其担任类似项目的总监理工程师或驻地监理工程师（驻地办主任）业绩（以标段计）证明材料的，加</w:t>
            </w:r>
            <w:r>
              <w:rPr>
                <w:rFonts w:hint="eastAsia" w:ascii="宋体" w:hAnsi="宋体" w:eastAsia="宋体" w:cs="宋体"/>
                <w:bCs/>
                <w:color w:val="auto"/>
                <w:szCs w:val="21"/>
                <w:highlight w:val="none"/>
                <w:lang w:val="en-US" w:eastAsia="zh-CN"/>
              </w:rPr>
              <w:t>6</w:t>
            </w:r>
            <w:r>
              <w:rPr>
                <w:rFonts w:ascii="宋体" w:hAnsi="宋体" w:eastAsia="宋体" w:cs="宋体"/>
                <w:bCs/>
                <w:color w:val="auto"/>
                <w:szCs w:val="21"/>
                <w:highlight w:val="none"/>
              </w:rPr>
              <w:t>分，最多加12分。</w:t>
            </w:r>
          </w:p>
          <w:p w14:paraId="1EEF2EA2">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注：类似项目指二级及</w:t>
            </w:r>
            <w:r>
              <w:rPr>
                <w:rFonts w:ascii="宋体" w:hAnsi="宋体" w:eastAsia="宋体" w:cs="宋体"/>
                <w:bCs/>
                <w:color w:val="auto"/>
                <w:szCs w:val="21"/>
                <w:highlight w:val="none"/>
              </w:rPr>
              <w:t>以上</w:t>
            </w:r>
            <w:r>
              <w:rPr>
                <w:rFonts w:hint="eastAsia" w:ascii="宋体" w:hAnsi="宋体" w:eastAsia="宋体" w:cs="宋体"/>
                <w:bCs/>
                <w:color w:val="auto"/>
                <w:szCs w:val="21"/>
                <w:highlight w:val="none"/>
              </w:rPr>
              <w:t>公路新建或改扩建主体工程施工监理项目（不含养护工程项目）。</w:t>
            </w:r>
          </w:p>
        </w:tc>
      </w:tr>
      <w:tr w14:paraId="60ED2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095" w:type="dxa"/>
            <w:tcBorders>
              <w:bottom w:val="single" w:color="auto" w:sz="6" w:space="0"/>
              <w:right w:val="single" w:color="auto" w:sz="4" w:space="0"/>
            </w:tcBorders>
            <w:vAlign w:val="center"/>
          </w:tcPr>
          <w:p w14:paraId="5FE8C745">
            <w:pPr>
              <w:pStyle w:val="10"/>
              <w:ind w:left="34" w:leftChars="16" w:right="-4" w:rightChars="-2"/>
              <w:rPr>
                <w:rFonts w:eastAsia="宋体"/>
                <w:bCs/>
                <w:color w:val="auto"/>
                <w:sz w:val="21"/>
                <w:szCs w:val="21"/>
                <w:highlight w:val="none"/>
              </w:rPr>
            </w:pPr>
            <w:r>
              <w:rPr>
                <w:rFonts w:hint="eastAsia" w:eastAsia="宋体"/>
                <w:bCs/>
                <w:color w:val="auto"/>
                <w:sz w:val="21"/>
                <w:szCs w:val="21"/>
                <w:highlight w:val="none"/>
              </w:rPr>
              <w:t>2.2.4(3)</w:t>
            </w:r>
          </w:p>
        </w:tc>
        <w:tc>
          <w:tcPr>
            <w:tcW w:w="1283" w:type="dxa"/>
            <w:gridSpan w:val="2"/>
            <w:tcBorders>
              <w:left w:val="single" w:color="auto" w:sz="4" w:space="0"/>
              <w:bottom w:val="single" w:color="auto" w:sz="6" w:space="0"/>
            </w:tcBorders>
            <w:vAlign w:val="center"/>
          </w:tcPr>
          <w:p w14:paraId="32052DB3">
            <w:pPr>
              <w:pStyle w:val="10"/>
              <w:ind w:right="-4" w:rightChars="-2"/>
              <w:rPr>
                <w:rFonts w:eastAsia="宋体"/>
                <w:bCs/>
                <w:color w:val="auto"/>
                <w:sz w:val="21"/>
                <w:szCs w:val="21"/>
                <w:highlight w:val="none"/>
              </w:rPr>
            </w:pPr>
            <w:r>
              <w:rPr>
                <w:rFonts w:hint="eastAsia" w:eastAsia="宋体"/>
                <w:bCs/>
                <w:color w:val="auto"/>
                <w:sz w:val="21"/>
                <w:szCs w:val="21"/>
                <w:highlight w:val="none"/>
              </w:rPr>
              <w:t>评标价</w:t>
            </w:r>
          </w:p>
        </w:tc>
        <w:tc>
          <w:tcPr>
            <w:tcW w:w="1133" w:type="dxa"/>
            <w:tcBorders>
              <w:bottom w:val="single" w:color="auto" w:sz="6" w:space="0"/>
              <w:right w:val="single" w:color="auto" w:sz="2" w:space="0"/>
            </w:tcBorders>
            <w:vAlign w:val="center"/>
          </w:tcPr>
          <w:p w14:paraId="6DAF45F9">
            <w:pPr>
              <w:pStyle w:val="10"/>
              <w:ind w:right="-4" w:rightChars="-2"/>
              <w:rPr>
                <w:rFonts w:eastAsia="宋体"/>
                <w:bCs/>
                <w:color w:val="auto"/>
                <w:sz w:val="21"/>
                <w:szCs w:val="21"/>
                <w:highlight w:val="none"/>
              </w:rPr>
            </w:pPr>
            <w:r>
              <w:rPr>
                <w:rFonts w:hint="eastAsia" w:eastAsia="宋体"/>
                <w:bCs/>
                <w:color w:val="auto"/>
                <w:sz w:val="21"/>
                <w:szCs w:val="21"/>
                <w:highlight w:val="none"/>
              </w:rPr>
              <w:t>10分</w:t>
            </w:r>
          </w:p>
        </w:tc>
        <w:tc>
          <w:tcPr>
            <w:tcW w:w="5953" w:type="dxa"/>
            <w:gridSpan w:val="3"/>
            <w:tcBorders>
              <w:left w:val="single" w:color="auto" w:sz="2" w:space="0"/>
              <w:bottom w:val="single" w:color="auto" w:sz="6" w:space="0"/>
            </w:tcBorders>
            <w:vAlign w:val="center"/>
          </w:tcPr>
          <w:p w14:paraId="2B70C352">
            <w:pPr>
              <w:pStyle w:val="10"/>
              <w:spacing w:line="360" w:lineRule="auto"/>
              <w:ind w:firstLine="422" w:firstLineChars="201"/>
              <w:jc w:val="left"/>
              <w:rPr>
                <w:rFonts w:eastAsia="宋体"/>
                <w:bCs/>
                <w:color w:val="auto"/>
                <w:sz w:val="21"/>
                <w:szCs w:val="21"/>
                <w:highlight w:val="none"/>
              </w:rPr>
            </w:pPr>
            <w:r>
              <w:rPr>
                <w:rFonts w:hint="eastAsia" w:eastAsia="宋体"/>
                <w:bCs/>
                <w:color w:val="auto"/>
                <w:sz w:val="21"/>
                <w:szCs w:val="21"/>
                <w:highlight w:val="none"/>
              </w:rPr>
              <w:t>评标价得分计算公式示例：</w:t>
            </w:r>
          </w:p>
          <w:p w14:paraId="7F5F43CA">
            <w:pPr>
              <w:pStyle w:val="10"/>
              <w:spacing w:line="360" w:lineRule="auto"/>
              <w:ind w:firstLine="422" w:firstLineChars="201"/>
              <w:jc w:val="left"/>
              <w:rPr>
                <w:rFonts w:eastAsia="宋体"/>
                <w:bCs/>
                <w:color w:val="auto"/>
                <w:sz w:val="21"/>
                <w:szCs w:val="21"/>
                <w:highlight w:val="none"/>
              </w:rPr>
            </w:pPr>
            <w:r>
              <w:rPr>
                <w:rFonts w:hint="eastAsia" w:eastAsia="宋体"/>
                <w:bCs/>
                <w:color w:val="auto"/>
                <w:sz w:val="21"/>
                <w:szCs w:val="21"/>
                <w:highlight w:val="none"/>
              </w:rPr>
              <w:t>（1）如果投标人的评标价＞评标基准价，则评标价得分＝F－偏差率×100×E1；</w:t>
            </w:r>
          </w:p>
          <w:p w14:paraId="360EF011">
            <w:pPr>
              <w:pStyle w:val="10"/>
              <w:spacing w:line="360" w:lineRule="auto"/>
              <w:ind w:firstLine="422" w:firstLineChars="201"/>
              <w:jc w:val="left"/>
              <w:rPr>
                <w:rFonts w:eastAsia="宋体"/>
                <w:bCs/>
                <w:color w:val="auto"/>
                <w:sz w:val="21"/>
                <w:szCs w:val="21"/>
                <w:highlight w:val="none"/>
              </w:rPr>
            </w:pPr>
            <w:r>
              <w:rPr>
                <w:rFonts w:hint="eastAsia" w:eastAsia="宋体"/>
                <w:bCs/>
                <w:color w:val="auto"/>
                <w:sz w:val="21"/>
                <w:szCs w:val="21"/>
                <w:highlight w:val="none"/>
              </w:rPr>
              <w:t>（2）如果投标人的评标价≤评标基准价，则评标价得分＝F＋偏差率×100×E2。</w:t>
            </w:r>
          </w:p>
          <w:p w14:paraId="40CFB101">
            <w:pPr>
              <w:pStyle w:val="10"/>
              <w:spacing w:line="360" w:lineRule="auto"/>
              <w:ind w:firstLine="423"/>
              <w:jc w:val="left"/>
              <w:rPr>
                <w:rFonts w:eastAsia="宋体"/>
                <w:bCs/>
                <w:color w:val="auto"/>
                <w:sz w:val="21"/>
                <w:szCs w:val="21"/>
                <w:highlight w:val="none"/>
              </w:rPr>
            </w:pPr>
            <w:r>
              <w:rPr>
                <w:rFonts w:hint="eastAsia" w:eastAsia="宋体"/>
                <w:bCs/>
                <w:color w:val="auto"/>
                <w:sz w:val="21"/>
                <w:szCs w:val="21"/>
                <w:highlight w:val="none"/>
              </w:rPr>
              <w:t>其中：F=10分，E1是评标价每高于评标基准价一个百分点的扣分值，E2是评标价每低于评标基准价一个百分点的扣分值；E1=1,E2=0.5。</w:t>
            </w:r>
          </w:p>
          <w:p w14:paraId="5F7732B6">
            <w:pPr>
              <w:pStyle w:val="10"/>
              <w:spacing w:line="360" w:lineRule="auto"/>
              <w:jc w:val="left"/>
              <w:rPr>
                <w:rFonts w:eastAsia="宋体"/>
                <w:bCs/>
                <w:color w:val="auto"/>
                <w:sz w:val="21"/>
                <w:szCs w:val="21"/>
                <w:highlight w:val="none"/>
              </w:rPr>
            </w:pPr>
            <w:r>
              <w:rPr>
                <w:rFonts w:hint="eastAsia" w:eastAsia="宋体"/>
                <w:bCs/>
                <w:color w:val="auto"/>
                <w:sz w:val="21"/>
                <w:szCs w:val="21"/>
                <w:highlight w:val="none"/>
              </w:rPr>
              <w:t>评标价最低得分为0分。</w:t>
            </w:r>
          </w:p>
        </w:tc>
      </w:tr>
      <w:tr w14:paraId="0F8D8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095" w:type="dxa"/>
            <w:tcBorders>
              <w:bottom w:val="single" w:color="auto" w:sz="6" w:space="0"/>
              <w:right w:val="single" w:color="auto" w:sz="4" w:space="0"/>
            </w:tcBorders>
            <w:vAlign w:val="center"/>
          </w:tcPr>
          <w:p w14:paraId="3DED3DA7">
            <w:pPr>
              <w:pStyle w:val="10"/>
              <w:rPr>
                <w:rFonts w:eastAsia="宋体"/>
                <w:bCs/>
                <w:color w:val="auto"/>
                <w:sz w:val="21"/>
                <w:szCs w:val="21"/>
                <w:highlight w:val="none"/>
              </w:rPr>
            </w:pPr>
            <w:r>
              <w:rPr>
                <w:rFonts w:hint="eastAsia" w:eastAsia="宋体"/>
                <w:bCs/>
                <w:color w:val="auto"/>
                <w:sz w:val="21"/>
                <w:szCs w:val="21"/>
                <w:highlight w:val="none"/>
              </w:rPr>
              <w:t>2.2.4（4）</w:t>
            </w:r>
          </w:p>
        </w:tc>
        <w:tc>
          <w:tcPr>
            <w:tcW w:w="570" w:type="dxa"/>
            <w:tcBorders>
              <w:left w:val="single" w:color="auto" w:sz="4" w:space="0"/>
              <w:bottom w:val="single" w:color="auto" w:sz="6" w:space="0"/>
              <w:right w:val="single" w:color="auto" w:sz="4" w:space="0"/>
            </w:tcBorders>
            <w:vAlign w:val="center"/>
          </w:tcPr>
          <w:p w14:paraId="47B2C64A">
            <w:pPr>
              <w:pStyle w:val="10"/>
              <w:ind w:left="57" w:right="198"/>
              <w:rPr>
                <w:rFonts w:eastAsia="宋体"/>
                <w:bCs/>
                <w:color w:val="auto"/>
                <w:sz w:val="21"/>
                <w:szCs w:val="21"/>
                <w:highlight w:val="none"/>
              </w:rPr>
            </w:pPr>
            <w:r>
              <w:rPr>
                <w:rFonts w:hint="eastAsia" w:eastAsia="宋体"/>
                <w:bCs/>
                <w:color w:val="auto"/>
                <w:sz w:val="21"/>
                <w:szCs w:val="21"/>
                <w:highlight w:val="none"/>
              </w:rPr>
              <w:t>其他因素</w:t>
            </w:r>
          </w:p>
        </w:tc>
        <w:tc>
          <w:tcPr>
            <w:tcW w:w="713" w:type="dxa"/>
            <w:tcBorders>
              <w:left w:val="single" w:color="auto" w:sz="4" w:space="0"/>
              <w:bottom w:val="single" w:color="auto" w:sz="6" w:space="0"/>
            </w:tcBorders>
            <w:vAlign w:val="center"/>
          </w:tcPr>
          <w:p w14:paraId="40E23B57">
            <w:pPr>
              <w:pStyle w:val="10"/>
              <w:ind w:right="-4" w:rightChars="-2"/>
              <w:rPr>
                <w:rFonts w:eastAsia="宋体"/>
                <w:bCs/>
                <w:color w:val="auto"/>
                <w:sz w:val="21"/>
                <w:szCs w:val="21"/>
                <w:highlight w:val="none"/>
              </w:rPr>
            </w:pPr>
            <w:r>
              <w:rPr>
                <w:rFonts w:hint="eastAsia" w:eastAsia="宋体"/>
                <w:bCs/>
                <w:color w:val="auto"/>
                <w:sz w:val="21"/>
                <w:szCs w:val="21"/>
                <w:highlight w:val="none"/>
              </w:rPr>
              <w:t>业绩</w:t>
            </w:r>
          </w:p>
        </w:tc>
        <w:tc>
          <w:tcPr>
            <w:tcW w:w="1133" w:type="dxa"/>
            <w:tcBorders>
              <w:bottom w:val="single" w:color="auto" w:sz="6" w:space="0"/>
              <w:right w:val="single" w:color="auto" w:sz="2" w:space="0"/>
            </w:tcBorders>
            <w:vAlign w:val="center"/>
          </w:tcPr>
          <w:p w14:paraId="79C1C336">
            <w:pPr>
              <w:pStyle w:val="10"/>
              <w:ind w:right="-4" w:rightChars="-2"/>
              <w:rPr>
                <w:rFonts w:eastAsia="宋体"/>
                <w:bCs/>
                <w:color w:val="auto"/>
                <w:sz w:val="21"/>
                <w:szCs w:val="21"/>
                <w:highlight w:val="none"/>
              </w:rPr>
            </w:pPr>
            <w:r>
              <w:rPr>
                <w:rFonts w:hint="eastAsia" w:eastAsia="宋体"/>
                <w:bCs/>
                <w:color w:val="auto"/>
                <w:sz w:val="21"/>
                <w:szCs w:val="21"/>
                <w:highlight w:val="none"/>
              </w:rPr>
              <w:t>25分</w:t>
            </w:r>
          </w:p>
        </w:tc>
        <w:tc>
          <w:tcPr>
            <w:tcW w:w="1961" w:type="dxa"/>
            <w:tcBorders>
              <w:left w:val="single" w:color="auto" w:sz="2" w:space="0"/>
              <w:bottom w:val="single" w:color="auto" w:sz="6" w:space="0"/>
              <w:right w:val="single" w:color="auto" w:sz="4" w:space="0"/>
            </w:tcBorders>
            <w:vAlign w:val="center"/>
          </w:tcPr>
          <w:p w14:paraId="0F539531">
            <w:pPr>
              <w:pStyle w:val="10"/>
              <w:ind w:firstLine="422" w:firstLineChars="201"/>
              <w:jc w:val="both"/>
              <w:rPr>
                <w:rFonts w:eastAsia="宋体"/>
                <w:bCs/>
                <w:color w:val="auto"/>
                <w:sz w:val="21"/>
                <w:szCs w:val="21"/>
                <w:highlight w:val="none"/>
              </w:rPr>
            </w:pPr>
            <w:r>
              <w:rPr>
                <w:rFonts w:hint="eastAsia" w:eastAsia="宋体"/>
                <w:bCs/>
                <w:color w:val="auto"/>
                <w:sz w:val="21"/>
                <w:szCs w:val="21"/>
                <w:highlight w:val="none"/>
              </w:rPr>
              <w:t>近五年业绩</w:t>
            </w:r>
          </w:p>
        </w:tc>
        <w:tc>
          <w:tcPr>
            <w:tcW w:w="733" w:type="dxa"/>
            <w:tcBorders>
              <w:left w:val="single" w:color="auto" w:sz="4" w:space="0"/>
              <w:bottom w:val="single" w:color="auto" w:sz="6" w:space="0"/>
              <w:right w:val="single" w:color="auto" w:sz="4" w:space="0"/>
            </w:tcBorders>
            <w:vAlign w:val="center"/>
          </w:tcPr>
          <w:p w14:paraId="3B276C76">
            <w:pPr>
              <w:pStyle w:val="10"/>
              <w:rPr>
                <w:rFonts w:eastAsia="宋体"/>
                <w:bCs/>
                <w:color w:val="auto"/>
                <w:sz w:val="21"/>
                <w:szCs w:val="21"/>
                <w:highlight w:val="none"/>
              </w:rPr>
            </w:pPr>
            <w:r>
              <w:rPr>
                <w:rFonts w:hint="eastAsia" w:eastAsia="宋体"/>
                <w:bCs/>
                <w:color w:val="auto"/>
                <w:sz w:val="21"/>
                <w:szCs w:val="21"/>
                <w:highlight w:val="none"/>
              </w:rPr>
              <w:t>25分</w:t>
            </w:r>
          </w:p>
        </w:tc>
        <w:tc>
          <w:tcPr>
            <w:tcW w:w="3259" w:type="dxa"/>
            <w:tcBorders>
              <w:left w:val="single" w:color="auto" w:sz="4" w:space="0"/>
              <w:bottom w:val="single" w:color="auto" w:sz="6" w:space="0"/>
            </w:tcBorders>
            <w:vAlign w:val="center"/>
          </w:tcPr>
          <w:p w14:paraId="07B36173">
            <w:pPr>
              <w:pStyle w:val="10"/>
              <w:jc w:val="both"/>
              <w:rPr>
                <w:rFonts w:eastAsia="宋体"/>
                <w:bCs/>
                <w:color w:val="auto"/>
                <w:sz w:val="21"/>
                <w:szCs w:val="21"/>
                <w:highlight w:val="none"/>
              </w:rPr>
            </w:pPr>
            <w:r>
              <w:rPr>
                <w:rFonts w:hint="eastAsia" w:eastAsia="宋体"/>
                <w:bCs/>
                <w:color w:val="auto"/>
                <w:sz w:val="21"/>
                <w:szCs w:val="21"/>
                <w:highlight w:val="none"/>
              </w:rPr>
              <w:t>①满足资格审查条件得</w:t>
            </w:r>
            <w:r>
              <w:rPr>
                <w:rFonts w:eastAsia="宋体"/>
                <w:bCs/>
                <w:color w:val="auto"/>
                <w:sz w:val="21"/>
                <w:szCs w:val="21"/>
                <w:highlight w:val="none"/>
              </w:rPr>
              <w:t>15分；</w:t>
            </w:r>
          </w:p>
          <w:p w14:paraId="7A488458">
            <w:pPr>
              <w:pStyle w:val="10"/>
              <w:jc w:val="both"/>
              <w:rPr>
                <w:rFonts w:eastAsia="宋体"/>
                <w:bCs/>
                <w:color w:val="auto"/>
                <w:sz w:val="21"/>
                <w:szCs w:val="21"/>
                <w:highlight w:val="none"/>
              </w:rPr>
            </w:pPr>
            <w:r>
              <w:rPr>
                <w:rFonts w:hint="eastAsia" w:eastAsia="宋体"/>
                <w:bCs/>
                <w:color w:val="auto"/>
                <w:sz w:val="21"/>
                <w:szCs w:val="21"/>
                <w:highlight w:val="none"/>
              </w:rPr>
              <w:t>②满足业绩最低要求的基础上，每增加</w:t>
            </w:r>
            <w:r>
              <w:rPr>
                <w:rFonts w:eastAsia="宋体"/>
                <w:bCs/>
                <w:color w:val="auto"/>
                <w:sz w:val="21"/>
                <w:szCs w:val="21"/>
                <w:highlight w:val="none"/>
              </w:rPr>
              <w:t>1个独立完成的里程不少于5公里的二级及以上公路新建或改扩建主体工程施工监理项目（以标段计），同时路面结构类型沥青混凝土面层，加5分，最多加10分。</w:t>
            </w:r>
          </w:p>
        </w:tc>
      </w:tr>
      <w:tr w14:paraId="4D1A4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trPr>
        <w:tc>
          <w:tcPr>
            <w:tcW w:w="1095" w:type="dxa"/>
            <w:tcBorders>
              <w:right w:val="single" w:color="auto" w:sz="4" w:space="0"/>
            </w:tcBorders>
            <w:vAlign w:val="center"/>
          </w:tcPr>
          <w:p w14:paraId="4DF84DA3">
            <w:pPr>
              <w:pStyle w:val="10"/>
              <w:rPr>
                <w:rFonts w:eastAsia="宋体"/>
                <w:bCs/>
                <w:color w:val="auto"/>
                <w:sz w:val="21"/>
                <w:szCs w:val="21"/>
                <w:highlight w:val="none"/>
              </w:rPr>
            </w:pPr>
            <w:r>
              <w:rPr>
                <w:rFonts w:hint="eastAsia" w:eastAsia="宋体"/>
                <w:bCs/>
                <w:color w:val="auto"/>
                <w:sz w:val="21"/>
                <w:szCs w:val="21"/>
                <w:highlight w:val="none"/>
              </w:rPr>
              <w:t>2.2.4（4）</w:t>
            </w:r>
          </w:p>
        </w:tc>
        <w:tc>
          <w:tcPr>
            <w:tcW w:w="570" w:type="dxa"/>
            <w:tcBorders>
              <w:left w:val="single" w:color="auto" w:sz="4" w:space="0"/>
              <w:right w:val="single" w:color="auto" w:sz="2" w:space="0"/>
            </w:tcBorders>
            <w:vAlign w:val="center"/>
          </w:tcPr>
          <w:p w14:paraId="0765B982">
            <w:pPr>
              <w:pStyle w:val="10"/>
              <w:ind w:right="-4" w:rightChars="-2"/>
              <w:rPr>
                <w:rFonts w:eastAsia="宋体"/>
                <w:bCs/>
                <w:color w:val="auto"/>
                <w:sz w:val="21"/>
                <w:szCs w:val="21"/>
                <w:highlight w:val="none"/>
              </w:rPr>
            </w:pPr>
            <w:r>
              <w:rPr>
                <w:rFonts w:hint="eastAsia" w:eastAsia="宋体"/>
                <w:bCs/>
                <w:color w:val="auto"/>
                <w:sz w:val="21"/>
                <w:szCs w:val="21"/>
                <w:highlight w:val="none"/>
              </w:rPr>
              <w:t>其他因素</w:t>
            </w:r>
          </w:p>
        </w:tc>
        <w:tc>
          <w:tcPr>
            <w:tcW w:w="713" w:type="dxa"/>
            <w:tcBorders>
              <w:left w:val="single" w:color="auto" w:sz="2" w:space="0"/>
            </w:tcBorders>
            <w:vAlign w:val="center"/>
          </w:tcPr>
          <w:p w14:paraId="400E7F04">
            <w:pPr>
              <w:pStyle w:val="10"/>
              <w:ind w:right="-4" w:rightChars="-2"/>
              <w:rPr>
                <w:rFonts w:eastAsia="宋体"/>
                <w:bCs/>
                <w:color w:val="auto"/>
                <w:sz w:val="21"/>
                <w:szCs w:val="21"/>
                <w:highlight w:val="none"/>
              </w:rPr>
            </w:pPr>
            <w:r>
              <w:rPr>
                <w:rFonts w:hint="eastAsia" w:eastAsia="宋体"/>
                <w:bCs/>
                <w:color w:val="auto"/>
                <w:sz w:val="21"/>
                <w:szCs w:val="21"/>
                <w:highlight w:val="none"/>
              </w:rPr>
              <w:t>履约</w:t>
            </w:r>
          </w:p>
          <w:p w14:paraId="676D81EB">
            <w:pPr>
              <w:pStyle w:val="10"/>
              <w:ind w:right="-4" w:rightChars="-2"/>
              <w:rPr>
                <w:rFonts w:eastAsia="宋体"/>
                <w:bCs/>
                <w:color w:val="auto"/>
                <w:sz w:val="21"/>
                <w:szCs w:val="21"/>
                <w:highlight w:val="none"/>
              </w:rPr>
            </w:pPr>
            <w:r>
              <w:rPr>
                <w:rFonts w:hint="eastAsia" w:eastAsia="宋体"/>
                <w:bCs/>
                <w:color w:val="auto"/>
                <w:sz w:val="21"/>
                <w:szCs w:val="21"/>
                <w:highlight w:val="none"/>
              </w:rPr>
              <w:t>信誉</w:t>
            </w:r>
          </w:p>
        </w:tc>
        <w:tc>
          <w:tcPr>
            <w:tcW w:w="1133" w:type="dxa"/>
            <w:tcBorders>
              <w:right w:val="single" w:color="auto" w:sz="2" w:space="0"/>
            </w:tcBorders>
            <w:vAlign w:val="center"/>
          </w:tcPr>
          <w:p w14:paraId="4BE86799">
            <w:pPr>
              <w:pStyle w:val="10"/>
              <w:ind w:right="-4" w:rightChars="-2"/>
              <w:rPr>
                <w:rFonts w:eastAsia="宋体"/>
                <w:bCs/>
                <w:color w:val="auto"/>
                <w:sz w:val="21"/>
                <w:szCs w:val="21"/>
                <w:highlight w:val="none"/>
              </w:rPr>
            </w:pPr>
            <w:r>
              <w:rPr>
                <w:rFonts w:hint="eastAsia" w:eastAsia="宋体"/>
                <w:bCs/>
                <w:color w:val="auto"/>
                <w:sz w:val="21"/>
                <w:szCs w:val="21"/>
                <w:highlight w:val="none"/>
              </w:rPr>
              <w:t>5分</w:t>
            </w:r>
          </w:p>
        </w:tc>
        <w:tc>
          <w:tcPr>
            <w:tcW w:w="1961" w:type="dxa"/>
            <w:tcBorders>
              <w:left w:val="single" w:color="auto" w:sz="2" w:space="0"/>
              <w:right w:val="single" w:color="auto" w:sz="2" w:space="0"/>
            </w:tcBorders>
            <w:vAlign w:val="center"/>
          </w:tcPr>
          <w:p w14:paraId="1941034F">
            <w:pPr>
              <w:pStyle w:val="10"/>
              <w:ind w:right="-4" w:rightChars="-2"/>
              <w:rPr>
                <w:rFonts w:eastAsia="宋体"/>
                <w:bCs/>
                <w:color w:val="auto"/>
                <w:sz w:val="21"/>
                <w:szCs w:val="21"/>
                <w:highlight w:val="none"/>
              </w:rPr>
            </w:pPr>
            <w:r>
              <w:rPr>
                <w:rFonts w:hint="eastAsia" w:eastAsia="宋体"/>
                <w:bCs/>
                <w:color w:val="auto"/>
                <w:sz w:val="21"/>
                <w:szCs w:val="21"/>
                <w:highlight w:val="none"/>
              </w:rPr>
              <w:t>企业信用评价</w:t>
            </w:r>
          </w:p>
        </w:tc>
        <w:tc>
          <w:tcPr>
            <w:tcW w:w="733" w:type="dxa"/>
            <w:tcBorders>
              <w:left w:val="single" w:color="auto" w:sz="2" w:space="0"/>
              <w:right w:val="single" w:color="auto" w:sz="2" w:space="0"/>
            </w:tcBorders>
            <w:vAlign w:val="center"/>
          </w:tcPr>
          <w:p w14:paraId="1A460AF9">
            <w:pPr>
              <w:pStyle w:val="10"/>
              <w:ind w:left="34" w:leftChars="16" w:right="-4" w:rightChars="-2"/>
              <w:rPr>
                <w:rFonts w:eastAsia="宋体"/>
                <w:bCs/>
                <w:color w:val="auto"/>
                <w:sz w:val="21"/>
                <w:szCs w:val="21"/>
                <w:highlight w:val="none"/>
              </w:rPr>
            </w:pPr>
            <w:r>
              <w:rPr>
                <w:rFonts w:hint="eastAsia" w:eastAsia="宋体"/>
                <w:bCs/>
                <w:color w:val="auto"/>
                <w:sz w:val="21"/>
                <w:szCs w:val="21"/>
                <w:highlight w:val="none"/>
              </w:rPr>
              <w:t>5分</w:t>
            </w:r>
          </w:p>
        </w:tc>
        <w:tc>
          <w:tcPr>
            <w:tcW w:w="3259" w:type="dxa"/>
            <w:tcBorders>
              <w:left w:val="single" w:color="auto" w:sz="2" w:space="0"/>
            </w:tcBorders>
            <w:vAlign w:val="center"/>
          </w:tcPr>
          <w:p w14:paraId="359C5476">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信誉满足资格审查条件得</w:t>
            </w:r>
            <w:r>
              <w:rPr>
                <w:rFonts w:ascii="宋体" w:hAnsi="宋体" w:eastAsia="宋体" w:cs="宋体"/>
                <w:bCs/>
                <w:color w:val="auto"/>
                <w:szCs w:val="21"/>
                <w:highlight w:val="none"/>
              </w:rPr>
              <w:t>3分；</w:t>
            </w:r>
          </w:p>
          <w:p w14:paraId="4F616DBD">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202</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年度被黑龙江省交通运输厅或2022年度被交通运输部认定为监理企业A级信用评价等级的，加2分。。</w:t>
            </w:r>
          </w:p>
          <w:p w14:paraId="3951FEB6">
            <w:pPr>
              <w:spacing w:line="360" w:lineRule="auto"/>
              <w:rPr>
                <w:rFonts w:ascii="宋体" w:hAnsi="宋体" w:eastAsia="宋体" w:cs="宋体"/>
                <w:bCs/>
                <w:color w:val="auto"/>
                <w:szCs w:val="21"/>
                <w:highlight w:val="none"/>
              </w:rPr>
            </w:pPr>
            <w:r>
              <w:rPr>
                <w:rFonts w:ascii="宋体" w:hAnsi="宋体" w:eastAsia="宋体" w:cs="宋体"/>
                <w:bCs/>
                <w:color w:val="auto"/>
                <w:szCs w:val="21"/>
                <w:highlight w:val="none"/>
              </w:rPr>
              <w:t>本次招标不接受202</w:t>
            </w:r>
            <w:r>
              <w:rPr>
                <w:rFonts w:hint="eastAsia" w:ascii="宋体" w:hAnsi="宋体" w:eastAsia="宋体" w:cs="宋体"/>
                <w:bCs/>
                <w:color w:val="auto"/>
                <w:szCs w:val="21"/>
                <w:highlight w:val="none"/>
                <w:lang w:val="en-US" w:eastAsia="zh-CN"/>
              </w:rPr>
              <w:t>2</w:t>
            </w:r>
            <w:r>
              <w:rPr>
                <w:rFonts w:ascii="宋体" w:hAnsi="宋体" w:eastAsia="宋体" w:cs="宋体"/>
                <w:bCs/>
                <w:color w:val="auto"/>
                <w:szCs w:val="21"/>
                <w:highlight w:val="none"/>
              </w:rPr>
              <w:t>年度黑龙江省交通运输厅公路施工监理单位信用评价或202</w:t>
            </w:r>
            <w:r>
              <w:rPr>
                <w:rFonts w:hint="eastAsia" w:ascii="宋体" w:hAnsi="宋体" w:eastAsia="宋体" w:cs="宋体"/>
                <w:bCs/>
                <w:color w:val="auto"/>
                <w:szCs w:val="21"/>
                <w:highlight w:val="none"/>
                <w:lang w:val="en-US" w:eastAsia="zh-CN"/>
              </w:rPr>
              <w:t>2</w:t>
            </w:r>
            <w:r>
              <w:rPr>
                <w:rFonts w:ascii="宋体" w:hAnsi="宋体" w:eastAsia="宋体" w:cs="宋体"/>
                <w:bCs/>
                <w:color w:val="auto"/>
                <w:szCs w:val="21"/>
                <w:highlight w:val="none"/>
              </w:rPr>
              <w:t>年度交通运输部公路建设市场全国综合信用评价被认定为D级的投标人提出投标申请。</w:t>
            </w:r>
          </w:p>
          <w:p w14:paraId="59F7D9F3">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注：</w:t>
            </w:r>
          </w:p>
          <w:p w14:paraId="736249C4">
            <w:pPr>
              <w:spacing w:line="360" w:lineRule="auto"/>
              <w:rPr>
                <w:rFonts w:ascii="宋体" w:hAnsi="宋体" w:eastAsia="宋体" w:cs="宋体"/>
                <w:bCs/>
                <w:color w:val="auto"/>
                <w:szCs w:val="21"/>
                <w:highlight w:val="none"/>
              </w:rPr>
            </w:pPr>
            <w:r>
              <w:rPr>
                <w:rFonts w:ascii="宋体" w:hAnsi="宋体" w:eastAsia="宋体" w:cs="宋体"/>
                <w:bCs/>
                <w:color w:val="auto"/>
                <w:szCs w:val="21"/>
                <w:highlight w:val="none"/>
              </w:rPr>
              <w:t>a.202</w:t>
            </w:r>
            <w:r>
              <w:rPr>
                <w:rFonts w:hint="eastAsia" w:ascii="宋体" w:hAnsi="宋体" w:eastAsia="宋体" w:cs="宋体"/>
                <w:bCs/>
                <w:color w:val="auto"/>
                <w:szCs w:val="21"/>
                <w:highlight w:val="none"/>
                <w:lang w:val="en-US" w:eastAsia="zh-CN"/>
              </w:rPr>
              <w:t>2</w:t>
            </w:r>
            <w:r>
              <w:rPr>
                <w:rFonts w:ascii="宋体" w:hAnsi="宋体" w:eastAsia="宋体" w:cs="宋体"/>
                <w:bCs/>
                <w:color w:val="auto"/>
                <w:szCs w:val="21"/>
                <w:highlight w:val="none"/>
              </w:rPr>
              <w:t>年度在黑龙江省交通运输厅或202</w:t>
            </w:r>
            <w:r>
              <w:rPr>
                <w:rFonts w:hint="eastAsia" w:ascii="宋体" w:hAnsi="宋体" w:eastAsia="宋体" w:cs="宋体"/>
                <w:bCs/>
                <w:color w:val="auto"/>
                <w:szCs w:val="21"/>
                <w:highlight w:val="none"/>
                <w:lang w:val="en-US" w:eastAsia="zh-CN"/>
              </w:rPr>
              <w:t>2</w:t>
            </w:r>
            <w:r>
              <w:rPr>
                <w:rFonts w:ascii="宋体" w:hAnsi="宋体" w:eastAsia="宋体" w:cs="宋体"/>
                <w:bCs/>
                <w:color w:val="auto"/>
                <w:szCs w:val="21"/>
                <w:highlight w:val="none"/>
              </w:rPr>
              <w:t>年度在交通运输部无监理企业信用评价结果的，采用202</w:t>
            </w:r>
            <w:r>
              <w:rPr>
                <w:rFonts w:hint="eastAsia" w:ascii="宋体" w:hAnsi="宋体" w:eastAsia="宋体" w:cs="宋体"/>
                <w:bCs/>
                <w:color w:val="auto"/>
                <w:szCs w:val="21"/>
                <w:highlight w:val="none"/>
                <w:lang w:val="en-US" w:eastAsia="zh-CN"/>
              </w:rPr>
              <w:t>1</w:t>
            </w:r>
            <w:r>
              <w:rPr>
                <w:rFonts w:ascii="宋体" w:hAnsi="宋体" w:eastAsia="宋体" w:cs="宋体"/>
                <w:bCs/>
                <w:color w:val="auto"/>
                <w:szCs w:val="21"/>
                <w:highlight w:val="none"/>
              </w:rPr>
              <w:t>年度黑龙江省交通运输厅或202</w:t>
            </w:r>
            <w:r>
              <w:rPr>
                <w:rFonts w:hint="eastAsia" w:ascii="宋体" w:hAnsi="宋体" w:eastAsia="宋体" w:cs="宋体"/>
                <w:bCs/>
                <w:color w:val="auto"/>
                <w:szCs w:val="21"/>
                <w:highlight w:val="none"/>
                <w:lang w:val="en-US" w:eastAsia="zh-CN"/>
              </w:rPr>
              <w:t>1</w:t>
            </w:r>
            <w:r>
              <w:rPr>
                <w:rFonts w:ascii="宋体" w:hAnsi="宋体" w:eastAsia="宋体" w:cs="宋体"/>
                <w:bCs/>
                <w:color w:val="auto"/>
                <w:szCs w:val="21"/>
                <w:highlight w:val="none"/>
              </w:rPr>
              <w:t>年度交通运输部监理企业信用评价结果。</w:t>
            </w:r>
          </w:p>
          <w:p w14:paraId="6DBAB9D9">
            <w:pPr>
              <w:spacing w:line="360" w:lineRule="auto"/>
              <w:rPr>
                <w:rFonts w:ascii="宋体" w:hAnsi="宋体" w:eastAsia="宋体" w:cs="宋体"/>
                <w:bCs/>
                <w:color w:val="auto"/>
                <w:szCs w:val="21"/>
                <w:highlight w:val="none"/>
              </w:rPr>
            </w:pPr>
            <w:r>
              <w:rPr>
                <w:rFonts w:ascii="宋体" w:hAnsi="宋体" w:eastAsia="宋体" w:cs="宋体"/>
                <w:bCs/>
                <w:color w:val="auto"/>
                <w:szCs w:val="21"/>
                <w:highlight w:val="none"/>
              </w:rPr>
              <w:t>b.得分不累加，①②只计一次最高分，本项最高加2分。</w:t>
            </w:r>
          </w:p>
          <w:p w14:paraId="1563FD86">
            <w:pPr>
              <w:spacing w:line="360" w:lineRule="auto"/>
              <w:rPr>
                <w:color w:val="auto"/>
                <w:highlight w:val="none"/>
              </w:rPr>
            </w:pPr>
            <w:r>
              <w:rPr>
                <w:rFonts w:ascii="宋体" w:hAnsi="宋体" w:eastAsia="宋体" w:cs="宋体"/>
                <w:bCs/>
                <w:color w:val="auto"/>
                <w:szCs w:val="21"/>
                <w:highlight w:val="none"/>
              </w:rPr>
              <w:t>c.国务院或省级有关部门许可资质的监理企业初次进入黑龙江省，其信用评价等级按照交通运输部或省级监理企业全国综合信用评价结果确定；尚无交通运输部或省级监理企业全国综合信用评价的企业，若无不良信用记录，按A级对待。</w:t>
            </w:r>
          </w:p>
        </w:tc>
      </w:tr>
    </w:tbl>
    <w:p w14:paraId="432C46C9">
      <w:pPr>
        <w:spacing w:line="320" w:lineRule="exact"/>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注：</w:t>
      </w:r>
    </w:p>
    <w:p w14:paraId="36F08B01">
      <w:pPr>
        <w:spacing w:line="320" w:lineRule="exact"/>
        <w:rPr>
          <w:rFonts w:ascii="宋体" w:hAnsi="宋体" w:eastAsia="宋体" w:cs="宋体"/>
          <w:bCs/>
          <w:color w:val="auto"/>
          <w:sz w:val="18"/>
          <w:szCs w:val="18"/>
          <w:highlight w:val="none"/>
        </w:rPr>
      </w:pPr>
      <w:r>
        <w:rPr>
          <w:rFonts w:ascii="宋体" w:hAnsi="宋体" w:eastAsia="宋体" w:cs="宋体"/>
          <w:bCs/>
          <w:color w:val="auto"/>
          <w:sz w:val="18"/>
          <w:szCs w:val="18"/>
          <w:highlight w:val="none"/>
        </w:rPr>
        <w:t>1.各评分因素得分以评标委员会各成员打分的算术平均值确定。评标委员会各成员的单项打分分值小数点后保留一位，计算过程及计算结果小数点后保留两位小数，小数点后第三位“四舍五入”。</w:t>
      </w:r>
    </w:p>
    <w:p w14:paraId="75FEE5D3">
      <w:pPr>
        <w:spacing w:line="320" w:lineRule="exact"/>
        <w:rPr>
          <w:rFonts w:ascii="宋体" w:hAnsi="宋体" w:eastAsia="宋体" w:cs="宋体"/>
          <w:bCs/>
          <w:color w:val="auto"/>
          <w:sz w:val="18"/>
          <w:szCs w:val="18"/>
          <w:highlight w:val="none"/>
        </w:rPr>
      </w:pPr>
      <w:r>
        <w:rPr>
          <w:rFonts w:ascii="宋体" w:hAnsi="宋体" w:eastAsia="宋体" w:cs="宋体"/>
          <w:bCs/>
          <w:color w:val="auto"/>
          <w:sz w:val="18"/>
          <w:szCs w:val="18"/>
          <w:highlight w:val="none"/>
        </w:rPr>
        <w:t>2.总监理工程师及试验室主任的个人业绩加分项不设年限要求。</w:t>
      </w:r>
    </w:p>
    <w:p w14:paraId="46CCC17D">
      <w:pPr>
        <w:spacing w:line="320" w:lineRule="exact"/>
        <w:rPr>
          <w:rFonts w:ascii="宋体" w:hAnsi="宋体" w:eastAsia="宋体" w:cs="宋体"/>
          <w:bCs/>
          <w:color w:val="auto"/>
          <w:sz w:val="18"/>
          <w:szCs w:val="18"/>
          <w:highlight w:val="none"/>
        </w:rPr>
      </w:pPr>
      <w:r>
        <w:rPr>
          <w:rFonts w:ascii="宋体" w:hAnsi="宋体" w:eastAsia="宋体" w:cs="宋体"/>
          <w:bCs/>
          <w:color w:val="auto"/>
          <w:sz w:val="18"/>
          <w:szCs w:val="18"/>
          <w:highlight w:val="none"/>
        </w:rPr>
        <w:t>3.投标人所附企业加分业绩应为近五年（201</w:t>
      </w:r>
      <w:r>
        <w:rPr>
          <w:rFonts w:hint="eastAsia" w:ascii="宋体" w:hAnsi="宋体" w:eastAsia="宋体" w:cs="宋体"/>
          <w:bCs/>
          <w:color w:val="auto"/>
          <w:sz w:val="18"/>
          <w:szCs w:val="18"/>
          <w:highlight w:val="none"/>
          <w:lang w:val="en-US" w:eastAsia="zh-CN"/>
        </w:rPr>
        <w:t>9</w:t>
      </w:r>
      <w:r>
        <w:rPr>
          <w:rFonts w:ascii="宋体" w:hAnsi="宋体" w:eastAsia="宋体" w:cs="宋体"/>
          <w:bCs/>
          <w:color w:val="auto"/>
          <w:sz w:val="18"/>
          <w:szCs w:val="18"/>
          <w:highlight w:val="none"/>
        </w:rPr>
        <w:t>年</w:t>
      </w:r>
      <w:r>
        <w:rPr>
          <w:rFonts w:hint="eastAsia" w:ascii="宋体" w:hAnsi="宋体" w:eastAsia="宋体" w:cs="宋体"/>
          <w:bCs/>
          <w:color w:val="auto"/>
          <w:sz w:val="18"/>
          <w:szCs w:val="18"/>
          <w:highlight w:val="none"/>
          <w:lang w:val="en-US" w:eastAsia="zh-CN"/>
        </w:rPr>
        <w:t>12</w:t>
      </w:r>
      <w:r>
        <w:rPr>
          <w:rFonts w:ascii="宋体" w:hAnsi="宋体" w:eastAsia="宋体" w:cs="宋体"/>
          <w:bCs/>
          <w:color w:val="auto"/>
          <w:sz w:val="18"/>
          <w:szCs w:val="18"/>
          <w:highlight w:val="none"/>
        </w:rPr>
        <w:t>月1日～投标文件递交截止时间止，以实际交工日期为准且交工验收达到合格标准）完成的施工监理项目业绩，超出此时间范围的业绩不加分。</w:t>
      </w:r>
    </w:p>
    <w:p w14:paraId="5E826118">
      <w:pPr>
        <w:spacing w:line="320" w:lineRule="exact"/>
        <w:rPr>
          <w:rFonts w:hint="eastAsia" w:ascii="宋体" w:hAnsi="宋体" w:eastAsia="宋体" w:cs="Times New Roman"/>
          <w:bCs/>
          <w:color w:val="auto"/>
          <w:spacing w:val="10"/>
          <w:kern w:val="0"/>
          <w:szCs w:val="21"/>
          <w:highlight w:val="none"/>
        </w:rPr>
      </w:pPr>
      <w:r>
        <w:rPr>
          <w:rFonts w:ascii="宋体" w:hAnsi="宋体" w:eastAsia="宋体" w:cs="宋体"/>
          <w:bCs/>
          <w:color w:val="auto"/>
          <w:sz w:val="18"/>
          <w:szCs w:val="18"/>
          <w:highlight w:val="none"/>
        </w:rPr>
        <w:t>4.表中区间分值下限为不包含，上限为包含。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F3AC7"/>
    <w:rsid w:val="0DD73D52"/>
    <w:rsid w:val="153F6A09"/>
    <w:rsid w:val="1CAF3AC7"/>
    <w:rsid w:val="5E133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Body Text"/>
    <w:basedOn w:val="1"/>
    <w:qFormat/>
    <w:uiPriority w:val="1"/>
    <w:pPr>
      <w:autoSpaceDE w:val="0"/>
      <w:autoSpaceDN w:val="0"/>
      <w:jc w:val="left"/>
    </w:pPr>
    <w:rPr>
      <w:rFonts w:ascii="宋体" w:hAnsi="宋体" w:eastAsia="宋体" w:cs="宋体"/>
      <w:kern w:val="0"/>
      <w:sz w:val="24"/>
      <w:szCs w:val="24"/>
      <w:lang w:val="zh-CN" w:bidi="zh-CN"/>
    </w:rPr>
  </w:style>
  <w:style w:type="paragraph" w:styleId="5">
    <w:name w:val="Body Text First Indent"/>
    <w:basedOn w:val="4"/>
    <w:qFormat/>
    <w:uiPriority w:val="0"/>
    <w:pPr>
      <w:spacing w:line="312" w:lineRule="auto"/>
      <w:ind w:firstLine="420"/>
    </w:pPr>
    <w:rPr>
      <w:rFonts w:ascii="Times New Roman" w:hAnsi="Times New Roman"/>
    </w:rPr>
  </w:style>
  <w:style w:type="character" w:customStyle="1" w:styleId="8">
    <w:name w:val="正文文本 (2) + 非粗体"/>
    <w:basedOn w:val="9"/>
    <w:autoRedefine/>
    <w:qFormat/>
    <w:uiPriority w:val="0"/>
    <w:rPr>
      <w:rFonts w:ascii="MingLiU" w:hAnsi="MingLiU" w:eastAsia="MingLiU" w:cs="MingLiU"/>
      <w:color w:val="000000"/>
      <w:spacing w:val="0"/>
      <w:w w:val="100"/>
      <w:position w:val="0"/>
      <w:sz w:val="20"/>
      <w:szCs w:val="20"/>
      <w:shd w:val="clear" w:color="auto" w:fill="FFFFFF"/>
      <w:lang w:val="zh-TW" w:eastAsia="zh-TW" w:bidi="zh-TW"/>
    </w:rPr>
  </w:style>
  <w:style w:type="character" w:customStyle="1" w:styleId="9">
    <w:name w:val="正文文本 (2)_"/>
    <w:basedOn w:val="7"/>
    <w:autoRedefine/>
    <w:qFormat/>
    <w:uiPriority w:val="0"/>
    <w:rPr>
      <w:rFonts w:ascii="MingLiU" w:hAnsi="MingLiU" w:eastAsia="MingLiU" w:cs="MingLiU"/>
      <w:b/>
      <w:bCs/>
      <w:sz w:val="20"/>
      <w:szCs w:val="20"/>
      <w:shd w:val="clear" w:color="auto" w:fill="FFFFFF"/>
    </w:rPr>
  </w:style>
  <w:style w:type="paragraph" w:customStyle="1" w:styleId="10">
    <w:name w:val="Table Paragraph"/>
    <w:basedOn w:val="1"/>
    <w:autoRedefine/>
    <w:qFormat/>
    <w:uiPriority w:val="1"/>
    <w:pPr>
      <w:widowControl/>
      <w:jc w:val="center"/>
    </w:pPr>
    <w:rPr>
      <w:rFonts w:ascii="宋体" w:hAnsi="宋体" w:cs="宋体"/>
      <w:kern w:val="0"/>
      <w:sz w:val="22"/>
      <w:lang w:val="zh-CN" w:bidi="zh-CN"/>
    </w:rPr>
  </w:style>
  <w:style w:type="paragraph" w:customStyle="1" w:styleId="11">
    <w:name w:val="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8106</Words>
  <Characters>8987</Characters>
  <Lines>0</Lines>
  <Paragraphs>0</Paragraphs>
  <TotalTime>0</TotalTime>
  <ScaleCrop>false</ScaleCrop>
  <LinksUpToDate>false</LinksUpToDate>
  <CharactersWithSpaces>9018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2024-12-02T02:32:00Z</dcterms:created>
  <dc:creator>Administrator</dc:creator>
  <cp:lastModifiedBy>Administrator</cp:lastModifiedBy>
  <dcterms:modified xsi:type="dcterms:W3CDTF">2024-12-02T07:42:45Z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5A257552BDC345999255481DA5F42940_11</vt:lpwstr>
  </property>
</Properties>
</file>