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183B0">
      <w:pPr>
        <w:spacing w:line="360" w:lineRule="auto"/>
        <w:jc w:val="center"/>
        <w:rPr>
          <w:rFonts w:hint="default" w:ascii="宋体" w:hAnsi="宋体" w:eastAsia="Arial"/>
          <w:b/>
          <w:bCs/>
          <w:sz w:val="30"/>
          <w:szCs w:val="30"/>
          <w:lang w:val="en-US"/>
        </w:rPr>
      </w:pPr>
      <w:r>
        <w:rPr>
          <w:rFonts w:hint="eastAsia" w:ascii="宋体" w:hAnsi="宋体"/>
          <w:b/>
          <w:bCs/>
          <w:sz w:val="30"/>
          <w:szCs w:val="30"/>
          <w:lang w:val="en-US" w:eastAsia="zh-CN"/>
        </w:rPr>
        <w:t>2024普通国省干线公路危桥改造项目（呼中区苍山桥、碧水3号水泥桥、碧阿桥）施工</w:t>
      </w:r>
      <w:r>
        <w:rPr>
          <w:rFonts w:hint="default"/>
          <w:b/>
          <w:bCs/>
          <w:sz w:val="30"/>
          <w:szCs w:val="30"/>
          <w:lang w:val="en-US"/>
        </w:rPr>
        <w:t>招标公告</w:t>
      </w:r>
      <w:bookmarkStart w:id="0" w:name="_Toc234382570"/>
      <w:bookmarkEnd w:id="0"/>
      <w:bookmarkStart w:id="1" w:name="_Toc240604806"/>
      <w:bookmarkEnd w:id="1"/>
    </w:p>
    <w:p w14:paraId="1DAA7A3D">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jc w:val="center"/>
        <w:textAlignment w:val="baseline"/>
        <w:outlineLvl w:val="1"/>
        <w:rPr>
          <w:rFonts w:hint="default" w:ascii="黑体" w:hAnsi="黑体" w:eastAsia="黑体"/>
          <w:b/>
          <w:lang w:val="en-US"/>
        </w:rPr>
      </w:pPr>
      <w:r>
        <w:rPr>
          <w:rFonts w:hint="default" w:ascii="黑体" w:hAnsi="黑体" w:eastAsia="黑体"/>
          <w:b/>
          <w:lang w:val="en-US"/>
        </w:rPr>
        <w:t>项目编号：YZL-2024012</w:t>
      </w:r>
    </w:p>
    <w:p w14:paraId="481865A3">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1"/>
        <w:rPr>
          <w:rFonts w:hint="default" w:ascii="黑体" w:hAnsi="宋体" w:eastAsia="黑体"/>
          <w:b/>
          <w:lang w:val="en-US"/>
        </w:rPr>
      </w:pPr>
      <w:r>
        <w:rPr>
          <w:rFonts w:hint="default" w:ascii="黑体" w:hAnsi="黑体" w:eastAsia="黑体"/>
          <w:b/>
          <w:lang w:val="en-US"/>
        </w:rPr>
        <w:t>1.招标条件</w:t>
      </w:r>
    </w:p>
    <w:p w14:paraId="776FFA81">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u w:val="single"/>
          <w:lang w:val="en-US" w:eastAsia="zh-CN"/>
        </w:rPr>
        <w:t>2024普通国省干线公路危桥改造项目（呼中区苍山桥、碧水3号水泥桥、碧阿桥）</w:t>
      </w:r>
      <w:r>
        <w:rPr>
          <w:rFonts w:hint="default" w:ascii="宋体" w:hAnsi="宋体" w:cs="宋体"/>
          <w:color w:val="auto"/>
          <w:kern w:val="0"/>
          <w:szCs w:val="21"/>
          <w:highlight w:val="none"/>
          <w:lang w:val="en-US" w:eastAsia="zh-CN"/>
        </w:rPr>
        <w:t>，已由</w:t>
      </w:r>
      <w:r>
        <w:rPr>
          <w:rFonts w:hint="eastAsia" w:ascii="宋体" w:hAnsi="宋体" w:cs="宋体"/>
          <w:color w:val="auto"/>
          <w:kern w:val="0"/>
          <w:szCs w:val="21"/>
          <w:highlight w:val="none"/>
          <w:u w:val="single"/>
          <w:lang w:val="en-US" w:eastAsia="zh-CN"/>
        </w:rPr>
        <w:t>（黑龙江省交通运输厅关于下达 2024年普通国省干线公路危旧桥改造项目投资计划的通知）</w:t>
      </w:r>
      <w:r>
        <w:rPr>
          <w:rFonts w:hint="default" w:ascii="宋体" w:hAnsi="宋体" w:cs="宋体"/>
          <w:color w:val="auto"/>
          <w:kern w:val="0"/>
          <w:szCs w:val="21"/>
          <w:highlight w:val="none"/>
          <w:u w:val="single"/>
          <w:lang w:val="en-US" w:eastAsia="zh-CN"/>
        </w:rPr>
        <w:t>黑交发【2024】233号、</w:t>
      </w:r>
      <w:r>
        <w:rPr>
          <w:rFonts w:hint="eastAsia" w:ascii="宋体" w:hAnsi="宋体" w:cs="宋体"/>
          <w:color w:val="auto"/>
          <w:kern w:val="0"/>
          <w:szCs w:val="21"/>
          <w:highlight w:val="none"/>
          <w:u w:val="single"/>
          <w:lang w:val="en-US" w:eastAsia="zh-CN"/>
        </w:rPr>
        <w:t>（黑龙江省交通运输厅关于黑龙江省2024年普通国省干线公路危旧桥梁改造项目S218连兴公路K285+751苍山桥阶段施工图设计的批复）</w:t>
      </w:r>
      <w:r>
        <w:rPr>
          <w:rFonts w:hint="default" w:ascii="宋体" w:hAnsi="宋体" w:cs="宋体"/>
          <w:color w:val="auto"/>
          <w:kern w:val="0"/>
          <w:szCs w:val="21"/>
          <w:highlight w:val="none"/>
          <w:u w:val="single"/>
          <w:lang w:val="en-US" w:eastAsia="zh-CN"/>
        </w:rPr>
        <w:t>黑交发【2024】114号、</w:t>
      </w:r>
      <w:r>
        <w:rPr>
          <w:rFonts w:hint="eastAsia" w:ascii="宋体" w:hAnsi="宋体" w:cs="宋体"/>
          <w:color w:val="auto"/>
          <w:kern w:val="0"/>
          <w:szCs w:val="21"/>
          <w:highlight w:val="none"/>
          <w:u w:val="single"/>
          <w:lang w:val="en-US" w:eastAsia="zh-CN"/>
        </w:rPr>
        <w:t>（黑龙江省交通运输厅关于S301十室公路塔河至呼中段科山桥等13座桥阶段施工图设计的批复）</w:t>
      </w:r>
      <w:r>
        <w:rPr>
          <w:rFonts w:hint="default" w:ascii="宋体" w:hAnsi="宋体" w:cs="宋体"/>
          <w:color w:val="auto"/>
          <w:kern w:val="0"/>
          <w:szCs w:val="21"/>
          <w:highlight w:val="none"/>
          <w:u w:val="single"/>
          <w:lang w:val="en-US" w:eastAsia="zh-CN"/>
        </w:rPr>
        <w:t>黑交发【2023】146号文件批准建设</w:t>
      </w:r>
      <w:r>
        <w:rPr>
          <w:rFonts w:hint="default" w:ascii="宋体" w:hAnsi="宋体" w:cs="宋体"/>
          <w:color w:val="auto"/>
          <w:kern w:val="0"/>
          <w:szCs w:val="21"/>
          <w:highlight w:val="none"/>
          <w:lang w:val="en-US" w:eastAsia="zh-CN"/>
        </w:rPr>
        <w:t>。项目</w:t>
      </w:r>
      <w:r>
        <w:rPr>
          <w:rFonts w:hint="eastAsia" w:ascii="宋体" w:hAnsi="宋体" w:cs="宋体"/>
          <w:color w:val="auto"/>
          <w:kern w:val="0"/>
          <w:szCs w:val="21"/>
          <w:highlight w:val="none"/>
          <w:lang w:val="en-US" w:eastAsia="zh-CN"/>
        </w:rPr>
        <w:t>业主</w:t>
      </w:r>
      <w:r>
        <w:rPr>
          <w:rFonts w:hint="default" w:ascii="宋体" w:hAnsi="宋体" w:cs="宋体"/>
          <w:color w:val="auto"/>
          <w:kern w:val="0"/>
          <w:szCs w:val="21"/>
          <w:highlight w:val="none"/>
          <w:lang w:val="en-US" w:eastAsia="zh-CN"/>
        </w:rPr>
        <w:t>为</w:t>
      </w:r>
      <w:r>
        <w:rPr>
          <w:rFonts w:hint="eastAsia" w:ascii="宋体" w:hAnsi="宋体" w:cs="宋体"/>
          <w:color w:val="auto"/>
          <w:kern w:val="0"/>
          <w:szCs w:val="21"/>
          <w:highlight w:val="none"/>
          <w:u w:val="single"/>
          <w:lang w:val="en-US" w:eastAsia="zh-CN"/>
        </w:rPr>
        <w:t>呼中区公路桥梁建设总指挥部</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建设资金来源于</w:t>
      </w:r>
      <w:r>
        <w:rPr>
          <w:rFonts w:hint="eastAsia" w:ascii="宋体" w:hAnsi="宋体" w:cs="宋体"/>
          <w:color w:val="auto"/>
          <w:kern w:val="0"/>
          <w:szCs w:val="21"/>
          <w:highlight w:val="none"/>
          <w:u w:val="single"/>
          <w:lang w:val="en-US" w:eastAsia="zh-CN"/>
        </w:rPr>
        <w:t>国家车购税资金</w:t>
      </w:r>
      <w:r>
        <w:rPr>
          <w:rFonts w:hint="default" w:ascii="宋体" w:hAnsi="宋体" w:cs="宋体"/>
          <w:color w:val="auto"/>
          <w:kern w:val="0"/>
          <w:szCs w:val="21"/>
          <w:highlight w:val="none"/>
          <w:u w:val="single"/>
          <w:lang w:val="en-US" w:eastAsia="zh-CN"/>
        </w:rPr>
        <w:t>81</w:t>
      </w:r>
      <w:r>
        <w:rPr>
          <w:rFonts w:hint="eastAsia" w:ascii="宋体" w:hAnsi="宋体" w:cs="宋体"/>
          <w:color w:val="auto"/>
          <w:kern w:val="0"/>
          <w:szCs w:val="21"/>
          <w:highlight w:val="none"/>
          <w:u w:val="single"/>
          <w:lang w:val="en-US" w:eastAsia="zh-CN"/>
        </w:rPr>
        <w:t>%和地方政府配套</w:t>
      </w:r>
      <w:r>
        <w:rPr>
          <w:rFonts w:hint="default" w:ascii="宋体" w:hAnsi="宋体" w:cs="宋体"/>
          <w:color w:val="auto"/>
          <w:kern w:val="0"/>
          <w:szCs w:val="21"/>
          <w:highlight w:val="none"/>
          <w:u w:val="single"/>
          <w:lang w:val="en-US" w:eastAsia="zh-CN"/>
        </w:rPr>
        <w:t>19</w:t>
      </w:r>
      <w:r>
        <w:rPr>
          <w:rFonts w:hint="eastAsia" w:ascii="宋体" w:hAnsi="宋体" w:cs="宋体"/>
          <w:color w:val="auto"/>
          <w:kern w:val="0"/>
          <w:szCs w:val="21"/>
          <w:highlight w:val="none"/>
          <w:u w:val="single"/>
          <w:lang w:val="en-US" w:eastAsia="zh-CN"/>
        </w:rPr>
        <w:t>%</w:t>
      </w:r>
      <w:r>
        <w:rPr>
          <w:rFonts w:hint="default" w:ascii="宋体" w:hAnsi="宋体" w:cs="宋体"/>
          <w:color w:val="auto"/>
          <w:kern w:val="0"/>
          <w:szCs w:val="21"/>
          <w:highlight w:val="none"/>
          <w:lang w:val="en-US" w:eastAsia="zh-CN"/>
        </w:rPr>
        <w:t>。招标人为</w:t>
      </w:r>
      <w:r>
        <w:rPr>
          <w:rFonts w:hint="eastAsia" w:ascii="宋体" w:hAnsi="宋体" w:cs="宋体"/>
          <w:color w:val="auto"/>
          <w:kern w:val="0"/>
          <w:szCs w:val="21"/>
          <w:highlight w:val="none"/>
          <w:u w:val="single"/>
          <w:lang w:val="en-US" w:eastAsia="zh-CN"/>
        </w:rPr>
        <w:t>呼中区公路桥梁建设总指挥部</w:t>
      </w:r>
      <w:r>
        <w:rPr>
          <w:rFonts w:hint="default" w:ascii="宋体" w:hAnsi="宋体" w:cs="宋体"/>
          <w:color w:val="auto"/>
          <w:kern w:val="0"/>
          <w:szCs w:val="21"/>
          <w:highlight w:val="none"/>
          <w:lang w:val="en-US" w:eastAsia="zh-CN"/>
        </w:rPr>
        <w:t>，招标代理机构为</w:t>
      </w:r>
      <w:r>
        <w:rPr>
          <w:rFonts w:hint="eastAsia" w:ascii="宋体" w:hAnsi="宋体" w:cs="宋体"/>
          <w:color w:val="auto"/>
          <w:kern w:val="0"/>
          <w:szCs w:val="21"/>
          <w:highlight w:val="none"/>
          <w:u w:val="single"/>
          <w:lang w:val="en-US" w:eastAsia="zh-CN"/>
        </w:rPr>
        <w:t>黑龙江圆周率工程项目管理有限公司</w:t>
      </w:r>
      <w:r>
        <w:rPr>
          <w:rFonts w:hint="default" w:ascii="宋体" w:hAnsi="宋体" w:cs="宋体"/>
          <w:color w:val="auto"/>
          <w:kern w:val="0"/>
          <w:szCs w:val="21"/>
          <w:highlight w:val="none"/>
          <w:lang w:val="en-US" w:eastAsia="zh-CN"/>
        </w:rPr>
        <w:t>。项目已具备招标条件，现对本项目</w:t>
      </w:r>
      <w:r>
        <w:rPr>
          <w:rFonts w:hint="default" w:ascii="宋体" w:hAnsi="宋体" w:cs="宋体"/>
          <w:color w:val="auto"/>
          <w:kern w:val="0"/>
          <w:szCs w:val="21"/>
          <w:highlight w:val="none"/>
          <w:u w:val="single"/>
          <w:lang w:val="en-US" w:eastAsia="zh-CN"/>
        </w:rPr>
        <w:t>施工</w:t>
      </w:r>
      <w:r>
        <w:rPr>
          <w:rFonts w:hint="default" w:ascii="宋体" w:hAnsi="宋体" w:cs="宋体"/>
          <w:color w:val="auto"/>
          <w:kern w:val="0"/>
          <w:szCs w:val="21"/>
          <w:highlight w:val="none"/>
          <w:lang w:val="en-US" w:eastAsia="zh-CN"/>
        </w:rPr>
        <w:t>进行公开招标</w:t>
      </w:r>
      <w:r>
        <w:rPr>
          <w:rFonts w:hint="default" w:ascii="宋体" w:hAnsi="宋体" w:cs="宋体"/>
          <w:color w:val="auto"/>
          <w:kern w:val="0"/>
          <w:szCs w:val="21"/>
          <w:highlight w:val="none"/>
          <w:lang w:val="en-US"/>
        </w:rPr>
        <w:t>。</w:t>
      </w:r>
    </w:p>
    <w:p w14:paraId="7DE6836E">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1"/>
        <w:rPr>
          <w:rFonts w:hint="default" w:ascii="黑体" w:hAnsi="宋体" w:eastAsia="黑体"/>
          <w:b/>
          <w:highlight w:val="none"/>
          <w:lang w:val="en-US"/>
        </w:rPr>
      </w:pPr>
      <w:r>
        <w:rPr>
          <w:rFonts w:hint="default" w:ascii="黑体" w:hAnsi="宋体" w:eastAsia="黑体"/>
          <w:b/>
          <w:highlight w:val="none"/>
          <w:lang w:val="en-US"/>
        </w:rPr>
        <w:t>2.项目概况与招标范围</w:t>
      </w:r>
    </w:p>
    <w:p w14:paraId="3B46D40F">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outlineLvl w:val="2"/>
        <w:rPr>
          <w:rFonts w:hint="default" w:ascii="宋体" w:hAnsi="宋体" w:eastAsia="宋体" w:cs="宋体"/>
          <w:color w:val="auto"/>
          <w:kern w:val="0"/>
          <w:szCs w:val="21"/>
          <w:highlight w:val="none"/>
          <w:u w:val="none"/>
          <w:lang w:val="en-US" w:eastAsia="zh-CN"/>
        </w:rPr>
      </w:pPr>
      <w:bookmarkStart w:id="2" w:name="_Hlk34990669"/>
      <w:bookmarkEnd w:id="2"/>
      <w:bookmarkStart w:id="3" w:name="_Toc240604808"/>
      <w:bookmarkEnd w:id="3"/>
      <w:r>
        <w:rPr>
          <w:rFonts w:hint="default" w:ascii="宋体" w:hAnsi="宋体" w:eastAsia="宋体" w:cs="宋体"/>
          <w:color w:val="auto"/>
          <w:kern w:val="0"/>
          <w:szCs w:val="21"/>
          <w:highlight w:val="none"/>
          <w:u w:val="none"/>
          <w:lang w:val="en-US" w:eastAsia="zh-CN"/>
        </w:rPr>
        <w:t>2.1</w:t>
      </w:r>
      <w:r>
        <w:rPr>
          <w:rFonts w:hint="eastAsia" w:ascii="宋体" w:hAnsi="宋体" w:cs="宋体"/>
          <w:color w:val="auto"/>
          <w:kern w:val="0"/>
          <w:szCs w:val="21"/>
          <w:highlight w:val="none"/>
          <w:u w:val="none"/>
          <w:lang w:val="en-US" w:eastAsia="zh-CN"/>
        </w:rPr>
        <w:t xml:space="preserve"> </w:t>
      </w:r>
      <w:r>
        <w:rPr>
          <w:rFonts w:hint="default" w:ascii="宋体" w:hAnsi="宋体" w:eastAsia="宋体" w:cs="宋体"/>
          <w:color w:val="auto"/>
          <w:kern w:val="0"/>
          <w:szCs w:val="21"/>
          <w:highlight w:val="none"/>
          <w:u w:val="none"/>
          <w:lang w:val="en-US" w:eastAsia="zh-CN"/>
        </w:rPr>
        <w:t>建设地点：</w:t>
      </w:r>
      <w:r>
        <w:rPr>
          <w:rFonts w:hint="eastAsia" w:ascii="宋体" w:hAnsi="宋体" w:cs="宋体"/>
          <w:color w:val="auto"/>
          <w:kern w:val="0"/>
          <w:szCs w:val="21"/>
          <w:highlight w:val="none"/>
          <w:u w:val="none"/>
          <w:lang w:val="en-US" w:eastAsia="zh-CN"/>
        </w:rPr>
        <w:t>大兴安岭地区呼中区</w:t>
      </w:r>
      <w:r>
        <w:rPr>
          <w:rFonts w:hint="default" w:ascii="宋体" w:hAnsi="宋体" w:eastAsia="宋体" w:cs="宋体"/>
          <w:color w:val="auto"/>
          <w:kern w:val="0"/>
          <w:szCs w:val="21"/>
          <w:highlight w:val="none"/>
          <w:u w:val="none"/>
          <w:lang w:val="en-US" w:eastAsia="zh-CN"/>
        </w:rPr>
        <w:t xml:space="preserve">。 </w:t>
      </w:r>
    </w:p>
    <w:p w14:paraId="6BAE0E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default" w:ascii="宋体" w:hAnsi="宋体" w:eastAsia="宋体" w:cs="宋体"/>
          <w:color w:val="auto"/>
          <w:kern w:val="0"/>
          <w:szCs w:val="21"/>
          <w:highlight w:val="none"/>
          <w:u w:val="none"/>
          <w:lang w:val="en-US" w:eastAsia="zh-CN"/>
        </w:rPr>
        <w:t>2.2</w:t>
      </w:r>
      <w:r>
        <w:rPr>
          <w:rFonts w:hint="eastAsia" w:ascii="宋体" w:hAnsi="宋体" w:cs="宋体"/>
          <w:color w:val="auto"/>
          <w:kern w:val="0"/>
          <w:szCs w:val="21"/>
          <w:highlight w:val="none"/>
          <w:u w:val="none"/>
          <w:lang w:val="en-US" w:eastAsia="zh-CN"/>
        </w:rPr>
        <w:t xml:space="preserve"> </w:t>
      </w:r>
      <w:r>
        <w:rPr>
          <w:rFonts w:hint="default" w:ascii="宋体" w:hAnsi="宋体" w:eastAsia="宋体" w:cs="宋体"/>
          <w:color w:val="auto"/>
          <w:kern w:val="0"/>
          <w:szCs w:val="21"/>
          <w:highlight w:val="none"/>
          <w:u w:val="none"/>
          <w:lang w:val="en-US" w:eastAsia="zh-CN"/>
        </w:rPr>
        <w:t>建设规模：</w:t>
      </w:r>
      <w:r>
        <w:rPr>
          <w:rFonts w:hint="eastAsia" w:ascii="宋体" w:hAnsi="宋体"/>
          <w:color w:val="auto"/>
        </w:rPr>
        <w:t>苍山桥</w:t>
      </w:r>
      <w:r>
        <w:rPr>
          <w:rFonts w:hint="eastAsia" w:ascii="宋体" w:hAnsi="宋体"/>
          <w:color w:val="auto"/>
          <w:lang w:val="en-US" w:eastAsia="zh-CN"/>
        </w:rPr>
        <w:t>为中桥，桥梁结构为桩基础、下部为墩台柱，上部为箱梁结构，</w:t>
      </w:r>
      <w:r>
        <w:rPr>
          <w:rFonts w:hint="eastAsia" w:ascii="宋体" w:hAnsi="宋体"/>
          <w:color w:val="auto"/>
        </w:rPr>
        <w:t>位于连兴公路呼中至林海段（S218）省道上，桥梁中心桩号K285+751，桥梁全长65.14米，桥宽11.0米，净7米+2×2米人行道。</w:t>
      </w:r>
    </w:p>
    <w:p w14:paraId="302DE1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碧水3号水泥桥</w:t>
      </w:r>
      <w:r>
        <w:rPr>
          <w:rFonts w:hint="eastAsia" w:ascii="宋体" w:hAnsi="宋体"/>
          <w:color w:val="auto"/>
          <w:lang w:val="en-US" w:eastAsia="zh-CN"/>
        </w:rPr>
        <w:t>为中桥，桥梁结构为桩基础、下部为墩台柱，上部为箱梁结构，</w:t>
      </w:r>
      <w:r>
        <w:rPr>
          <w:rFonts w:hint="eastAsia" w:ascii="宋体" w:hAnsi="宋体"/>
          <w:color w:val="auto"/>
        </w:rPr>
        <w:t>位于省道（S218）十室公路上，桥梁中心桩号K145+309，桥梁全长65.14米，桥宽10.0米，净9米+2×0.5米。</w:t>
      </w:r>
    </w:p>
    <w:p w14:paraId="5DCFA540">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color w:val="auto"/>
          <w:kern w:val="0"/>
          <w:szCs w:val="21"/>
          <w:highlight w:val="none"/>
          <w:u w:val="none"/>
          <w:lang w:val="en-US" w:eastAsia="zh-CN"/>
        </w:rPr>
      </w:pPr>
      <w:r>
        <w:rPr>
          <w:rFonts w:hint="eastAsia" w:ascii="宋体" w:hAnsi="宋体"/>
          <w:color w:val="auto"/>
        </w:rPr>
        <w:t>碧阿桥</w:t>
      </w:r>
      <w:r>
        <w:rPr>
          <w:rFonts w:hint="eastAsia" w:ascii="宋体" w:hAnsi="宋体"/>
          <w:color w:val="auto"/>
          <w:lang w:val="en-US" w:eastAsia="zh-CN"/>
        </w:rPr>
        <w:t>为中桥，桥梁结构为桩基础、下部为墩台柱，上部为箱梁结构，</w:t>
      </w:r>
      <w:r>
        <w:rPr>
          <w:rFonts w:hint="eastAsia" w:ascii="宋体" w:hAnsi="宋体"/>
          <w:color w:val="auto"/>
        </w:rPr>
        <w:t>位于位于省道（S218）十室公路上，桥梁中心桩号K158+686，桥梁全长85.14米，桥宽10.0米，净9米+2×0.5米</w:t>
      </w:r>
      <w:r>
        <w:rPr>
          <w:rFonts w:hint="eastAsia" w:ascii="宋体" w:hAnsi="宋体" w:cs="宋体"/>
          <w:color w:val="auto"/>
          <w:kern w:val="0"/>
          <w:szCs w:val="21"/>
          <w:highlight w:val="none"/>
          <w:u w:val="none"/>
          <w:lang w:val="en-US" w:eastAsia="zh-CN"/>
        </w:rPr>
        <w:t>。</w:t>
      </w:r>
    </w:p>
    <w:p w14:paraId="289DE629">
      <w:pPr>
        <w:spacing w:line="360" w:lineRule="auto"/>
        <w:ind w:firstLineChars="200"/>
        <w:rPr>
          <w:rFonts w:hint="eastAsia" w:ascii="宋体" w:hAnsi="宋体" w:eastAsia="宋体"/>
          <w:color w:val="auto"/>
          <w:lang w:val="en-US" w:eastAsia="zh-CN"/>
        </w:rPr>
      </w:pPr>
      <w:r>
        <w:rPr>
          <w:rFonts w:hint="eastAsia" w:ascii="宋体" w:hAnsi="宋体" w:eastAsia="宋体"/>
          <w:color w:val="auto"/>
          <w:lang w:val="en-US" w:eastAsia="zh-CN"/>
        </w:rPr>
        <w:t>注：具体工程量以招标工程量清单为准</w:t>
      </w:r>
    </w:p>
    <w:p w14:paraId="52210E2D">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color w:val="auto"/>
          <w:kern w:val="0"/>
          <w:szCs w:val="21"/>
          <w:highlight w:val="none"/>
          <w:u w:val="none"/>
          <w:lang w:val="en-US" w:eastAsia="zh-CN"/>
        </w:rPr>
      </w:pPr>
      <w:r>
        <w:rPr>
          <w:rFonts w:hint="eastAsia" w:ascii="宋体" w:hAnsi="宋体" w:cs="Arial"/>
          <w:color w:val="auto"/>
          <w:kern w:val="0"/>
          <w:szCs w:val="21"/>
          <w:highlight w:val="none"/>
          <w:u w:val="none"/>
          <w:lang w:val="en-US" w:eastAsia="zh-CN"/>
        </w:rPr>
        <w:t>2.3 计划工期：计划开工日期：2025年1月</w:t>
      </w:r>
      <w:r>
        <w:rPr>
          <w:rFonts w:hint="eastAsia" w:ascii="宋体" w:hAnsi="宋体" w:cs="Arial"/>
          <w:color w:val="auto"/>
          <w:kern w:val="0"/>
          <w:szCs w:val="21"/>
          <w:u w:val="none"/>
          <w:lang w:val="en-US" w:eastAsia="zh-CN"/>
        </w:rPr>
        <w:t>2</w:t>
      </w:r>
      <w:r>
        <w:rPr>
          <w:rFonts w:hint="eastAsia" w:ascii="宋体" w:hAnsi="宋体" w:cs="Arial"/>
          <w:color w:val="auto"/>
          <w:kern w:val="0"/>
          <w:szCs w:val="21"/>
          <w:highlight w:val="none"/>
          <w:u w:val="none"/>
          <w:lang w:val="en-US" w:eastAsia="zh-CN"/>
        </w:rPr>
        <w:t>日，计划交工日期：2025年10月31日,总</w:t>
      </w:r>
      <w:r>
        <w:rPr>
          <w:rFonts w:hint="eastAsia" w:ascii="宋体" w:hAnsi="宋体" w:cs="宋体"/>
          <w:color w:val="auto"/>
          <w:kern w:val="0"/>
          <w:szCs w:val="21"/>
          <w:highlight w:val="none"/>
          <w:u w:val="none"/>
          <w:lang w:val="en-US" w:eastAsia="zh-CN"/>
        </w:rPr>
        <w:t>工期303日历天。</w:t>
      </w:r>
    </w:p>
    <w:p w14:paraId="11672D9C">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缺陷责任期：自实际交工日期起计算2年，上述时间仅作为编制投标文件的统一标准，实际开工日期按施工合同相关条款规定执行。</w:t>
      </w:r>
    </w:p>
    <w:p w14:paraId="78836714">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2.</w:t>
      </w:r>
      <w:r>
        <w:rPr>
          <w:rFonts w:hint="eastAsia" w:ascii="宋体" w:hAnsi="宋体" w:cs="宋体"/>
          <w:color w:val="auto"/>
          <w:kern w:val="0"/>
          <w:szCs w:val="21"/>
          <w:highlight w:val="none"/>
          <w:u w:val="none"/>
          <w:lang w:val="en-US" w:eastAsia="zh-CN"/>
        </w:rPr>
        <w:t xml:space="preserve">4 </w:t>
      </w:r>
      <w:r>
        <w:rPr>
          <w:rFonts w:hint="default" w:ascii="宋体" w:hAnsi="宋体" w:eastAsia="宋体" w:cs="宋体"/>
          <w:color w:val="auto"/>
          <w:kern w:val="0"/>
          <w:szCs w:val="21"/>
          <w:highlight w:val="none"/>
          <w:u w:val="none"/>
          <w:lang w:val="en-US" w:eastAsia="zh-CN"/>
        </w:rPr>
        <w:t>招标范围：</w:t>
      </w:r>
      <w:r>
        <w:rPr>
          <w:rFonts w:hint="eastAsia" w:ascii="宋体" w:hAnsi="宋体" w:cs="宋体"/>
          <w:color w:val="auto"/>
          <w:kern w:val="0"/>
          <w:szCs w:val="21"/>
          <w:highlight w:val="none"/>
          <w:u w:val="none"/>
          <w:lang w:val="en-US" w:eastAsia="zh-CN"/>
        </w:rPr>
        <w:t>本项目工程量清单及施工图纸全部内容的施工及缺陷责任修复</w:t>
      </w:r>
      <w:r>
        <w:rPr>
          <w:rFonts w:hint="default" w:ascii="宋体" w:hAnsi="宋体" w:eastAsia="宋体" w:cs="宋体"/>
          <w:color w:val="auto"/>
          <w:kern w:val="0"/>
          <w:szCs w:val="21"/>
          <w:highlight w:val="none"/>
          <w:u w:val="none"/>
          <w:lang w:val="en-US" w:eastAsia="zh-CN"/>
        </w:rPr>
        <w:t>。</w:t>
      </w:r>
    </w:p>
    <w:p w14:paraId="472737E1">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2.</w:t>
      </w:r>
      <w:r>
        <w:rPr>
          <w:rFonts w:hint="eastAsia" w:ascii="宋体" w:hAnsi="宋体" w:cs="宋体"/>
          <w:color w:val="auto"/>
          <w:kern w:val="0"/>
          <w:szCs w:val="21"/>
          <w:highlight w:val="none"/>
          <w:u w:val="none"/>
          <w:lang w:val="en-US" w:eastAsia="zh-CN"/>
        </w:rPr>
        <w:t xml:space="preserve">5 </w:t>
      </w:r>
      <w:r>
        <w:rPr>
          <w:rFonts w:hint="default" w:ascii="宋体" w:hAnsi="宋体" w:eastAsia="宋体" w:cs="宋体"/>
          <w:color w:val="auto"/>
          <w:kern w:val="0"/>
          <w:szCs w:val="21"/>
          <w:highlight w:val="none"/>
          <w:u w:val="none"/>
          <w:lang w:val="en-US" w:eastAsia="zh-CN"/>
        </w:rPr>
        <w:t>质量要求：工程质量应符合《公路工程质量检验评定标准》（JTG F80/1-2017），竣（交）工验收依据《公路工程竣（交）工验收办法实施细则》（交公路发〔2010〕65号）规定，标段交工验收质量评定为合格；竣工验收质量评定为优良。</w:t>
      </w:r>
    </w:p>
    <w:p w14:paraId="30B46B38">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2.</w:t>
      </w:r>
      <w:r>
        <w:rPr>
          <w:rFonts w:hint="eastAsia" w:ascii="宋体" w:hAnsi="宋体" w:cs="宋体"/>
          <w:color w:val="auto"/>
          <w:kern w:val="0"/>
          <w:szCs w:val="21"/>
          <w:highlight w:val="none"/>
          <w:u w:val="none"/>
          <w:lang w:val="en-US" w:eastAsia="zh-CN"/>
        </w:rPr>
        <w:t xml:space="preserve">6 </w:t>
      </w:r>
      <w:r>
        <w:rPr>
          <w:rFonts w:hint="default" w:ascii="宋体" w:hAnsi="宋体" w:eastAsia="宋体" w:cs="宋体"/>
          <w:color w:val="auto"/>
          <w:kern w:val="0"/>
          <w:szCs w:val="21"/>
          <w:highlight w:val="none"/>
          <w:u w:val="none"/>
          <w:lang w:val="en-US" w:eastAsia="zh-CN"/>
        </w:rPr>
        <w:t>安全目标：在项目建设过程中坚决杜绝重大、特重大安全责任事故，避免发生较大安全责任事故，减少一般安全责任事故，实现安全责任事故零死亡。</w:t>
      </w:r>
    </w:p>
    <w:p w14:paraId="61F41042">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2.</w:t>
      </w:r>
      <w:r>
        <w:rPr>
          <w:rFonts w:hint="eastAsia" w:ascii="宋体" w:hAnsi="宋体" w:cs="宋体"/>
          <w:color w:val="auto"/>
          <w:kern w:val="0"/>
          <w:szCs w:val="21"/>
          <w:highlight w:val="none"/>
          <w:u w:val="none"/>
          <w:lang w:val="en-US" w:eastAsia="zh-CN"/>
        </w:rPr>
        <w:t xml:space="preserve">7 </w:t>
      </w:r>
      <w:r>
        <w:rPr>
          <w:rFonts w:hint="default" w:ascii="宋体" w:hAnsi="宋体" w:eastAsia="宋体" w:cs="宋体"/>
          <w:color w:val="auto"/>
          <w:kern w:val="0"/>
          <w:szCs w:val="21"/>
          <w:highlight w:val="none"/>
          <w:u w:val="none"/>
          <w:lang w:val="en-US" w:eastAsia="zh-CN"/>
        </w:rPr>
        <w:t>标段划分：本次招标共划分为1个施工标段</w:t>
      </w:r>
    </w:p>
    <w:p w14:paraId="55F22273">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2.</w:t>
      </w:r>
      <w:r>
        <w:rPr>
          <w:rFonts w:hint="eastAsia" w:ascii="宋体" w:hAnsi="宋体" w:cs="宋体"/>
          <w:color w:val="auto"/>
          <w:kern w:val="0"/>
          <w:szCs w:val="21"/>
          <w:highlight w:val="none"/>
          <w:u w:val="none"/>
          <w:lang w:val="en-US" w:eastAsia="zh-CN"/>
        </w:rPr>
        <w:t>8 最高投标限价</w:t>
      </w:r>
      <w:r>
        <w:rPr>
          <w:rFonts w:hint="default" w:ascii="宋体" w:hAnsi="宋体" w:eastAsia="宋体" w:cs="宋体"/>
          <w:color w:val="auto"/>
          <w:kern w:val="0"/>
          <w:szCs w:val="21"/>
          <w:highlight w:val="none"/>
          <w:u w:val="none"/>
          <w:lang w:val="en-US" w:eastAsia="zh-CN"/>
        </w:rPr>
        <w:t>：13,366,809.00元：其中：</w:t>
      </w:r>
    </w:p>
    <w:p w14:paraId="5A0FA87A">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苍山桥：4,524,556.00元</w:t>
      </w:r>
    </w:p>
    <w:p w14:paraId="604FA973">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碧水3号水泥桥：3,974,248.00元</w:t>
      </w:r>
    </w:p>
    <w:p w14:paraId="4A91EA11">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default" w:ascii="宋体" w:hAnsi="宋体" w:eastAsia="宋体" w:cs="宋体"/>
          <w:color w:val="auto"/>
          <w:kern w:val="0"/>
          <w:szCs w:val="21"/>
          <w:highlight w:val="none"/>
          <w:u w:val="none"/>
          <w:lang w:val="en-US" w:eastAsia="zh-CN"/>
        </w:rPr>
        <w:t>碧阿桥：4,868,005.00元</w:t>
      </w:r>
    </w:p>
    <w:p w14:paraId="226B30FD">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注：</w:t>
      </w:r>
      <w:r>
        <w:rPr>
          <w:rFonts w:hint="default" w:ascii="宋体" w:hAnsi="宋体" w:eastAsia="宋体" w:cs="宋体"/>
          <w:color w:val="auto"/>
          <w:kern w:val="0"/>
          <w:szCs w:val="21"/>
          <w:highlight w:val="none"/>
          <w:u w:val="none"/>
          <w:lang w:val="en-US" w:eastAsia="zh-CN"/>
        </w:rPr>
        <w:t>每座桥报价不得超过对应最高限价</w:t>
      </w:r>
    </w:p>
    <w:p w14:paraId="2DC38535">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9"/>
        <w:rPr>
          <w:rFonts w:hint="default" w:ascii="黑体" w:hAnsi="宋体" w:eastAsia="黑体"/>
          <w:b/>
          <w:lang w:val="en-US"/>
        </w:rPr>
      </w:pPr>
      <w:r>
        <w:rPr>
          <w:rFonts w:hint="default" w:ascii="黑体" w:hAnsi="宋体" w:eastAsia="黑体"/>
          <w:b/>
          <w:highlight w:val="none"/>
          <w:lang w:val="en-US"/>
        </w:rPr>
        <w:t>3.投标人资</w:t>
      </w:r>
      <w:r>
        <w:rPr>
          <w:rFonts w:hint="default" w:ascii="黑体" w:hAnsi="宋体" w:eastAsia="黑体"/>
          <w:b/>
          <w:lang w:val="en-US"/>
        </w:rPr>
        <w:t>格要求</w:t>
      </w:r>
    </w:p>
    <w:p w14:paraId="16BE2326">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仿宋"/>
          <w:b/>
          <w:sz w:val="30"/>
          <w:szCs w:val="30"/>
          <w:lang w:val="en-US"/>
        </w:rPr>
      </w:pPr>
      <w:r>
        <w:rPr>
          <w:rFonts w:hint="default" w:ascii="宋体" w:hAnsi="宋体"/>
          <w:lang w:val="en-US"/>
        </w:rPr>
        <w:t>3.1</w:t>
      </w:r>
      <w:bookmarkStart w:id="4" w:name="_Hlk87377678"/>
      <w:bookmarkEnd w:id="4"/>
      <w:r>
        <w:rPr>
          <w:rFonts w:hint="default"/>
          <w:lang w:val="en-US"/>
        </w:rPr>
        <w:t>本次招标要求投标人须具备国内独立法人资格，</w:t>
      </w:r>
      <w:r>
        <w:rPr>
          <w:rFonts w:hint="eastAsia"/>
          <w:lang w:val="en-US" w:eastAsia="zh-CN"/>
        </w:rPr>
        <w:t>持有市场监督行政管理部门颁发的有效的企业法人营业执照</w:t>
      </w:r>
      <w:r>
        <w:rPr>
          <w:rFonts w:hint="default"/>
          <w:lang w:val="en-US"/>
        </w:rPr>
        <w:t>，具有有效的安全生产许可证，并在人员、设备、资金等方面具备相应的施工能力，且同时满足下列要求：</w:t>
      </w:r>
    </w:p>
    <w:p w14:paraId="41EF2A4A">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2"/>
        <w:rPr>
          <w:rFonts w:hint="default" w:ascii="宋体" w:hAnsi="宋体" w:eastAsia="Arial"/>
          <w:b/>
          <w:bCs/>
          <w:lang w:val="en-US"/>
        </w:rPr>
      </w:pPr>
      <w:r>
        <w:rPr>
          <w:rFonts w:hint="default" w:ascii="宋体" w:hAnsi="宋体"/>
          <w:b/>
          <w:bCs/>
          <w:lang w:val="en-US"/>
        </w:rPr>
        <w:t>3.1.1</w:t>
      </w:r>
      <w:r>
        <w:rPr>
          <w:rFonts w:hint="default" w:ascii="宋体" w:hAnsi="宋体"/>
          <w:b/>
          <w:bCs/>
          <w:lang w:val="en-US" w:eastAsia="zh-CN"/>
        </w:rPr>
        <w:t xml:space="preserve"> </w:t>
      </w:r>
      <w:r>
        <w:rPr>
          <w:rFonts w:hint="default" w:ascii="Arial" w:hAnsi="Arial" w:eastAsia="宋体" w:cs="Arial"/>
          <w:b/>
          <w:bCs/>
          <w:lang w:val="en-US" w:eastAsia="zh-CN"/>
        </w:rPr>
        <w:t>投标人</w:t>
      </w:r>
      <w:r>
        <w:rPr>
          <w:rFonts w:hint="default"/>
          <w:b/>
          <w:bCs/>
          <w:lang w:val="en-US"/>
        </w:rPr>
        <w:t>资质最低要求</w:t>
      </w:r>
    </w:p>
    <w:p w14:paraId="3D787FA0">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lang w:val="en-US"/>
        </w:rPr>
      </w:pPr>
      <w:r>
        <w:rPr>
          <w:rFonts w:hint="default"/>
          <w:lang w:val="en-US"/>
        </w:rPr>
        <w:t>投标人须具备建设行政主管部门颁发的</w:t>
      </w:r>
      <w:r>
        <w:rPr>
          <w:rFonts w:hint="eastAsia"/>
          <w:lang w:val="en-US" w:eastAsia="zh-CN"/>
        </w:rPr>
        <w:t>公路工程施工总承包叁级及以上资质</w:t>
      </w:r>
      <w:r>
        <w:rPr>
          <w:rFonts w:hint="default"/>
          <w:lang w:val="en-US"/>
        </w:rPr>
        <w:t>。</w:t>
      </w:r>
    </w:p>
    <w:p w14:paraId="30BA2065">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lang w:val="en-US"/>
        </w:rPr>
      </w:pPr>
      <w:r>
        <w:rPr>
          <w:rFonts w:hint="default"/>
          <w:lang w:val="en-US"/>
        </w:rPr>
        <w:t>截止本次招标投标截止时间，具有</w:t>
      </w:r>
      <w:r>
        <w:rPr>
          <w:rFonts w:hint="default"/>
          <w:lang w:val="en-US" w:eastAsia="zh-CN"/>
        </w:rPr>
        <w:t>公路工程施工总承包叁级</w:t>
      </w:r>
      <w:r>
        <w:rPr>
          <w:rFonts w:hint="eastAsia"/>
          <w:lang w:val="en-US" w:eastAsia="zh-CN"/>
        </w:rPr>
        <w:t>及</w:t>
      </w:r>
      <w:r>
        <w:rPr>
          <w:rFonts w:hint="default"/>
          <w:lang w:val="en-US" w:eastAsia="zh-CN"/>
        </w:rPr>
        <w:t>以上资质</w:t>
      </w:r>
      <w:r>
        <w:rPr>
          <w:rFonts w:hint="default"/>
          <w:lang w:val="en-US"/>
        </w:rPr>
        <w:t>的投标人应列入交通运输部“全国公路建设市场信用信息管理系统（http</w:t>
      </w:r>
      <w:r>
        <w:rPr>
          <w:rFonts w:hint="default"/>
          <w:lang w:val="en-US" w:eastAsia="zh-CN"/>
        </w:rPr>
        <w:t>：</w:t>
      </w:r>
      <w:r>
        <w:rPr>
          <w:rFonts w:hint="default"/>
          <w:lang w:val="en-US"/>
        </w:rPr>
        <w:t>//glxy.mot.gov.cn）”中的公路工程施工资质企业名录，且投标人名称和资质与该名录中的相应企业名称和资质完全一致，否则其投标将被否决</w:t>
      </w:r>
    </w:p>
    <w:p w14:paraId="27A2266C">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2"/>
        <w:rPr>
          <w:rFonts w:hint="default" w:ascii="宋体" w:hAnsi="宋体" w:eastAsia="Arial"/>
          <w:b/>
          <w:bCs/>
          <w:lang w:val="en-US"/>
        </w:rPr>
      </w:pPr>
      <w:r>
        <w:rPr>
          <w:rFonts w:hint="default" w:ascii="宋体" w:hAnsi="宋体"/>
          <w:b/>
          <w:bCs/>
          <w:lang w:val="en-US"/>
        </w:rPr>
        <w:t>3.1.2</w:t>
      </w:r>
      <w:r>
        <w:rPr>
          <w:rFonts w:hint="eastAsia" w:ascii="宋体" w:hAnsi="宋体"/>
          <w:b/>
          <w:bCs/>
          <w:lang w:val="en-US" w:eastAsia="zh-CN"/>
        </w:rPr>
        <w:t xml:space="preserve"> </w:t>
      </w:r>
      <w:r>
        <w:rPr>
          <w:rFonts w:hint="default" w:ascii="Arial" w:hAnsi="Arial" w:eastAsia="宋体" w:cs="Arial"/>
          <w:b/>
          <w:bCs/>
          <w:lang w:val="en-US" w:eastAsia="zh-CN"/>
        </w:rPr>
        <w:t>投标人</w:t>
      </w:r>
      <w:r>
        <w:rPr>
          <w:rFonts w:hint="default"/>
          <w:b/>
          <w:bCs/>
          <w:lang w:val="en-US"/>
        </w:rPr>
        <w:t>业绩最低要求</w:t>
      </w:r>
    </w:p>
    <w:p w14:paraId="3F0B093C">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color w:val="auto"/>
          <w:highlight w:val="none"/>
          <w:lang w:val="en-US"/>
        </w:rPr>
      </w:pPr>
      <w:r>
        <w:rPr>
          <w:rFonts w:hint="default"/>
          <w:lang w:val="en-US" w:eastAsia="zh-CN"/>
        </w:rPr>
        <w:t>近五年内（</w:t>
      </w:r>
      <w:r>
        <w:rPr>
          <w:rFonts w:hint="eastAsia"/>
          <w:lang w:val="en-US" w:eastAsia="zh-CN"/>
        </w:rPr>
        <w:t>2019年11月1日</w:t>
      </w:r>
      <w:r>
        <w:rPr>
          <w:rFonts w:hint="default"/>
          <w:lang w:val="en-US" w:eastAsia="zh-CN"/>
        </w:rPr>
        <w:t>～投标文件递交截止时间止，以实际交工日期为准）</w:t>
      </w:r>
      <w:r>
        <w:rPr>
          <w:rFonts w:hint="default"/>
          <w:lang w:val="en-US"/>
        </w:rPr>
        <w:t>投标人承担过下</w:t>
      </w:r>
      <w:r>
        <w:rPr>
          <w:rFonts w:hint="default"/>
          <w:highlight w:val="none"/>
          <w:lang w:val="en-US"/>
        </w:rPr>
        <w:t>列施工项目，</w:t>
      </w:r>
      <w:r>
        <w:rPr>
          <w:rFonts w:hint="default"/>
          <w:color w:val="auto"/>
          <w:highlight w:val="none"/>
          <w:lang w:val="en-US"/>
        </w:rPr>
        <w:t>交工验收达到合格标准，且同时满足：</w:t>
      </w:r>
    </w:p>
    <w:p w14:paraId="531FFE47">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val="en-US" w:eastAsia="zh-CN"/>
        </w:rPr>
      </w:pPr>
      <w:r>
        <w:rPr>
          <w:rFonts w:hint="eastAsia"/>
          <w:color w:val="auto"/>
          <w:highlight w:val="none"/>
          <w:lang w:val="en-US" w:eastAsia="zh-CN"/>
        </w:rPr>
        <w:t>（1）累计独立完成的二级及以上公路桥梁总长度不少于500米；</w:t>
      </w:r>
    </w:p>
    <w:p w14:paraId="3803ABCF">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color w:val="auto"/>
          <w:highlight w:val="none"/>
          <w:lang w:val="en-US" w:eastAsia="zh-CN"/>
        </w:rPr>
      </w:pPr>
      <w:r>
        <w:rPr>
          <w:rFonts w:hint="eastAsia"/>
          <w:color w:val="auto"/>
          <w:highlight w:val="none"/>
          <w:lang w:val="en-US" w:eastAsia="zh-CN"/>
        </w:rPr>
        <w:t>（2）至少独立完成过1座中工程。</w:t>
      </w:r>
      <w:r>
        <w:rPr>
          <w:rFonts w:hint="default"/>
          <w:color w:val="auto"/>
          <w:highlight w:val="none"/>
          <w:lang w:val="en-US" w:eastAsia="zh-CN"/>
        </w:rPr>
        <w:t xml:space="preserve"> </w:t>
      </w:r>
    </w:p>
    <w:p w14:paraId="2C831A2B">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default" w:ascii="宋体"/>
          <w:b/>
          <w:bCs/>
          <w:color w:val="auto"/>
          <w:highlight w:val="none"/>
          <w:lang w:val="en-US"/>
        </w:rPr>
      </w:pPr>
      <w:r>
        <w:rPr>
          <w:rFonts w:hint="default"/>
          <w:b/>
          <w:bCs/>
          <w:color w:val="auto"/>
          <w:highlight w:val="none"/>
          <w:lang w:val="en-US"/>
        </w:rPr>
        <w:t>注：</w:t>
      </w:r>
      <w:r>
        <w:rPr>
          <w:rFonts w:hint="default" w:ascii="宋体" w:hAnsi="宋体" w:cs="宋体"/>
          <w:b/>
          <w:bCs/>
          <w:color w:val="auto"/>
          <w:highlight w:val="none"/>
          <w:lang w:val="en-US"/>
        </w:rPr>
        <w:t>①</w:t>
      </w:r>
      <w:r>
        <w:rPr>
          <w:rFonts w:hint="default"/>
          <w:b/>
          <w:bCs/>
          <w:color w:val="auto"/>
          <w:highlight w:val="none"/>
          <w:lang w:val="en-US"/>
        </w:rPr>
        <w:t>业绩要求中的施工项目是指新建或改扩建。</w:t>
      </w:r>
    </w:p>
    <w:p w14:paraId="3F0587AC">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rPr>
          <w:rFonts w:hint="default" w:ascii="宋体" w:eastAsia="宋体"/>
          <w:b/>
          <w:bCs/>
          <w:highlight w:val="none"/>
          <w:lang w:val="en-US" w:eastAsia="zh-CN"/>
        </w:rPr>
      </w:pPr>
      <w:r>
        <w:rPr>
          <w:rFonts w:hint="default" w:ascii="宋体" w:hAnsi="宋体" w:cs="宋体"/>
          <w:b/>
          <w:bCs/>
          <w:color w:val="auto"/>
          <w:highlight w:val="none"/>
          <w:lang w:val="en-US" w:eastAsia="zh-CN"/>
        </w:rPr>
        <w:t>②</w:t>
      </w:r>
      <w:r>
        <w:rPr>
          <w:rFonts w:hint="eastAsia" w:ascii="宋体" w:hAnsi="宋体" w:cs="宋体"/>
          <w:b/>
          <w:bCs/>
          <w:color w:val="auto"/>
          <w:highlight w:val="none"/>
          <w:lang w:val="en-US" w:eastAsia="zh-CN"/>
        </w:rPr>
        <w:t>如单个业绩能同时满足上述条件要求的，则该业绩可分别予以认定</w:t>
      </w:r>
      <w:r>
        <w:rPr>
          <w:rFonts w:hint="default" w:ascii="宋体" w:hAnsi="宋体" w:cs="宋体"/>
          <w:b/>
          <w:bCs/>
          <w:color w:val="auto"/>
          <w:highlight w:val="none"/>
          <w:lang w:val="en-US" w:eastAsia="zh-CN"/>
        </w:rPr>
        <w:t>。</w:t>
      </w:r>
    </w:p>
    <w:p w14:paraId="31042D79">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rPr>
          <w:rFonts w:hint="default"/>
          <w:b/>
          <w:bCs/>
          <w:highlight w:val="none"/>
          <w:lang w:val="en-US"/>
        </w:rPr>
      </w:pPr>
      <w:r>
        <w:rPr>
          <w:rFonts w:hint="default" w:ascii="宋体" w:hAnsi="宋体" w:cs="宋体"/>
          <w:b/>
          <w:bCs/>
          <w:highlight w:val="none"/>
          <w:lang w:val="en-US" w:eastAsia="zh-CN"/>
        </w:rPr>
        <w:t>③公路业绩则要求在交通运输部网站</w:t>
      </w:r>
      <w:r>
        <w:rPr>
          <w:rFonts w:hint="default" w:ascii="宋体" w:hAnsi="宋体"/>
          <w:b/>
          <w:bCs/>
          <w:highlight w:val="none"/>
          <w:lang w:val="en-US"/>
        </w:rPr>
        <w:t>“全国公路建设市场信用信息管理系统”中能够查询</w:t>
      </w:r>
      <w:r>
        <w:rPr>
          <w:rFonts w:hint="default"/>
          <w:b/>
          <w:bCs/>
          <w:highlight w:val="none"/>
          <w:lang w:val="en-US"/>
        </w:rPr>
        <w:t>，如果查询不到该业绩的信息或查询的信息与投标人提供的信息不一致，业绩审查时将不予认定。</w:t>
      </w:r>
    </w:p>
    <w:p w14:paraId="3AAB62F6">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2"/>
        <w:rPr>
          <w:rFonts w:hint="default" w:ascii="宋体" w:hAnsi="宋体"/>
          <w:b/>
          <w:bCs/>
          <w:lang w:val="en-US"/>
        </w:rPr>
      </w:pPr>
      <w:r>
        <w:rPr>
          <w:rFonts w:hint="default" w:ascii="宋体" w:hAnsi="宋体"/>
          <w:b/>
          <w:bCs/>
          <w:lang w:val="en-US"/>
        </w:rPr>
        <w:t>3.1.3</w:t>
      </w:r>
      <w:r>
        <w:rPr>
          <w:rFonts w:hint="eastAsia" w:ascii="宋体" w:hAnsi="宋体"/>
          <w:b/>
          <w:bCs/>
          <w:lang w:val="en-US" w:eastAsia="zh-CN"/>
        </w:rPr>
        <w:t xml:space="preserve"> </w:t>
      </w:r>
      <w:r>
        <w:rPr>
          <w:rFonts w:hint="default" w:ascii="Arial" w:hAnsi="Arial" w:eastAsia="宋体" w:cs="Arial"/>
          <w:b/>
          <w:bCs/>
          <w:lang w:val="en-US" w:eastAsia="zh-CN"/>
        </w:rPr>
        <w:t>投标人</w:t>
      </w:r>
      <w:r>
        <w:rPr>
          <w:rFonts w:hint="default"/>
          <w:b/>
          <w:bCs/>
          <w:lang w:val="en-US"/>
        </w:rPr>
        <w:t>财务最低要求</w:t>
      </w:r>
    </w:p>
    <w:p w14:paraId="740E9368">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eastAsia"/>
          <w:lang w:val="en-US" w:eastAsia="zh-CN"/>
        </w:rPr>
      </w:pPr>
      <w:r>
        <w:rPr>
          <w:rFonts w:hint="eastAsia"/>
          <w:lang w:val="en-US" w:eastAsia="zh-CN"/>
        </w:rPr>
        <w:t>（1）2023年度的流动比率（流动资产与流动负债比）大于1；</w:t>
      </w:r>
    </w:p>
    <w:p w14:paraId="47AD7EA3">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Arial"/>
          <w:lang w:val="en-US"/>
        </w:rPr>
      </w:pPr>
      <w:r>
        <w:rPr>
          <w:rFonts w:hint="eastAsia"/>
          <w:lang w:val="en-US" w:eastAsia="zh-CN"/>
        </w:rPr>
        <w:t>（2）营运资金（2023年度流动资产-2023年度流动负债+银行专为本工程出具的资金证明\银行信贷\银行保函等）不得少于投标人所申请标段最高投标限价的15%</w:t>
      </w:r>
      <w:r>
        <w:rPr>
          <w:rFonts w:hint="default"/>
          <w:lang w:val="en-US"/>
        </w:rPr>
        <w:t>。</w:t>
      </w:r>
    </w:p>
    <w:p w14:paraId="6F992EDC">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2"/>
        <w:rPr>
          <w:rFonts w:hint="default" w:ascii="宋体" w:hAnsi="宋体"/>
          <w:b/>
          <w:bCs/>
          <w:lang w:val="en-US"/>
        </w:rPr>
      </w:pPr>
      <w:r>
        <w:rPr>
          <w:rFonts w:hint="default" w:ascii="宋体" w:hAnsi="宋体"/>
          <w:b/>
          <w:bCs/>
          <w:lang w:val="en-US"/>
        </w:rPr>
        <w:t>3.1.</w:t>
      </w:r>
      <w:r>
        <w:rPr>
          <w:rFonts w:hint="default" w:ascii="宋体" w:hAnsi="宋体"/>
          <w:b/>
          <w:bCs/>
          <w:lang w:val="en-US" w:eastAsia="zh-CN"/>
        </w:rPr>
        <w:t>4</w:t>
      </w:r>
      <w:r>
        <w:rPr>
          <w:rFonts w:hint="eastAsia" w:ascii="宋体" w:hAnsi="宋体"/>
          <w:b/>
          <w:bCs/>
          <w:lang w:val="en-US" w:eastAsia="zh-CN"/>
        </w:rPr>
        <w:t xml:space="preserve"> </w:t>
      </w:r>
      <w:r>
        <w:rPr>
          <w:rFonts w:hint="default" w:ascii="Arial" w:hAnsi="Arial" w:eastAsia="宋体" w:cs="Arial"/>
          <w:b/>
          <w:bCs/>
          <w:lang w:val="en-US" w:eastAsia="zh-CN"/>
        </w:rPr>
        <w:t>投标人</w:t>
      </w:r>
      <w:r>
        <w:rPr>
          <w:rFonts w:hint="default"/>
          <w:b/>
          <w:bCs/>
          <w:lang w:val="en-US"/>
        </w:rPr>
        <w:t>项目经理和项目总工最低要求：</w:t>
      </w:r>
    </w:p>
    <w:p w14:paraId="338FEFC1">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highlight w:val="none"/>
          <w:lang w:val="en-US"/>
        </w:rPr>
      </w:pPr>
      <w:r>
        <w:rPr>
          <w:rFonts w:hint="default"/>
          <w:highlight w:val="none"/>
          <w:lang w:val="en-US" w:eastAsia="zh-CN"/>
        </w:rPr>
        <w:t>项目经理：须具备公路工程相关专业</w:t>
      </w:r>
      <w:r>
        <w:rPr>
          <w:rFonts w:hint="eastAsia"/>
          <w:highlight w:val="none"/>
          <w:lang w:val="en-US" w:eastAsia="zh-CN"/>
        </w:rPr>
        <w:t>工程师职称</w:t>
      </w:r>
      <w:r>
        <w:rPr>
          <w:rFonts w:hint="default"/>
          <w:highlight w:val="none"/>
          <w:lang w:val="en-US" w:eastAsia="zh-CN"/>
        </w:rPr>
        <w:t>，</w:t>
      </w:r>
      <w:r>
        <w:rPr>
          <w:rFonts w:hint="default" w:ascii="宋体" w:hAnsi="宋体"/>
          <w:highlight w:val="none"/>
          <w:lang w:val="en-US" w:eastAsia="zh-CN"/>
        </w:rPr>
        <w:t>持有住房和城乡建设部颁发有效的公路工程专业二级及以上建造师注册证书（注册单位名称必须与投标人名称一致）；具有有效B类安全生产考核合格证</w:t>
      </w:r>
      <w:r>
        <w:rPr>
          <w:rFonts w:hint="default"/>
          <w:highlight w:val="none"/>
          <w:lang w:val="en-US"/>
        </w:rPr>
        <w:t>。</w:t>
      </w:r>
    </w:p>
    <w:p w14:paraId="70BD2CFB">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highlight w:val="none"/>
          <w:lang w:val="en-US"/>
        </w:rPr>
      </w:pPr>
      <w:r>
        <w:rPr>
          <w:rFonts w:hint="eastAsia"/>
          <w:highlight w:val="none"/>
          <w:lang w:val="en-US" w:eastAsia="zh-CN"/>
        </w:rPr>
        <w:t>项目总工：须具备公路工程相关专业高级工程师职称</w:t>
      </w:r>
      <w:r>
        <w:rPr>
          <w:rFonts w:hint="default"/>
          <w:highlight w:val="none"/>
          <w:lang w:val="en-US" w:eastAsia="zh-CN"/>
        </w:rPr>
        <w:t>，</w:t>
      </w:r>
      <w:r>
        <w:rPr>
          <w:rFonts w:hint="default" w:ascii="宋体" w:hAnsi="宋体"/>
          <w:highlight w:val="none"/>
          <w:lang w:val="en-US"/>
        </w:rPr>
        <w:t>持有有效B类安全生产考核合格证</w:t>
      </w:r>
      <w:r>
        <w:rPr>
          <w:rFonts w:hint="default"/>
          <w:highlight w:val="none"/>
          <w:lang w:val="en-US"/>
        </w:rPr>
        <w:t>。</w:t>
      </w:r>
    </w:p>
    <w:p w14:paraId="2A5EDAC1">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highlight w:val="none"/>
          <w:lang w:val="en-US"/>
        </w:rPr>
      </w:pPr>
      <w:r>
        <w:rPr>
          <w:rFonts w:hint="default"/>
          <w:highlight w:val="none"/>
          <w:lang w:val="en-US"/>
        </w:rPr>
        <w:t>注：公路工程相关专业包括公路工程、桥梁工程、公路与桥梁工程、</w:t>
      </w:r>
      <w:r>
        <w:rPr>
          <w:rFonts w:hint="default"/>
          <w:highlight w:val="none"/>
          <w:lang w:val="en-US" w:eastAsia="zh-CN"/>
        </w:rPr>
        <w:t>道路与桥梁工程、</w:t>
      </w:r>
      <w:r>
        <w:rPr>
          <w:rFonts w:hint="default"/>
          <w:highlight w:val="none"/>
          <w:lang w:val="en-US"/>
        </w:rPr>
        <w:t>交通土建、交通工程</w:t>
      </w:r>
      <w:r>
        <w:rPr>
          <w:rFonts w:hint="default"/>
          <w:highlight w:val="none"/>
          <w:lang w:val="en-US" w:eastAsia="zh-CN"/>
        </w:rPr>
        <w:t>、道桥工程</w:t>
      </w:r>
      <w:r>
        <w:rPr>
          <w:rFonts w:hint="default"/>
          <w:highlight w:val="none"/>
          <w:lang w:val="en-US"/>
        </w:rPr>
        <w:t>等专业。</w:t>
      </w:r>
    </w:p>
    <w:p w14:paraId="01C93D7A">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highlight w:val="none"/>
          <w:lang w:val="en-US"/>
        </w:rPr>
      </w:pPr>
      <w:r>
        <w:rPr>
          <w:rFonts w:hint="default" w:ascii="宋体" w:hAnsi="宋体"/>
          <w:highlight w:val="none"/>
          <w:lang w:val="en-US"/>
        </w:rPr>
        <w:t>3.2</w:t>
      </w:r>
      <w:r>
        <w:rPr>
          <w:rFonts w:hint="eastAsia" w:ascii="宋体" w:hAnsi="宋体"/>
          <w:highlight w:val="none"/>
          <w:lang w:val="en-US" w:eastAsia="zh-CN"/>
        </w:rPr>
        <w:t xml:space="preserve"> </w:t>
      </w:r>
      <w:r>
        <w:rPr>
          <w:rFonts w:hint="default"/>
          <w:highlight w:val="none"/>
          <w:lang w:val="en-US"/>
        </w:rPr>
        <w:t>本次招标不接受</w:t>
      </w:r>
      <w:r>
        <w:rPr>
          <w:rFonts w:hint="eastAsia"/>
          <w:highlight w:val="none"/>
          <w:lang w:val="en-US" w:eastAsia="zh-CN"/>
        </w:rPr>
        <w:t>黑龙江省交通运输厅2023年</w:t>
      </w:r>
      <w:r>
        <w:rPr>
          <w:rFonts w:hint="default"/>
          <w:highlight w:val="none"/>
          <w:lang w:val="en-US"/>
        </w:rPr>
        <w:t>度公路施工企业信用评价或</w:t>
      </w:r>
      <w:r>
        <w:rPr>
          <w:rFonts w:hint="eastAsia"/>
          <w:highlight w:val="none"/>
          <w:lang w:val="en-US" w:eastAsia="zh-CN"/>
        </w:rPr>
        <w:t>交通运输部2023年度</w:t>
      </w:r>
      <w:r>
        <w:rPr>
          <w:rFonts w:hint="default" w:ascii="宋体" w:hAnsi="宋体"/>
          <w:highlight w:val="none"/>
          <w:lang w:val="en-US"/>
        </w:rPr>
        <w:t>公路建设市场全国综合信用评价被认定为D级的投标人投标</w:t>
      </w:r>
      <w:r>
        <w:rPr>
          <w:rFonts w:hint="default"/>
          <w:highlight w:val="none"/>
          <w:lang w:val="en-US"/>
        </w:rPr>
        <w:t>。</w:t>
      </w:r>
    </w:p>
    <w:p w14:paraId="71EDB13F">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outlineLvl w:val="3"/>
        <w:rPr>
          <w:rFonts w:hint="default" w:ascii="宋体" w:hAnsi="宋体"/>
          <w:highlight w:val="none"/>
          <w:lang w:val="en-US"/>
        </w:rPr>
      </w:pPr>
      <w:r>
        <w:rPr>
          <w:rFonts w:hint="default" w:ascii="宋体" w:hAnsi="宋体"/>
          <w:highlight w:val="none"/>
          <w:lang w:val="en-US"/>
        </w:rPr>
        <w:t>3.3</w:t>
      </w:r>
      <w:r>
        <w:rPr>
          <w:rFonts w:hint="eastAsia" w:ascii="宋体" w:hAnsi="宋体"/>
          <w:highlight w:val="none"/>
          <w:lang w:val="en-US" w:eastAsia="zh-CN"/>
        </w:rPr>
        <w:t xml:space="preserve"> </w:t>
      </w:r>
      <w:r>
        <w:rPr>
          <w:rFonts w:hint="default"/>
          <w:highlight w:val="none"/>
          <w:lang w:val="en-US"/>
        </w:rPr>
        <w:t>本项目</w:t>
      </w:r>
      <w:r>
        <w:rPr>
          <w:rFonts w:hint="default" w:ascii="宋体" w:hAnsi="宋体"/>
          <w:highlight w:val="none"/>
          <w:lang w:val="en-US"/>
        </w:rPr>
        <w:t>不</w:t>
      </w:r>
      <w:r>
        <w:rPr>
          <w:rFonts w:hint="default"/>
          <w:highlight w:val="none"/>
          <w:lang w:val="en-US"/>
        </w:rPr>
        <w:t>接受联合体投</w:t>
      </w:r>
      <w:r>
        <w:rPr>
          <w:rFonts w:hint="default" w:ascii="宋体" w:hAnsi="宋体"/>
          <w:highlight w:val="none"/>
          <w:lang w:val="en-US"/>
        </w:rPr>
        <w:t>标。</w:t>
      </w:r>
      <w:bookmarkStart w:id="22" w:name="_GoBack"/>
      <w:bookmarkEnd w:id="22"/>
    </w:p>
    <w:p w14:paraId="4BA97DBC">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highlight w:val="none"/>
          <w:lang w:val="en-US"/>
        </w:rPr>
      </w:pPr>
      <w:r>
        <w:rPr>
          <w:rFonts w:hint="default" w:ascii="宋体" w:hAnsi="宋体" w:eastAsia="宋体" w:cs="宋体"/>
          <w:highlight w:val="none"/>
          <w:lang w:val="en-US"/>
        </w:rPr>
        <w:t>3.</w:t>
      </w:r>
      <w:r>
        <w:rPr>
          <w:rFonts w:hint="default" w:ascii="宋体" w:hAnsi="宋体" w:eastAsia="宋体" w:cs="宋体"/>
          <w:highlight w:val="none"/>
          <w:lang w:val="en-US" w:eastAsia="zh-CN"/>
        </w:rPr>
        <w:t>4</w:t>
      </w:r>
      <w:r>
        <w:rPr>
          <w:rFonts w:hint="eastAsia" w:ascii="宋体" w:hAnsi="宋体" w:cs="宋体"/>
          <w:highlight w:val="none"/>
          <w:lang w:val="en-US" w:eastAsia="zh-CN"/>
        </w:rPr>
        <w:t xml:space="preserve"> </w:t>
      </w:r>
      <w:r>
        <w:rPr>
          <w:rFonts w:hint="default" w:ascii="宋体" w:hAnsi="宋体" w:eastAsia="宋体" w:cs="宋体"/>
          <w:highlight w:val="none"/>
          <w:lang w:val="en-US"/>
        </w:rPr>
        <w:t>与招标人存在利害关系可能影响招标公正性的单位，不得参加投标。单位负责人为同一人或存在控股、管理关系的不同单位，不得同时参加同一标段投标，否则，相关投标均无效。</w:t>
      </w:r>
    </w:p>
    <w:p w14:paraId="0E6D367E">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highlight w:val="none"/>
          <w:lang w:val="en-US"/>
        </w:rPr>
      </w:pPr>
      <w:bookmarkStart w:id="5" w:name="_Toc240604809"/>
      <w:bookmarkEnd w:id="5"/>
      <w:bookmarkStart w:id="6" w:name="_Toc234382573"/>
      <w:bookmarkEnd w:id="6"/>
      <w:r>
        <w:rPr>
          <w:rFonts w:hint="default" w:ascii="宋体" w:hAnsi="宋体" w:eastAsia="宋体" w:cs="宋体"/>
          <w:highlight w:val="none"/>
          <w:lang w:val="en-US"/>
        </w:rPr>
        <w:t>3.</w:t>
      </w:r>
      <w:r>
        <w:rPr>
          <w:rFonts w:hint="default" w:ascii="宋体" w:hAnsi="宋体" w:eastAsia="宋体" w:cs="宋体"/>
          <w:highlight w:val="none"/>
          <w:lang w:val="en-US" w:eastAsia="zh-CN"/>
        </w:rPr>
        <w:t>5</w:t>
      </w:r>
      <w:r>
        <w:rPr>
          <w:rFonts w:hint="default" w:ascii="宋体" w:hAnsi="宋体" w:eastAsia="宋体" w:cs="宋体"/>
          <w:highlight w:val="none"/>
          <w:lang w:val="en-US"/>
        </w:rPr>
        <w:t>.1</w:t>
      </w:r>
      <w:r>
        <w:rPr>
          <w:rFonts w:hint="eastAsia" w:ascii="宋体" w:hAnsi="宋体" w:cs="宋体"/>
          <w:highlight w:val="none"/>
          <w:lang w:val="en-US" w:eastAsia="zh-CN"/>
        </w:rPr>
        <w:t xml:space="preserve"> </w:t>
      </w:r>
      <w:r>
        <w:rPr>
          <w:rFonts w:hint="default" w:ascii="宋体" w:hAnsi="宋体" w:eastAsia="宋体" w:cs="宋体"/>
          <w:highlight w:val="none"/>
          <w:lang w:val="en-US" w:eastAsia="zh-CN"/>
        </w:rPr>
        <w:t>近三年（2021年1月1日至递交投标文件截止日）内</w:t>
      </w:r>
      <w:r>
        <w:rPr>
          <w:rFonts w:hint="default" w:ascii="宋体" w:hAnsi="宋体" w:eastAsia="宋体" w:cs="宋体"/>
          <w:highlight w:val="none"/>
          <w:lang w:val="en-US"/>
        </w:rPr>
        <w:t>，投标人不得有拖欠农民工工资行为。</w:t>
      </w:r>
    </w:p>
    <w:p w14:paraId="3EB201CA">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highlight w:val="none"/>
          <w:lang w:val="en-US"/>
        </w:rPr>
      </w:pPr>
      <w:r>
        <w:rPr>
          <w:rFonts w:hint="default" w:ascii="宋体" w:hAnsi="宋体" w:eastAsia="宋体" w:cs="宋体"/>
          <w:highlight w:val="none"/>
          <w:lang w:val="en-US"/>
        </w:rPr>
        <w:t>3.</w:t>
      </w:r>
      <w:r>
        <w:rPr>
          <w:rFonts w:hint="default" w:ascii="宋体" w:hAnsi="宋体" w:eastAsia="宋体" w:cs="宋体"/>
          <w:highlight w:val="none"/>
          <w:lang w:val="en-US" w:eastAsia="zh-CN"/>
        </w:rPr>
        <w:t>5</w:t>
      </w:r>
      <w:r>
        <w:rPr>
          <w:rFonts w:hint="default" w:ascii="宋体" w:hAnsi="宋体" w:eastAsia="宋体" w:cs="宋体"/>
          <w:highlight w:val="none"/>
          <w:lang w:val="en-US"/>
        </w:rPr>
        <w:t>.2</w:t>
      </w:r>
      <w:r>
        <w:rPr>
          <w:rFonts w:hint="eastAsia" w:ascii="宋体" w:hAnsi="宋体" w:cs="宋体"/>
          <w:highlight w:val="none"/>
          <w:lang w:val="en-US" w:eastAsia="zh-CN"/>
        </w:rPr>
        <w:t xml:space="preserve"> </w:t>
      </w:r>
      <w:r>
        <w:rPr>
          <w:rFonts w:hint="default" w:ascii="宋体" w:hAnsi="宋体" w:eastAsia="宋体" w:cs="宋体"/>
          <w:highlight w:val="none"/>
          <w:lang w:val="en-US" w:eastAsia="zh-CN"/>
        </w:rPr>
        <w:t>近三年（2021年1月1日至递交投标文件截止日）内</w:t>
      </w:r>
      <w:r>
        <w:rPr>
          <w:rFonts w:hint="default" w:ascii="宋体" w:hAnsi="宋体" w:eastAsia="宋体" w:cs="宋体"/>
          <w:highlight w:val="none"/>
          <w:lang w:val="en-US"/>
        </w:rPr>
        <w:t>，投标人不得有重大质量、安全责任事故。</w:t>
      </w:r>
    </w:p>
    <w:p w14:paraId="63993EA8">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highlight w:val="none"/>
          <w:lang w:val="en-US"/>
        </w:rPr>
      </w:pPr>
      <w:r>
        <w:rPr>
          <w:rFonts w:hint="default" w:ascii="宋体" w:hAnsi="宋体" w:eastAsia="宋体" w:cs="宋体"/>
          <w:highlight w:val="none"/>
          <w:lang w:val="en-US"/>
        </w:rPr>
        <w:t>3.</w:t>
      </w:r>
      <w:r>
        <w:rPr>
          <w:rFonts w:hint="default" w:ascii="宋体" w:hAnsi="宋体" w:eastAsia="宋体" w:cs="宋体"/>
          <w:highlight w:val="none"/>
          <w:lang w:val="en-US" w:eastAsia="zh-CN"/>
        </w:rPr>
        <w:t>5</w:t>
      </w:r>
      <w:r>
        <w:rPr>
          <w:rFonts w:hint="default" w:ascii="宋体" w:hAnsi="宋体" w:eastAsia="宋体" w:cs="宋体"/>
          <w:highlight w:val="none"/>
          <w:lang w:val="en-US"/>
        </w:rPr>
        <w:t>.3</w:t>
      </w:r>
      <w:r>
        <w:rPr>
          <w:rFonts w:hint="eastAsia" w:ascii="宋体" w:hAnsi="宋体" w:cs="宋体"/>
          <w:highlight w:val="none"/>
          <w:lang w:val="en-US" w:eastAsia="zh-CN"/>
        </w:rPr>
        <w:t xml:space="preserve"> </w:t>
      </w:r>
      <w:r>
        <w:rPr>
          <w:rFonts w:hint="default" w:ascii="宋体" w:hAnsi="宋体" w:eastAsia="宋体" w:cs="宋体"/>
          <w:highlight w:val="none"/>
          <w:lang w:val="en-US" w:eastAsia="zh-CN"/>
        </w:rPr>
        <w:t>近三年（2021年1月1日至递交投标文件截止日）内</w:t>
      </w:r>
      <w:r>
        <w:rPr>
          <w:rFonts w:hint="default" w:ascii="宋体" w:hAnsi="宋体" w:eastAsia="宋体" w:cs="宋体"/>
          <w:highlight w:val="none"/>
          <w:lang w:val="en-US"/>
        </w:rPr>
        <w:t>，投标人不得在合同中违约、被驱逐出现场、亦未曾因任何原因而被废除合同。</w:t>
      </w:r>
    </w:p>
    <w:p w14:paraId="367C0A72">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highlight w:val="none"/>
          <w:lang w:val="en-US"/>
        </w:rPr>
      </w:pPr>
      <w:r>
        <w:rPr>
          <w:rFonts w:hint="default" w:ascii="宋体" w:hAnsi="宋体" w:eastAsia="宋体" w:cs="宋体"/>
          <w:highlight w:val="none"/>
          <w:lang w:val="en-US"/>
        </w:rPr>
        <w:t>3.</w:t>
      </w:r>
      <w:r>
        <w:rPr>
          <w:rFonts w:hint="default" w:ascii="宋体" w:hAnsi="宋体" w:eastAsia="宋体" w:cs="宋体"/>
          <w:highlight w:val="none"/>
          <w:lang w:val="en-US" w:eastAsia="zh-CN"/>
        </w:rPr>
        <w:t>5</w:t>
      </w:r>
      <w:r>
        <w:rPr>
          <w:rFonts w:hint="default" w:ascii="宋体" w:hAnsi="宋体" w:eastAsia="宋体" w:cs="宋体"/>
          <w:highlight w:val="none"/>
          <w:lang w:val="en-US"/>
        </w:rPr>
        <w:t>.4</w:t>
      </w:r>
      <w:r>
        <w:rPr>
          <w:rFonts w:hint="eastAsia" w:ascii="宋体" w:hAnsi="宋体" w:cs="宋体"/>
          <w:highlight w:val="none"/>
          <w:lang w:val="en-US" w:eastAsia="zh-CN"/>
        </w:rPr>
        <w:t xml:space="preserve"> </w:t>
      </w:r>
      <w:r>
        <w:rPr>
          <w:rFonts w:hint="default" w:ascii="宋体" w:hAnsi="宋体" w:eastAsia="宋体" w:cs="宋体"/>
          <w:highlight w:val="none"/>
          <w:lang w:val="en-US" w:eastAsia="zh-CN"/>
        </w:rPr>
        <w:t>近三年（2021年1月1日至递交投标文件截止日）内</w:t>
      </w:r>
      <w:r>
        <w:rPr>
          <w:rFonts w:hint="default" w:ascii="宋体" w:hAnsi="宋体" w:eastAsia="宋体" w:cs="宋体"/>
          <w:highlight w:val="none"/>
          <w:lang w:val="en-US"/>
        </w:rPr>
        <w:t>，投标人不得存在交通运输部或黑龙江省交通运输厅取消投标资格并处于处罚有效期的情况。</w:t>
      </w:r>
    </w:p>
    <w:p w14:paraId="56C92C8F">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highlight w:val="none"/>
          <w:lang w:val="en-US"/>
        </w:rPr>
      </w:pPr>
      <w:r>
        <w:rPr>
          <w:rFonts w:hint="default" w:ascii="宋体" w:hAnsi="宋体" w:eastAsia="宋体" w:cs="宋体"/>
          <w:highlight w:val="none"/>
          <w:lang w:val="en-US"/>
        </w:rPr>
        <w:t>3.</w:t>
      </w:r>
      <w:r>
        <w:rPr>
          <w:rFonts w:hint="default" w:ascii="宋体" w:hAnsi="宋体" w:eastAsia="宋体" w:cs="宋体"/>
          <w:highlight w:val="none"/>
          <w:lang w:val="en-US" w:eastAsia="zh-CN"/>
        </w:rPr>
        <w:t>5</w:t>
      </w:r>
      <w:r>
        <w:rPr>
          <w:rFonts w:hint="default" w:ascii="宋体" w:hAnsi="宋体" w:eastAsia="宋体" w:cs="宋体"/>
          <w:highlight w:val="none"/>
          <w:lang w:val="en-US"/>
        </w:rPr>
        <w:t>.5</w:t>
      </w:r>
      <w:r>
        <w:rPr>
          <w:rFonts w:hint="eastAsia" w:ascii="宋体" w:hAnsi="宋体" w:cs="宋体"/>
          <w:highlight w:val="none"/>
          <w:lang w:val="en-US" w:eastAsia="zh-CN"/>
        </w:rPr>
        <w:t xml:space="preserve"> </w:t>
      </w:r>
      <w:r>
        <w:rPr>
          <w:rFonts w:hint="default" w:ascii="宋体" w:hAnsi="宋体" w:eastAsia="宋体" w:cs="宋体"/>
          <w:highlight w:val="none"/>
          <w:lang w:val="en-US"/>
        </w:rPr>
        <w:t xml:space="preserve">投标人需对投标单位、法定代表人和项目经理、项目总工进行行贿犯罪档案查询工作，有行贿犯罪行为的（行贿犯罪行为的认定以投标人提供的在中国裁判文书（ </w:t>
      </w:r>
      <w:r>
        <w:rPr>
          <w:rFonts w:hint="default" w:ascii="宋体" w:hAnsi="宋体" w:eastAsia="宋体" w:cs="宋体"/>
          <w:highlight w:val="none"/>
          <w:lang w:val="en-US"/>
        </w:rPr>
        <w:fldChar w:fldCharType="begin"/>
      </w:r>
      <w:r>
        <w:rPr>
          <w:rFonts w:hint="default" w:ascii="宋体" w:hAnsi="宋体" w:eastAsia="宋体" w:cs="宋体"/>
          <w:highlight w:val="none"/>
          <w:lang w:val="en-US"/>
        </w:rPr>
        <w:instrText xml:space="preserve"> HYPERLINK "http://wenshu.court.gov.cn" </w:instrText>
      </w:r>
      <w:r>
        <w:rPr>
          <w:rFonts w:hint="default" w:ascii="宋体" w:hAnsi="宋体" w:eastAsia="宋体" w:cs="宋体"/>
          <w:highlight w:val="none"/>
          <w:lang w:val="en-US"/>
        </w:rPr>
        <w:fldChar w:fldCharType="separate"/>
      </w:r>
      <w:r>
        <w:rPr>
          <w:rFonts w:hint="default" w:ascii="宋体" w:hAnsi="宋体" w:eastAsia="宋体" w:cs="宋体"/>
          <w:highlight w:val="none"/>
          <w:lang w:val="en-US"/>
        </w:rPr>
        <w:t>http://wenshu.court.gov.cn</w:t>
      </w:r>
      <w:r>
        <w:rPr>
          <w:rFonts w:hint="default" w:ascii="宋体" w:hAnsi="宋体" w:eastAsia="宋体" w:cs="宋体"/>
          <w:highlight w:val="none"/>
          <w:lang w:val="en-US"/>
        </w:rPr>
        <w:fldChar w:fldCharType="end"/>
      </w:r>
      <w:r>
        <w:rPr>
          <w:rFonts w:hint="default" w:ascii="宋体" w:hAnsi="宋体" w:eastAsia="宋体" w:cs="宋体"/>
          <w:highlight w:val="none"/>
          <w:lang w:val="en-US"/>
        </w:rPr>
        <w:t xml:space="preserve"> /）网站上无行贿犯罪查询记录的承诺函为准）；</w:t>
      </w:r>
    </w:p>
    <w:p w14:paraId="38365A8E">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highlight w:val="none"/>
          <w:lang w:val="en-US"/>
        </w:rPr>
      </w:pPr>
      <w:r>
        <w:rPr>
          <w:rFonts w:hint="default" w:ascii="宋体" w:hAnsi="宋体" w:eastAsia="宋体" w:cs="宋体"/>
          <w:highlight w:val="none"/>
          <w:lang w:val="en-US"/>
        </w:rPr>
        <w:t>3.</w:t>
      </w:r>
      <w:r>
        <w:rPr>
          <w:rFonts w:hint="default" w:ascii="宋体" w:hAnsi="宋体" w:eastAsia="宋体" w:cs="宋体"/>
          <w:highlight w:val="none"/>
          <w:lang w:val="en-US" w:eastAsia="zh-CN"/>
        </w:rPr>
        <w:t>5</w:t>
      </w:r>
      <w:r>
        <w:rPr>
          <w:rFonts w:hint="default" w:ascii="宋体" w:hAnsi="宋体" w:eastAsia="宋体" w:cs="宋体"/>
          <w:highlight w:val="none"/>
          <w:lang w:val="en-US"/>
        </w:rPr>
        <w:t>.6</w:t>
      </w:r>
      <w:r>
        <w:rPr>
          <w:rFonts w:hint="eastAsia" w:ascii="宋体" w:hAnsi="宋体" w:cs="宋体"/>
          <w:highlight w:val="none"/>
          <w:lang w:val="en-US" w:eastAsia="zh-CN"/>
        </w:rPr>
        <w:t xml:space="preserve"> </w:t>
      </w:r>
      <w:r>
        <w:rPr>
          <w:rFonts w:hint="default" w:ascii="宋体" w:hAnsi="宋体" w:eastAsia="宋体" w:cs="宋体"/>
          <w:highlight w:val="none"/>
          <w:lang w:val="en-US"/>
        </w:rPr>
        <w:t>根据最高人民法院等九部委颁布的《关于在招标投标活动中对失信被执行人实施联合惩戒的通知》(法（2016）285号)，被最高人民法院在“信用</w:t>
      </w:r>
      <w:r>
        <w:rPr>
          <w:rFonts w:hint="default" w:ascii="宋体" w:hAnsi="宋体" w:eastAsia="宋体" w:cs="宋体"/>
          <w:highlight w:val="none"/>
          <w:lang w:val="en-US"/>
        </w:rPr>
        <w:fldChar w:fldCharType="begin"/>
      </w:r>
      <w:r>
        <w:rPr>
          <w:rFonts w:hint="default" w:ascii="宋体" w:hAnsi="宋体" w:eastAsia="宋体" w:cs="宋体"/>
          <w:highlight w:val="none"/>
          <w:lang w:val="en-US"/>
        </w:rPr>
        <w:instrText xml:space="preserve"> HYPERLINK "http://www.creditchina.gov.cn/" </w:instrText>
      </w:r>
      <w:r>
        <w:rPr>
          <w:rFonts w:hint="default" w:ascii="宋体" w:hAnsi="宋体" w:eastAsia="宋体" w:cs="宋体"/>
          <w:highlight w:val="none"/>
          <w:lang w:val="en-US"/>
        </w:rPr>
        <w:fldChar w:fldCharType="separate"/>
      </w:r>
      <w:r>
        <w:rPr>
          <w:rFonts w:hint="default" w:ascii="宋体" w:hAnsi="宋体" w:eastAsia="宋体" w:cs="宋体"/>
          <w:highlight w:val="none"/>
          <w:lang w:val="en-US"/>
        </w:rPr>
        <w:t>中国”网站（w</w:t>
      </w:r>
      <w:r>
        <w:rPr>
          <w:rFonts w:hint="default" w:ascii="宋体" w:hAnsi="宋体" w:eastAsia="宋体" w:cs="宋体"/>
          <w:highlight w:val="none"/>
          <w:lang w:val="en-US"/>
        </w:rPr>
        <w:fldChar w:fldCharType="end"/>
      </w:r>
      <w:r>
        <w:rPr>
          <w:rFonts w:hint="default" w:ascii="宋体" w:hAnsi="宋体" w:eastAsia="宋体" w:cs="宋体"/>
          <w:highlight w:val="none"/>
          <w:lang w:val="en-US"/>
        </w:rPr>
        <w:t>w</w:t>
      </w:r>
      <w:r>
        <w:rPr>
          <w:rFonts w:hint="default" w:ascii="宋体" w:hAnsi="宋体" w:eastAsia="宋体" w:cs="宋体"/>
          <w:highlight w:val="none"/>
          <w:lang w:val="en-US"/>
        </w:rPr>
        <w:fldChar w:fldCharType="begin"/>
      </w:r>
      <w:r>
        <w:rPr>
          <w:rFonts w:hint="default" w:ascii="宋体" w:hAnsi="宋体" w:eastAsia="宋体" w:cs="宋体"/>
          <w:highlight w:val="none"/>
          <w:lang w:val="en-US"/>
        </w:rPr>
        <w:instrText xml:space="preserve"> HYPERLINK "http://www.creditchina.gov.cn/" </w:instrText>
      </w:r>
      <w:r>
        <w:rPr>
          <w:rFonts w:hint="default" w:ascii="宋体" w:hAnsi="宋体" w:eastAsia="宋体" w:cs="宋体"/>
          <w:highlight w:val="none"/>
          <w:lang w:val="en-US"/>
        </w:rPr>
        <w:fldChar w:fldCharType="separate"/>
      </w:r>
      <w:r>
        <w:rPr>
          <w:rFonts w:hint="default" w:ascii="宋体" w:hAnsi="宋体" w:eastAsia="宋体" w:cs="宋体"/>
          <w:highlight w:val="none"/>
          <w:lang w:val="en-US"/>
        </w:rPr>
        <w:t>w.creditchina.gov.c</w:t>
      </w:r>
      <w:r>
        <w:rPr>
          <w:rFonts w:hint="default" w:ascii="宋体" w:hAnsi="宋体" w:eastAsia="宋体" w:cs="宋体"/>
          <w:highlight w:val="none"/>
          <w:lang w:val="en-US"/>
        </w:rPr>
        <w:fldChar w:fldCharType="end"/>
      </w:r>
      <w:r>
        <w:rPr>
          <w:rFonts w:hint="default" w:ascii="宋体" w:hAnsi="宋体" w:eastAsia="宋体" w:cs="宋体"/>
          <w:highlight w:val="none"/>
          <w:lang w:val="en-US"/>
        </w:rPr>
        <w:t>n）中列入失信被执行人名单的投标人[包括投标人及其法定代表人、项目经理和项目总工，所递交的投标文件作否决投标处理。</w:t>
      </w:r>
    </w:p>
    <w:p w14:paraId="49776239">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lang w:val="en-US"/>
        </w:rPr>
      </w:pPr>
      <w:r>
        <w:rPr>
          <w:rFonts w:hint="default" w:ascii="宋体" w:hAnsi="宋体" w:eastAsia="宋体" w:cs="宋体"/>
          <w:lang w:val="en-US"/>
        </w:rPr>
        <w:t>3.</w:t>
      </w:r>
      <w:r>
        <w:rPr>
          <w:rFonts w:hint="default" w:ascii="宋体" w:hAnsi="宋体" w:eastAsia="宋体" w:cs="宋体"/>
          <w:lang w:val="en-US" w:eastAsia="zh-CN"/>
        </w:rPr>
        <w:t>6</w:t>
      </w:r>
      <w:r>
        <w:rPr>
          <w:rFonts w:hint="eastAsia" w:ascii="宋体" w:hAnsi="宋体" w:cs="宋体"/>
          <w:lang w:val="en-US" w:eastAsia="zh-CN"/>
        </w:rPr>
        <w:t xml:space="preserve"> </w:t>
      </w:r>
      <w:r>
        <w:rPr>
          <w:rFonts w:hint="default" w:ascii="宋体" w:hAnsi="宋体" w:eastAsia="宋体" w:cs="宋体"/>
          <w:lang w:val="en-US"/>
        </w:rPr>
        <w:t>本次招标评标采用</w:t>
      </w:r>
      <w:r>
        <w:rPr>
          <w:rFonts w:hint="default" w:ascii="宋体" w:hAnsi="宋体" w:eastAsia="宋体" w:cs="宋体"/>
          <w:b/>
          <w:lang w:val="en-US"/>
        </w:rPr>
        <w:t>技术评分最低标价法</w:t>
      </w:r>
      <w:r>
        <w:rPr>
          <w:rFonts w:hint="default" w:ascii="宋体" w:hAnsi="宋体" w:eastAsia="宋体" w:cs="宋体"/>
          <w:lang w:val="en-US"/>
        </w:rPr>
        <w:t>，对投标人的资格审查采用资格后审的方式。</w:t>
      </w:r>
    </w:p>
    <w:p w14:paraId="3E4D8824">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1"/>
        <w:rPr>
          <w:rFonts w:hint="default" w:ascii="黑体" w:hAnsi="宋体" w:eastAsia="黑体"/>
          <w:b/>
          <w:lang w:val="en-US"/>
        </w:rPr>
      </w:pPr>
      <w:r>
        <w:rPr>
          <w:rFonts w:hint="default" w:ascii="黑体" w:hAnsi="宋体" w:eastAsia="黑体"/>
          <w:b/>
          <w:lang w:val="en-US"/>
        </w:rPr>
        <w:t>4.招标文件的获取</w:t>
      </w:r>
    </w:p>
    <w:p w14:paraId="53627A99">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Arial" w:cs="MingLiU"/>
          <w:bCs/>
          <w:color w:val="auto"/>
          <w:lang w:val="en-US"/>
        </w:rPr>
      </w:pPr>
      <w:r>
        <w:rPr>
          <w:rFonts w:hint="default" w:ascii="宋体" w:hAnsi="宋体"/>
          <w:bCs/>
          <w:lang w:val="en-US"/>
        </w:rPr>
        <w:t>4.1</w:t>
      </w:r>
      <w:r>
        <w:rPr>
          <w:rFonts w:hint="eastAsia" w:ascii="宋体" w:hAnsi="宋体"/>
          <w:bCs/>
          <w:lang w:val="en-US" w:eastAsia="zh-CN"/>
        </w:rPr>
        <w:t xml:space="preserve"> </w:t>
      </w:r>
      <w:r>
        <w:rPr>
          <w:rFonts w:hint="default"/>
          <w:lang w:val="en-US"/>
        </w:rPr>
        <w:t>凡有意参加投标者，请在“黑龙江公共资源交易网”（</w:t>
      </w:r>
      <w:r>
        <w:rPr>
          <w:rFonts w:hint="eastAsia" w:ascii="宋体" w:hAnsi="宋体" w:eastAsia="宋体"/>
          <w:lang w:val="en-US" w:eastAsia="zh-CN"/>
        </w:rPr>
        <w:t>https://ggzyjyw.hlj.gov.cn/</w:t>
      </w:r>
      <w:r>
        <w:rPr>
          <w:rFonts w:hint="default"/>
          <w:lang w:val="en-US"/>
        </w:rPr>
        <w:t>）进行用户注册、办理数字证书，使用数字证书登录“黑龙江公共资源交易网”，选择相应项目，明确所投标段，在线下载招标文件等资料。下载时</w:t>
      </w:r>
      <w:r>
        <w:rPr>
          <w:rFonts w:hint="default"/>
          <w:color w:val="auto"/>
          <w:lang w:val="en-US"/>
        </w:rPr>
        <w:t>间为</w:t>
      </w:r>
      <w:r>
        <w:rPr>
          <w:rFonts w:hint="default" w:ascii="宋体" w:hAnsi="宋体"/>
          <w:color w:val="auto"/>
          <w:highlight w:val="none"/>
          <w:lang w:val="en-US" w:eastAsia="zh-CN"/>
        </w:rPr>
        <w:t>2024年</w:t>
      </w:r>
      <w:r>
        <w:rPr>
          <w:rFonts w:hint="eastAsia" w:ascii="宋体" w:hAnsi="宋体"/>
          <w:color w:val="auto"/>
          <w:highlight w:val="none"/>
          <w:lang w:val="en-US" w:eastAsia="zh-CN"/>
        </w:rPr>
        <w:t>12</w:t>
      </w:r>
      <w:r>
        <w:rPr>
          <w:rFonts w:hint="default" w:ascii="宋体" w:hAnsi="宋体"/>
          <w:color w:val="auto"/>
          <w:highlight w:val="none"/>
          <w:lang w:val="en-US" w:eastAsia="zh-CN"/>
        </w:rPr>
        <w:t>月</w:t>
      </w:r>
      <w:r>
        <w:rPr>
          <w:rFonts w:hint="eastAsia" w:ascii="宋体" w:hAnsi="宋体"/>
          <w:color w:val="auto"/>
          <w:highlight w:val="none"/>
          <w:lang w:val="en-US" w:eastAsia="zh-CN"/>
        </w:rPr>
        <w:t>4</w:t>
      </w:r>
      <w:r>
        <w:rPr>
          <w:rFonts w:hint="default" w:ascii="宋体" w:hAnsi="宋体"/>
          <w:color w:val="auto"/>
          <w:highlight w:val="none"/>
          <w:lang w:val="en-US" w:eastAsia="zh-CN"/>
        </w:rPr>
        <w:t>日09时00分至2024年</w:t>
      </w:r>
      <w:r>
        <w:rPr>
          <w:rFonts w:hint="eastAsia" w:ascii="宋体" w:hAnsi="宋体"/>
          <w:color w:val="auto"/>
          <w:highlight w:val="none"/>
          <w:lang w:val="en-US" w:eastAsia="zh-CN"/>
        </w:rPr>
        <w:t>12</w:t>
      </w:r>
      <w:r>
        <w:rPr>
          <w:rFonts w:hint="default" w:ascii="宋体" w:hAnsi="宋体"/>
          <w:color w:val="auto"/>
          <w:highlight w:val="none"/>
          <w:lang w:val="en-US" w:eastAsia="zh-CN"/>
        </w:rPr>
        <w:t>月</w:t>
      </w:r>
      <w:r>
        <w:rPr>
          <w:rFonts w:hint="eastAsia" w:ascii="宋体" w:hAnsi="宋体"/>
          <w:color w:val="auto"/>
          <w:highlight w:val="none"/>
          <w:lang w:val="en-US" w:eastAsia="zh-CN"/>
        </w:rPr>
        <w:t>11</w:t>
      </w:r>
      <w:r>
        <w:rPr>
          <w:rFonts w:hint="default" w:ascii="宋体" w:hAnsi="宋体"/>
          <w:color w:val="auto"/>
          <w:highlight w:val="none"/>
          <w:lang w:val="en-US" w:eastAsia="zh-CN"/>
        </w:rPr>
        <w:t>日09时00分</w:t>
      </w:r>
      <w:r>
        <w:rPr>
          <w:rFonts w:hint="default"/>
          <w:color w:val="auto"/>
          <w:lang w:val="en-US"/>
        </w:rPr>
        <w:t>（北京时间）。具体事宜详见“黑龙江公共资源交易网”《服务指南》中的相关操作手册。</w:t>
      </w:r>
    </w:p>
    <w:p w14:paraId="28B8AFA4">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Arial"/>
          <w:bCs/>
          <w:lang w:val="en-US"/>
        </w:rPr>
      </w:pPr>
      <w:r>
        <w:rPr>
          <w:rFonts w:hint="default" w:ascii="宋体" w:hAnsi="宋体" w:eastAsia="Arial"/>
          <w:bCs/>
          <w:lang w:val="en-US"/>
        </w:rPr>
        <w:t>4.</w:t>
      </w:r>
      <w:r>
        <w:rPr>
          <w:rFonts w:hint="default" w:ascii="宋体" w:hAnsi="宋体"/>
          <w:bCs/>
          <w:lang w:val="en-US"/>
        </w:rPr>
        <w:t>2</w:t>
      </w:r>
      <w:r>
        <w:rPr>
          <w:rFonts w:hint="eastAsia" w:ascii="宋体" w:hAnsi="宋体"/>
          <w:bCs/>
          <w:lang w:val="en-US" w:eastAsia="zh-CN"/>
        </w:rPr>
        <w:t xml:space="preserve"> </w:t>
      </w:r>
      <w:r>
        <w:rPr>
          <w:rFonts w:hint="default"/>
          <w:lang w:val="en-US"/>
        </w:rPr>
        <w:t>投标人未按“黑龙江省公共资源交易网”的流程要求完成全部操作的，自行承担相应责任。</w:t>
      </w:r>
    </w:p>
    <w:p w14:paraId="272BECA4">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1"/>
        <w:rPr>
          <w:rFonts w:hint="default" w:ascii="黑体" w:hAnsi="黑体" w:eastAsia="黑体"/>
          <w:b/>
          <w:bCs/>
          <w:color w:val="auto"/>
          <w:lang w:val="en-US"/>
        </w:rPr>
      </w:pPr>
      <w:bookmarkStart w:id="7" w:name="_Toc300834933"/>
      <w:bookmarkEnd w:id="7"/>
      <w:bookmarkStart w:id="8" w:name="_Toc152045516"/>
      <w:bookmarkEnd w:id="8"/>
      <w:bookmarkStart w:id="9" w:name="_Toc477697934"/>
      <w:bookmarkEnd w:id="9"/>
      <w:bookmarkStart w:id="10" w:name="_Toc247527539"/>
      <w:bookmarkEnd w:id="10"/>
      <w:bookmarkStart w:id="11" w:name="_Toc485075745"/>
      <w:bookmarkEnd w:id="11"/>
      <w:bookmarkStart w:id="12" w:name="_Toc247513938"/>
      <w:bookmarkEnd w:id="12"/>
      <w:bookmarkStart w:id="13" w:name="_Toc144974484"/>
      <w:bookmarkEnd w:id="13"/>
      <w:bookmarkStart w:id="14" w:name="_Toc488874790"/>
      <w:bookmarkEnd w:id="14"/>
      <w:bookmarkStart w:id="15" w:name="_Toc480793577"/>
      <w:bookmarkEnd w:id="15"/>
      <w:bookmarkStart w:id="16" w:name="_Toc484000121"/>
      <w:bookmarkEnd w:id="16"/>
      <w:bookmarkStart w:id="17" w:name="_Toc152042292"/>
      <w:bookmarkEnd w:id="17"/>
      <w:bookmarkStart w:id="18" w:name="_Toc477697426"/>
      <w:r>
        <w:rPr>
          <w:rFonts w:hint="default" w:ascii="黑体" w:hAnsi="黑体" w:eastAsia="黑体"/>
          <w:b/>
          <w:bCs/>
          <w:lang w:val="en-US"/>
        </w:rPr>
        <w:t>5.投标文件的递交</w:t>
      </w:r>
      <w:bookmarkEnd w:id="18"/>
      <w:r>
        <w:rPr>
          <w:rFonts w:hint="default" w:ascii="黑体" w:hAnsi="黑体" w:eastAsia="黑体"/>
          <w:b/>
          <w:bCs/>
          <w:lang w:val="en-US"/>
        </w:rPr>
        <w:t>及相关事宜</w:t>
      </w:r>
    </w:p>
    <w:p w14:paraId="2A1A37B6">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Arial"/>
          <w:bCs/>
          <w:color w:val="auto"/>
          <w:lang w:val="en-US"/>
        </w:rPr>
      </w:pPr>
      <w:r>
        <w:rPr>
          <w:rFonts w:hint="default" w:ascii="宋体" w:hAnsi="宋体" w:eastAsia="Arial"/>
          <w:bCs/>
          <w:color w:val="auto"/>
          <w:lang w:val="en-US"/>
        </w:rPr>
        <w:t>5.1</w:t>
      </w:r>
      <w:r>
        <w:rPr>
          <w:rFonts w:hint="eastAsia" w:ascii="宋体" w:hAnsi="宋体" w:eastAsia="宋体"/>
          <w:bCs/>
          <w:color w:val="auto"/>
          <w:lang w:val="en-US" w:eastAsia="zh-CN"/>
        </w:rPr>
        <w:t xml:space="preserve"> </w:t>
      </w:r>
      <w:r>
        <w:rPr>
          <w:rFonts w:hint="default"/>
          <w:bCs/>
          <w:color w:val="auto"/>
          <w:lang w:val="en-US"/>
        </w:rPr>
        <w:t>招标人不统一组织工程现场踏勘</w:t>
      </w:r>
      <w:r>
        <w:rPr>
          <w:rFonts w:hint="default"/>
          <w:bCs/>
          <w:color w:val="auto"/>
          <w:lang w:val="en-US" w:eastAsia="zh-CN"/>
        </w:rPr>
        <w:t>，</w:t>
      </w:r>
      <w:r>
        <w:rPr>
          <w:rFonts w:hint="default"/>
          <w:bCs/>
          <w:color w:val="auto"/>
          <w:lang w:val="en-US"/>
        </w:rPr>
        <w:t>由潜在投标人自行前往踏勘。招标人不召开投标预备会。招标人对招标文件的澄清、补遗均通过黑龙江省公共资源交易平台进行。</w:t>
      </w:r>
    </w:p>
    <w:p w14:paraId="1C8A3914">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color w:val="auto"/>
          <w:lang w:val="en-US"/>
        </w:rPr>
      </w:pPr>
      <w:r>
        <w:rPr>
          <w:rFonts w:hint="default" w:ascii="宋体" w:hAnsi="宋体" w:cs="宋体"/>
          <w:color w:val="auto"/>
          <w:lang w:val="en-US"/>
        </w:rPr>
        <w:t>5.2</w:t>
      </w:r>
      <w:r>
        <w:rPr>
          <w:rFonts w:hint="eastAsia" w:ascii="宋体" w:hAnsi="宋体" w:cs="宋体"/>
          <w:color w:val="auto"/>
          <w:lang w:val="en-US" w:eastAsia="zh-CN"/>
        </w:rPr>
        <w:t xml:space="preserve"> </w:t>
      </w:r>
      <w:r>
        <w:rPr>
          <w:rFonts w:hint="default"/>
          <w:color w:val="auto"/>
          <w:lang w:val="en-US"/>
        </w:rPr>
        <w:t>本项目为线上开标。开标时，投标人应在线上对其投标文件进行解密。各投标人须在开标时间前安装好数字证书驱动程序，提前登录“交易平台</w:t>
      </w:r>
      <w:r>
        <w:rPr>
          <w:rFonts w:hint="default" w:ascii="宋体" w:hAnsi="宋体" w:cs="宋体"/>
          <w:color w:val="auto"/>
          <w:lang w:val="en-US"/>
        </w:rPr>
        <w:t>-</w:t>
      </w:r>
      <w:r>
        <w:rPr>
          <w:rFonts w:hint="default"/>
          <w:color w:val="auto"/>
          <w:lang w:val="en-US"/>
        </w:rPr>
        <w:t>不见面开标大厅”，按照“黑龙江省公共资源交易网</w:t>
      </w:r>
      <w:r>
        <w:rPr>
          <w:rFonts w:hint="default" w:ascii="宋体" w:hAnsi="宋体" w:cs="宋体"/>
          <w:color w:val="auto"/>
          <w:lang w:val="en-US"/>
        </w:rPr>
        <w:t>-</w:t>
      </w:r>
      <w:r>
        <w:rPr>
          <w:rFonts w:hint="default"/>
          <w:color w:val="auto"/>
          <w:lang w:val="en-US"/>
        </w:rPr>
        <w:t>服务指南”中的操作手册完成开标程序。</w:t>
      </w:r>
    </w:p>
    <w:p w14:paraId="5C9D72F7">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color w:val="auto"/>
          <w:highlight w:val="none"/>
          <w:lang w:val="en-US"/>
        </w:rPr>
      </w:pPr>
      <w:r>
        <w:rPr>
          <w:rFonts w:hint="default" w:ascii="宋体" w:hAnsi="宋体" w:cs="宋体"/>
          <w:color w:val="auto"/>
          <w:lang w:val="en-US"/>
        </w:rPr>
        <w:t>5.3</w:t>
      </w:r>
      <w:r>
        <w:rPr>
          <w:rFonts w:hint="eastAsia" w:ascii="宋体" w:hAnsi="宋体" w:cs="宋体"/>
          <w:color w:val="auto"/>
          <w:lang w:val="en-US" w:eastAsia="zh-CN"/>
        </w:rPr>
        <w:t xml:space="preserve"> </w:t>
      </w:r>
      <w:r>
        <w:rPr>
          <w:rFonts w:hint="default"/>
          <w:color w:val="auto"/>
          <w:lang w:val="en-US"/>
        </w:rPr>
        <w:t>电子投标文件递交截止时</w:t>
      </w:r>
      <w:r>
        <w:rPr>
          <w:rFonts w:hint="default"/>
          <w:color w:val="auto"/>
          <w:highlight w:val="none"/>
          <w:lang w:val="en-US"/>
        </w:rPr>
        <w:t>间为</w:t>
      </w:r>
      <w:r>
        <w:rPr>
          <w:rFonts w:hint="eastAsia" w:ascii="宋体" w:hAnsi="宋体"/>
          <w:color w:val="auto"/>
          <w:lang w:eastAsia="zh-CN"/>
        </w:rPr>
        <w:t>2024年12月27日</w:t>
      </w:r>
      <w:r>
        <w:rPr>
          <w:rFonts w:hint="eastAsia" w:ascii="宋体" w:hAnsi="宋体" w:eastAsia="宋体" w:cs="宋体"/>
          <w:color w:val="auto"/>
          <w:lang w:val="en-US" w:eastAsia="zh-CN"/>
        </w:rPr>
        <w:t>09时00分</w:t>
      </w:r>
      <w:r>
        <w:rPr>
          <w:rFonts w:hint="default"/>
          <w:color w:val="auto"/>
          <w:highlight w:val="none"/>
          <w:lang w:val="en-US"/>
        </w:rPr>
        <w:t>（即开标时间），投标人应于该截止时间前将投标文件第一个信封（商务及技术文件）、第二个信封（报价文件）上传至“黑龙江省公共资源交易网”上的“交易平台”进行网上投标。</w:t>
      </w:r>
    </w:p>
    <w:p w14:paraId="2D217ED7">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color w:val="auto"/>
          <w:highlight w:val="none"/>
          <w:lang w:val="en-US"/>
        </w:rPr>
      </w:pPr>
      <w:r>
        <w:rPr>
          <w:rFonts w:hint="default"/>
          <w:color w:val="auto"/>
          <w:highlight w:val="none"/>
          <w:lang w:val="en-US"/>
        </w:rPr>
        <w:t>第一信封开标时间：</w:t>
      </w:r>
      <w:r>
        <w:rPr>
          <w:rFonts w:hint="eastAsia" w:ascii="宋体" w:hAnsi="宋体"/>
          <w:color w:val="auto"/>
          <w:lang w:eastAsia="zh-CN"/>
        </w:rPr>
        <w:t>2024年12月27日</w:t>
      </w:r>
      <w:r>
        <w:rPr>
          <w:rFonts w:hint="default" w:ascii="宋体" w:hAnsi="宋体" w:cs="宋体"/>
          <w:color w:val="auto"/>
          <w:highlight w:val="none"/>
          <w:lang w:val="en-US" w:eastAsia="zh-CN"/>
        </w:rPr>
        <w:t>09时00分</w:t>
      </w:r>
      <w:r>
        <w:rPr>
          <w:rFonts w:hint="default"/>
          <w:color w:val="auto"/>
          <w:highlight w:val="none"/>
          <w:lang w:val="en-US"/>
        </w:rPr>
        <w:t>，上传至交易平台的投标文件第一信封商务和技术文件中，切勿出现有关报价内容，由于投标人自身原因导致投标报价在第一信封泄露，投标人自行承担责任。</w:t>
      </w:r>
    </w:p>
    <w:p w14:paraId="1BA2B31B">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color w:val="auto"/>
          <w:highlight w:val="none"/>
          <w:lang w:val="en-US"/>
        </w:rPr>
      </w:pPr>
      <w:r>
        <w:rPr>
          <w:rFonts w:hint="default"/>
          <w:color w:val="auto"/>
          <w:highlight w:val="none"/>
          <w:lang w:val="en-US"/>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035DF83C">
      <w:pPr>
        <w:keepNext w:val="0"/>
        <w:keepLines w:val="0"/>
        <w:pageBreakBefore w:val="0"/>
        <w:widowControl/>
        <w:kinsoku w:val="0"/>
        <w:overflowPunct/>
        <w:topLinePunct w:val="0"/>
        <w:autoSpaceDE w:val="0"/>
        <w:autoSpaceDN w:val="0"/>
        <w:bidi w:val="0"/>
        <w:adjustRightInd w:val="0"/>
        <w:snapToGrid w:val="0"/>
        <w:spacing w:line="360" w:lineRule="auto"/>
        <w:ind w:firstLine="422" w:firstLineChars="200"/>
        <w:textAlignment w:val="baseline"/>
        <w:outlineLvl w:val="1"/>
        <w:rPr>
          <w:rFonts w:hint="default" w:ascii="黑体" w:hAnsi="宋体" w:eastAsia="黑体"/>
          <w:b/>
          <w:color w:val="auto"/>
          <w:lang w:val="en-US"/>
        </w:rPr>
      </w:pPr>
      <w:r>
        <w:rPr>
          <w:rFonts w:hint="default" w:ascii="黑体" w:hAnsi="宋体" w:eastAsia="黑体"/>
          <w:b/>
          <w:color w:val="auto"/>
          <w:lang w:val="en-US"/>
        </w:rPr>
        <w:t>6.发布公告的媒介</w:t>
      </w:r>
    </w:p>
    <w:p w14:paraId="6E369F14">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本次招标公告同时在黑龙江公共资源交易网（https://ggzyjyw.hlj.gov.cn/）、黑龙江省交通运输厅网站(http://jt.hlj.gov.cn)上发布。</w:t>
      </w:r>
    </w:p>
    <w:p w14:paraId="21069EEA">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jc w:val="left"/>
        <w:textAlignment w:val="auto"/>
        <w:outlineLvl w:val="1"/>
        <w:rPr>
          <w:rFonts w:hint="default" w:ascii="黑体" w:hAnsi="宋体" w:eastAsia="黑体"/>
          <w:b/>
          <w:color w:val="auto"/>
          <w:lang w:val="en-US"/>
        </w:rPr>
      </w:pPr>
      <w:r>
        <w:rPr>
          <w:rFonts w:hint="default" w:ascii="黑体" w:hAnsi="宋体" w:eastAsia="黑体"/>
          <w:b/>
          <w:color w:val="auto"/>
          <w:lang w:val="en-US"/>
        </w:rPr>
        <w:t>7．中标候选人公示</w:t>
      </w:r>
    </w:p>
    <w:p w14:paraId="7FF1D7BC">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本项目同时在黑龙江公共资源交易网（</w:t>
      </w:r>
      <w:r>
        <w:rPr>
          <w:rFonts w:hint="default" w:eastAsia="宋体"/>
          <w:b w:val="0"/>
          <w:bCs w:val="0"/>
          <w:color w:val="auto"/>
          <w:highlight w:val="none"/>
          <w:lang w:val="en-US"/>
        </w:rPr>
        <w:t>https://ggzyjyw.hlj.gov.cn/</w:t>
      </w:r>
      <w:r>
        <w:rPr>
          <w:rFonts w:hint="default" w:eastAsia="宋体"/>
          <w:color w:val="auto"/>
          <w:highlight w:val="none"/>
          <w:lang w:val="en-US"/>
        </w:rPr>
        <w:t>）、黑龙江省交通运输厅网站(http://jt.hlj.gov.cn)上公示中标候选人，公示期为3日，公示内容包括：</w:t>
      </w:r>
    </w:p>
    <w:p w14:paraId="6BD1A5B2">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（1）中标候选人排序、名称、投标报价、工程质量、安全目标、工期；</w:t>
      </w:r>
    </w:p>
    <w:p w14:paraId="0F175D2B">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（2）中标候选人在投标文件中承诺的项目经理和项目总工姓名、个人业绩、相关证书名称和编号；</w:t>
      </w:r>
    </w:p>
    <w:p w14:paraId="4F38FF15">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（3）中标候选人在投标文件中填报的项目业绩；</w:t>
      </w:r>
    </w:p>
    <w:p w14:paraId="6A18DB60">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（4）被否决投标的投标人名称、否决依据和原因；</w:t>
      </w:r>
    </w:p>
    <w:p w14:paraId="137D9B91">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（5）提出异议的渠道和方式。</w:t>
      </w:r>
    </w:p>
    <w:p w14:paraId="70D19F1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jc w:val="left"/>
        <w:textAlignment w:val="auto"/>
        <w:outlineLvl w:val="1"/>
        <w:rPr>
          <w:rFonts w:hint="default" w:ascii="黑体" w:hAnsi="宋体" w:eastAsia="黑体"/>
          <w:b/>
          <w:color w:val="auto"/>
          <w:lang w:val="en-US"/>
        </w:rPr>
      </w:pPr>
      <w:r>
        <w:rPr>
          <w:rFonts w:hint="default" w:ascii="黑体" w:hAnsi="宋体" w:eastAsia="黑体"/>
          <w:b/>
          <w:color w:val="auto"/>
          <w:lang w:val="en-US"/>
        </w:rPr>
        <w:t>8．</w:t>
      </w:r>
      <w:bookmarkStart w:id="19" w:name="_Toc509819258"/>
      <w:bookmarkStart w:id="20" w:name="_Toc509334296"/>
      <w:r>
        <w:rPr>
          <w:rFonts w:hint="default" w:ascii="黑体" w:hAnsi="宋体" w:eastAsia="黑体"/>
          <w:b/>
          <w:color w:val="auto"/>
          <w:lang w:val="en-US"/>
        </w:rPr>
        <w:t>联系方式</w:t>
      </w:r>
      <w:bookmarkEnd w:id="19"/>
      <w:bookmarkEnd w:id="20"/>
    </w:p>
    <w:p w14:paraId="76CC4530">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p>
    <w:p w14:paraId="685D6A86">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招标投标监督单位：黑龙江省交通运输厅</w:t>
      </w:r>
    </w:p>
    <w:p w14:paraId="17E511D9">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地    址：黑龙江省哈尔滨市南岗区赣水路1号</w:t>
      </w:r>
    </w:p>
    <w:p w14:paraId="298B6353">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电话：</w:t>
      </w:r>
      <w:r>
        <w:rPr>
          <w:rFonts w:hint="default" w:eastAsia="宋体"/>
          <w:color w:val="auto"/>
          <w:highlight w:val="none"/>
          <w:lang w:val="en-US" w:eastAsia="zh-CN"/>
        </w:rPr>
        <w:t>0451-87560052</w:t>
      </w:r>
    </w:p>
    <w:p w14:paraId="5B9CF8AC">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eastAsia="zh-CN"/>
        </w:rPr>
      </w:pPr>
      <w:r>
        <w:rPr>
          <w:rFonts w:hint="default" w:eastAsia="宋体"/>
          <w:color w:val="auto"/>
          <w:highlight w:val="none"/>
          <w:lang w:val="en-US"/>
        </w:rPr>
        <w:t>招 标 人</w:t>
      </w:r>
      <w:r>
        <w:rPr>
          <w:rFonts w:hint="default" w:eastAsia="宋体"/>
          <w:color w:val="auto"/>
          <w:highlight w:val="none"/>
          <w:lang w:val="en-US" w:eastAsia="zh-CN"/>
        </w:rPr>
        <w:t>：</w:t>
      </w:r>
      <w:r>
        <w:rPr>
          <w:rFonts w:hint="eastAsia"/>
          <w:color w:val="auto"/>
          <w:highlight w:val="none"/>
          <w:lang w:val="en-US" w:eastAsia="zh-CN"/>
        </w:rPr>
        <w:t>呼中区公路桥梁建设总指挥部</w:t>
      </w:r>
    </w:p>
    <w:p w14:paraId="7CB7C4EA">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eastAsia="zh-CN"/>
        </w:rPr>
      </w:pPr>
      <w:r>
        <w:rPr>
          <w:rFonts w:hint="default" w:eastAsia="宋体"/>
          <w:color w:val="auto"/>
          <w:highlight w:val="none"/>
          <w:lang w:val="en-US"/>
        </w:rPr>
        <w:t>地    址</w:t>
      </w:r>
      <w:r>
        <w:rPr>
          <w:rFonts w:hint="default" w:eastAsia="宋体"/>
          <w:color w:val="auto"/>
          <w:highlight w:val="none"/>
          <w:lang w:val="en-US" w:eastAsia="zh-CN"/>
        </w:rPr>
        <w:t>：</w:t>
      </w:r>
      <w:r>
        <w:rPr>
          <w:rFonts w:hint="eastAsia"/>
          <w:color w:val="auto"/>
          <w:highlight w:val="none"/>
          <w:lang w:val="en-US" w:eastAsia="zh-CN"/>
        </w:rPr>
        <w:t>大兴安岭呼中区</w:t>
      </w:r>
    </w:p>
    <w:p w14:paraId="4075420D">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eastAsia="zh-CN"/>
        </w:rPr>
      </w:pPr>
      <w:r>
        <w:rPr>
          <w:rFonts w:hint="default" w:eastAsia="宋体"/>
          <w:color w:val="auto"/>
          <w:highlight w:val="none"/>
          <w:lang w:val="en-US"/>
        </w:rPr>
        <w:t>联 系 人</w:t>
      </w:r>
      <w:r>
        <w:rPr>
          <w:rFonts w:hint="default" w:eastAsia="宋体"/>
          <w:color w:val="auto"/>
          <w:highlight w:val="none"/>
          <w:lang w:val="en-US" w:eastAsia="zh-CN"/>
        </w:rPr>
        <w:t>：关先生</w:t>
      </w:r>
    </w:p>
    <w:p w14:paraId="1EB9EBD6">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eastAsia="zh-CN"/>
        </w:rPr>
      </w:pPr>
      <w:r>
        <w:rPr>
          <w:rFonts w:hint="default" w:eastAsia="宋体"/>
          <w:color w:val="auto"/>
          <w:highlight w:val="none"/>
          <w:lang w:val="en-US"/>
        </w:rPr>
        <w:t>电    话</w:t>
      </w:r>
      <w:r>
        <w:rPr>
          <w:rFonts w:hint="default" w:eastAsia="宋体"/>
          <w:color w:val="auto"/>
          <w:highlight w:val="none"/>
          <w:lang w:val="en-US" w:eastAsia="zh-CN"/>
        </w:rPr>
        <w:t>：</w:t>
      </w:r>
      <w:r>
        <w:rPr>
          <w:rFonts w:hint="eastAsia"/>
          <w:color w:val="auto"/>
        </w:rPr>
        <w:t>13604877009</w:t>
      </w:r>
    </w:p>
    <w:p w14:paraId="657A60ED">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招标代理机构</w:t>
      </w:r>
      <w:r>
        <w:rPr>
          <w:rFonts w:hint="default" w:eastAsia="宋体"/>
          <w:color w:val="auto"/>
          <w:highlight w:val="none"/>
          <w:lang w:val="en-US" w:eastAsia="zh-CN"/>
        </w:rPr>
        <w:t>：</w:t>
      </w:r>
      <w:r>
        <w:rPr>
          <w:rFonts w:hint="eastAsia"/>
          <w:color w:val="auto"/>
          <w:highlight w:val="none"/>
          <w:lang w:val="en-US" w:eastAsia="zh-CN"/>
        </w:rPr>
        <w:t>黑龙江圆周率工程项目管理有限公司</w:t>
      </w:r>
    </w:p>
    <w:p w14:paraId="59E9DCF6">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rPr>
      </w:pPr>
      <w:r>
        <w:rPr>
          <w:rFonts w:hint="default" w:eastAsia="宋体"/>
          <w:color w:val="auto"/>
          <w:highlight w:val="none"/>
          <w:lang w:val="en-US"/>
        </w:rPr>
        <w:t>地    址：</w:t>
      </w:r>
      <w:r>
        <w:rPr>
          <w:rFonts w:hint="eastAsia" w:ascii="宋体" w:hAnsi="宋体"/>
          <w:color w:val="auto"/>
        </w:rPr>
        <w:t>黑龙江省哈尔滨市</w:t>
      </w:r>
      <w:r>
        <w:rPr>
          <w:rFonts w:hint="eastAsia" w:ascii="宋体" w:hAnsi="宋体"/>
          <w:color w:val="auto"/>
          <w:lang w:val="en-US" w:eastAsia="zh-CN"/>
        </w:rPr>
        <w:t>南岗区哈西大街458-28号西城晶华1单元1层1号（住宅）</w:t>
      </w:r>
    </w:p>
    <w:p w14:paraId="59BDED4B">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default" w:eastAsia="宋体"/>
          <w:color w:val="auto"/>
          <w:highlight w:val="none"/>
          <w:lang w:val="en-US" w:eastAsia="zh-CN"/>
        </w:rPr>
      </w:pPr>
      <w:r>
        <w:rPr>
          <w:rFonts w:hint="default" w:eastAsia="宋体"/>
          <w:color w:val="auto"/>
          <w:highlight w:val="none"/>
          <w:lang w:val="en-US"/>
        </w:rPr>
        <w:t>联 系 人：</w:t>
      </w:r>
      <w:r>
        <w:rPr>
          <w:rFonts w:hint="eastAsia"/>
          <w:color w:val="auto"/>
          <w:lang w:val="en-US" w:eastAsia="zh-CN"/>
        </w:rPr>
        <w:t>赵</w:t>
      </w:r>
      <w:r>
        <w:rPr>
          <w:rFonts w:hint="eastAsia"/>
          <w:color w:val="auto"/>
        </w:rPr>
        <w:t>先生</w:t>
      </w:r>
    </w:p>
    <w:p w14:paraId="6F058CFD">
      <w:pPr>
        <w:ind w:firstLine="420" w:firstLineChars="200"/>
        <w:rPr>
          <w:rFonts w:hint="default" w:eastAsia="宋体"/>
          <w:color w:val="auto"/>
          <w:highlight w:val="none"/>
          <w:lang w:val="en-US"/>
        </w:rPr>
      </w:pPr>
      <w:r>
        <w:rPr>
          <w:rFonts w:hint="default" w:eastAsia="宋体"/>
          <w:color w:val="auto"/>
          <w:highlight w:val="none"/>
          <w:lang w:val="en-US"/>
        </w:rPr>
        <w:t>电    话：18604513862</w:t>
      </w:r>
    </w:p>
    <w:p w14:paraId="07C9F836">
      <w:pPr>
        <w:pStyle w:val="2"/>
        <w:rPr>
          <w:rFonts w:hint="default" w:eastAsia="宋体"/>
          <w:color w:val="auto"/>
          <w:highlight w:val="none"/>
          <w:lang w:val="en-US"/>
        </w:rPr>
      </w:pPr>
    </w:p>
    <w:p w14:paraId="1D87FD1B">
      <w:pPr>
        <w:ind w:firstLine="420" w:firstLineChars="200"/>
        <w:rPr>
          <w:rFonts w:hint="default" w:eastAsia="宋体"/>
          <w:color w:val="auto"/>
          <w:highlight w:val="none"/>
          <w:lang w:val="en-US"/>
        </w:rPr>
        <w:sectPr>
          <w:pgSz w:w="11906" w:h="16838"/>
          <w:pgMar w:top="1440" w:right="1800" w:bottom="1440" w:left="1800" w:header="851" w:footer="992" w:gutter="0"/>
          <w:cols w:space="425" w:num="1"/>
          <w:docGrid w:type="lines" w:linePitch="312" w:charSpace="0"/>
        </w:sectPr>
      </w:pPr>
      <w:r>
        <w:rPr>
          <w:rFonts w:hint="default" w:eastAsia="宋体"/>
          <w:color w:val="auto"/>
          <w:highlight w:val="none"/>
          <w:lang w:val="en-US"/>
        </w:rPr>
        <w:t>附件：资格审查条件</w:t>
      </w:r>
      <w:r>
        <w:rPr>
          <w:rFonts w:hint="eastAsia"/>
          <w:color w:val="auto"/>
          <w:highlight w:val="none"/>
          <w:lang w:val="en-US" w:eastAsia="zh-CN"/>
        </w:rPr>
        <w:t>、</w:t>
      </w:r>
      <w:r>
        <w:rPr>
          <w:rFonts w:hint="default" w:eastAsia="宋体"/>
          <w:color w:val="auto"/>
          <w:highlight w:val="none"/>
          <w:lang w:val="en-US"/>
        </w:rPr>
        <w:t>评标办法</w:t>
      </w:r>
    </w:p>
    <w:p w14:paraId="28D6067E">
      <w:pPr>
        <w:spacing w:before="78" w:line="326" w:lineRule="exact"/>
        <w:ind w:left="121"/>
        <w:rPr>
          <w:rFonts w:hint="default" w:ascii="黑体" w:hAnsi="黑体" w:eastAsia="黑体"/>
          <w:sz w:val="13"/>
          <w:szCs w:val="13"/>
          <w:lang w:val="en-US"/>
        </w:rPr>
      </w:pPr>
      <w:r>
        <w:rPr>
          <w:rFonts w:hint="default" w:ascii="黑体" w:hAnsi="黑体" w:eastAsia="黑体"/>
          <w:sz w:val="24"/>
          <w:szCs w:val="24"/>
          <w:lang w:val="en-US"/>
        </w:rPr>
        <w:t>评标办法前附表</w:t>
      </w:r>
    </w:p>
    <w:p w14:paraId="0F598F79">
      <w:pPr>
        <w:spacing w:line="234" w:lineRule="exact"/>
        <w:rPr>
          <w:rFonts w:hint="default"/>
          <w:lang w:val="en-US"/>
        </w:rPr>
      </w:pPr>
      <w:r>
        <w:rPr>
          <w:rFonts w:hint="default"/>
          <w:lang w:val="en-US"/>
        </w:rPr>
        <w:t xml:space="preserve"> </w:t>
      </w:r>
    </w:p>
    <w:tbl>
      <w:tblPr>
        <w:tblStyle w:val="8"/>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279"/>
        <w:gridCol w:w="6626"/>
      </w:tblGrid>
      <w:tr w14:paraId="5A21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2272" w:type="dxa"/>
            <w:gridSpan w:val="2"/>
            <w:tcBorders>
              <w:top w:val="single" w:color="000000" w:sz="2" w:space="0"/>
              <w:left w:val="single" w:color="000000" w:sz="2" w:space="0"/>
              <w:bottom w:val="single" w:color="000000" w:sz="2" w:space="0"/>
              <w:right w:val="single" w:color="000000" w:sz="4" w:space="0"/>
            </w:tcBorders>
          </w:tcPr>
          <w:p w14:paraId="45A95090">
            <w:pPr>
              <w:spacing w:before="142"/>
              <w:ind w:left="825"/>
              <w:rPr>
                <w:rFonts w:hint="default" w:ascii="宋体" w:hAnsi="宋体"/>
                <w:lang w:val="en-US"/>
              </w:rPr>
            </w:pPr>
            <w:bookmarkStart w:id="21" w:name="_bookmark119"/>
            <w:bookmarkEnd w:id="21"/>
            <w:r>
              <w:rPr>
                <w:rFonts w:hint="default" w:ascii="宋体" w:hAnsi="宋体"/>
                <w:spacing w:val="-2"/>
                <w:lang w:val="en-US"/>
              </w:rPr>
              <w:t>条款</w:t>
            </w:r>
            <w:r>
              <w:rPr>
                <w:rFonts w:hint="default" w:ascii="宋体" w:hAnsi="宋体"/>
                <w:spacing w:val="-1"/>
                <w:lang w:val="en-US"/>
              </w:rPr>
              <w:t>号</w:t>
            </w:r>
          </w:p>
        </w:tc>
        <w:tc>
          <w:tcPr>
            <w:tcW w:w="6626" w:type="dxa"/>
            <w:tcBorders>
              <w:top w:val="single" w:color="000000" w:sz="2" w:space="0"/>
              <w:left w:val="nil"/>
              <w:bottom w:val="single" w:color="000000" w:sz="2" w:space="0"/>
              <w:right w:val="single" w:color="000000" w:sz="2" w:space="0"/>
            </w:tcBorders>
          </w:tcPr>
          <w:p w14:paraId="24D53DF5">
            <w:pPr>
              <w:spacing w:before="142"/>
              <w:ind w:left="2326"/>
              <w:rPr>
                <w:rFonts w:hint="default" w:ascii="宋体" w:hAnsi="宋体"/>
                <w:lang w:val="en-US"/>
              </w:rPr>
            </w:pPr>
            <w:r>
              <w:rPr>
                <w:rFonts w:hint="default" w:ascii="宋体" w:hAnsi="宋体"/>
                <w:spacing w:val="7"/>
                <w:lang w:val="en-US"/>
              </w:rPr>
              <w:t>评审因素与评审标准</w:t>
            </w:r>
          </w:p>
        </w:tc>
      </w:tr>
      <w:tr w14:paraId="6D507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jc w:val="center"/>
        </w:trPr>
        <w:tc>
          <w:tcPr>
            <w:tcW w:w="993" w:type="dxa"/>
            <w:tcBorders>
              <w:top w:val="single" w:color="000000" w:sz="2" w:space="0"/>
              <w:left w:val="single" w:color="000000" w:sz="2" w:space="0"/>
              <w:bottom w:val="single" w:color="000000" w:sz="2" w:space="0"/>
              <w:right w:val="single" w:color="000000" w:sz="2" w:space="0"/>
            </w:tcBorders>
          </w:tcPr>
          <w:p w14:paraId="28F469B3">
            <w:pPr>
              <w:spacing w:line="297" w:lineRule="auto"/>
              <w:rPr>
                <w:rFonts w:hint="default"/>
                <w:lang w:val="en-US"/>
              </w:rPr>
            </w:pPr>
          </w:p>
          <w:p w14:paraId="4A62258E">
            <w:pPr>
              <w:spacing w:line="300" w:lineRule="auto"/>
              <w:rPr>
                <w:rFonts w:hint="default"/>
                <w:lang w:val="en-US"/>
              </w:rPr>
            </w:pPr>
          </w:p>
          <w:p w14:paraId="26156990">
            <w:pPr>
              <w:spacing w:line="300" w:lineRule="auto"/>
              <w:rPr>
                <w:rFonts w:hint="default"/>
                <w:lang w:val="en-US"/>
              </w:rPr>
            </w:pPr>
          </w:p>
          <w:p w14:paraId="7CB5BCBF">
            <w:pPr>
              <w:spacing w:line="300" w:lineRule="auto"/>
              <w:rPr>
                <w:rFonts w:hint="default"/>
                <w:lang w:val="en-US"/>
              </w:rPr>
            </w:pPr>
          </w:p>
          <w:p w14:paraId="1CA1E8EA">
            <w:pPr>
              <w:spacing w:before="60"/>
              <w:ind w:left="466"/>
              <w:rPr>
                <w:rFonts w:hint="default" w:ascii="Times New Roman" w:hAnsi="Times New Roman" w:cs="Times New Roman"/>
                <w:lang w:val="en-US"/>
              </w:rPr>
            </w:pPr>
            <w:r>
              <w:rPr>
                <w:rFonts w:hint="default" w:ascii="Times New Roman" w:hAnsi="Times New Roman" w:cs="Times New Roman"/>
                <w:lang w:val="en-US"/>
              </w:rPr>
              <w:t>1</w:t>
            </w:r>
          </w:p>
        </w:tc>
        <w:tc>
          <w:tcPr>
            <w:tcW w:w="1279" w:type="dxa"/>
            <w:tcBorders>
              <w:top w:val="single" w:color="000000" w:sz="2" w:space="0"/>
              <w:left w:val="single" w:color="000000" w:sz="2" w:space="0"/>
              <w:bottom w:val="single" w:color="000000" w:sz="2" w:space="0"/>
              <w:right w:val="single" w:color="000000" w:sz="4" w:space="0"/>
            </w:tcBorders>
            <w:vAlign w:val="center"/>
          </w:tcPr>
          <w:p w14:paraId="3117FB76">
            <w:pPr>
              <w:spacing w:before="69"/>
              <w:ind w:left="221"/>
              <w:jc w:val="both"/>
              <w:rPr>
                <w:rFonts w:hint="default" w:ascii="宋体" w:hAnsi="宋体"/>
                <w:lang w:val="en-US"/>
              </w:rPr>
            </w:pPr>
            <w:r>
              <w:rPr>
                <w:rFonts w:hint="default" w:ascii="宋体" w:hAnsi="宋体"/>
                <w:spacing w:val="-1"/>
                <w:lang w:val="en-US"/>
              </w:rPr>
              <w:t>评标方法</w:t>
            </w:r>
          </w:p>
        </w:tc>
        <w:tc>
          <w:tcPr>
            <w:tcW w:w="6626" w:type="dxa"/>
            <w:tcBorders>
              <w:top w:val="single" w:color="000000" w:sz="2" w:space="0"/>
              <w:left w:val="nil"/>
              <w:bottom w:val="single" w:color="000000" w:sz="2" w:space="0"/>
              <w:right w:val="single" w:color="000000" w:sz="2" w:space="0"/>
            </w:tcBorders>
            <w:vAlign w:val="center"/>
          </w:tcPr>
          <w:p w14:paraId="5C83C704">
            <w:pPr>
              <w:jc w:val="both"/>
              <w:rPr>
                <w:rFonts w:hint="default"/>
                <w:lang w:val="en-US"/>
              </w:rPr>
            </w:pPr>
            <w:r>
              <w:rPr>
                <w:rFonts w:hint="default" w:ascii="宋体" w:hAnsi="宋体"/>
                <w:lang w:val="en-US"/>
              </w:rPr>
              <w:t xml:space="preserve">（1）本次评标采用技术评分最低标价法。 </w:t>
            </w:r>
          </w:p>
          <w:p w14:paraId="22814FC9">
            <w:pPr>
              <w:jc w:val="both"/>
              <w:rPr>
                <w:rFonts w:hint="default"/>
                <w:lang w:val="en-US"/>
              </w:rPr>
            </w:pPr>
            <w:r>
              <w:rPr>
                <w:rFonts w:hint="default" w:ascii="宋体" w:hAnsi="宋体"/>
                <w:lang w:val="en-US"/>
              </w:rPr>
              <w:t xml:space="preserve">（2）参与评标价评审的投标人规定数量为3名。 </w:t>
            </w:r>
          </w:p>
          <w:p w14:paraId="25B5E84F">
            <w:pPr>
              <w:jc w:val="both"/>
              <w:rPr>
                <w:rFonts w:hint="default"/>
                <w:highlight w:val="none"/>
                <w:lang w:val="en-US"/>
              </w:rPr>
            </w:pPr>
            <w:r>
              <w:rPr>
                <w:rFonts w:hint="default" w:ascii="宋体" w:hAnsi="宋体"/>
                <w:lang w:val="en-US"/>
              </w:rPr>
              <w:t>（3）当标段内通过第一个信封初步评审和资格审查的投标人超过3名(不含3名)时，评标委员会将对投标人的施工组织设计、项目管理机构、财务能力、业绩、履约信誉等因素</w:t>
            </w:r>
            <w:r>
              <w:rPr>
                <w:rFonts w:hint="default" w:ascii="宋体" w:hAnsi="宋体"/>
                <w:highlight w:val="none"/>
                <w:lang w:val="en-US"/>
              </w:rPr>
              <w:t xml:space="preserve">进行评分，按照得分由高到低排序，对综合得分在前3名的投标人的报价文件进行第二信封开标并评审，并按照评标价由低到高的顺序推荐中标候选人。 </w:t>
            </w:r>
          </w:p>
          <w:p w14:paraId="50CAD006">
            <w:pPr>
              <w:jc w:val="both"/>
              <w:rPr>
                <w:rFonts w:hint="default"/>
                <w:highlight w:val="none"/>
                <w:lang w:val="en-US"/>
              </w:rPr>
            </w:pPr>
            <w:r>
              <w:rPr>
                <w:rFonts w:hint="default" w:ascii="宋体" w:hAnsi="宋体"/>
                <w:highlight w:val="none"/>
                <w:lang w:val="en-US"/>
              </w:rPr>
              <w:t>（4）投标人在第一个信封综合得分相等时，按</w:t>
            </w:r>
            <w:r>
              <w:rPr>
                <w:rFonts w:hint="eastAsia" w:ascii="宋体" w:hAnsi="宋体"/>
                <w:highlight w:val="none"/>
                <w:lang w:val="en-US" w:eastAsia="zh-CN"/>
              </w:rPr>
              <w:t>黑龙江省交通运输厅2023年</w:t>
            </w:r>
            <w:r>
              <w:rPr>
                <w:rFonts w:hint="default" w:ascii="宋体" w:hAnsi="宋体"/>
                <w:highlight w:val="none"/>
                <w:lang w:val="en-US" w:eastAsia="zh-CN"/>
              </w:rPr>
              <w:t>度公路施工企业信用评价中</w:t>
            </w:r>
            <w:r>
              <w:rPr>
                <w:rFonts w:hint="default" w:ascii="宋体" w:hAnsi="宋体"/>
                <w:highlight w:val="none"/>
                <w:lang w:val="en-US"/>
              </w:rPr>
              <w:t>取得信用等级高的优先；</w:t>
            </w:r>
            <w:r>
              <w:rPr>
                <w:rFonts w:hint="eastAsia" w:ascii="宋体" w:hAnsi="宋体"/>
                <w:highlight w:val="none"/>
                <w:lang w:val="en-US" w:eastAsia="zh-CN"/>
              </w:rPr>
              <w:t>黑龙江省交通运输厅2023年</w:t>
            </w:r>
            <w:r>
              <w:rPr>
                <w:rFonts w:hint="default" w:ascii="宋体" w:hAnsi="宋体"/>
                <w:highlight w:val="none"/>
                <w:lang w:val="en-US" w:eastAsia="zh-CN"/>
              </w:rPr>
              <w:t>度公路施工企业信用评价中认定</w:t>
            </w:r>
            <w:r>
              <w:rPr>
                <w:rFonts w:hint="default" w:ascii="宋体" w:hAnsi="宋体"/>
                <w:highlight w:val="none"/>
                <w:lang w:val="en-US"/>
              </w:rPr>
              <w:t>等级也相同的，按投标人业绩得分高且数量多的优先，若业绩得分相同且业绩数量相等的，按投标人年平均营业额高的优先。以上按得分顺序留取前3名参加第二信封</w:t>
            </w:r>
            <w:r>
              <w:rPr>
                <w:rFonts w:hint="default" w:ascii="宋体" w:hAnsi="宋体"/>
                <w:highlight w:val="none"/>
                <w:lang w:val="en-US" w:eastAsia="zh-CN"/>
              </w:rPr>
              <w:t>评</w:t>
            </w:r>
            <w:r>
              <w:rPr>
                <w:rFonts w:hint="default" w:ascii="宋体" w:hAnsi="宋体"/>
                <w:highlight w:val="none"/>
                <w:lang w:val="en-US"/>
              </w:rPr>
              <w:t xml:space="preserve">标。 </w:t>
            </w:r>
          </w:p>
          <w:p w14:paraId="463DE77A">
            <w:pPr>
              <w:jc w:val="both"/>
              <w:rPr>
                <w:rFonts w:hint="default" w:ascii="宋体" w:hAnsi="宋体"/>
                <w:highlight w:val="none"/>
                <w:lang w:val="en-US"/>
              </w:rPr>
            </w:pPr>
            <w:r>
              <w:rPr>
                <w:rFonts w:hint="default" w:ascii="宋体" w:hAnsi="宋体"/>
                <w:highlight w:val="none"/>
                <w:lang w:val="en-US"/>
              </w:rPr>
              <w:t>（</w:t>
            </w:r>
            <w:r>
              <w:rPr>
                <w:rFonts w:hint="default" w:ascii="宋体" w:hAnsi="宋体"/>
                <w:highlight w:val="none"/>
                <w:lang w:val="en-US" w:eastAsia="zh-CN"/>
              </w:rPr>
              <w:t>5</w:t>
            </w:r>
            <w:r>
              <w:rPr>
                <w:rFonts w:hint="default" w:ascii="宋体" w:hAnsi="宋体"/>
                <w:highlight w:val="none"/>
                <w:lang w:val="en-US"/>
              </w:rPr>
              <w:t>）当投标人的评标价相同时，按投标人在第一个信封（商务及技术文件）中排名的先后</w:t>
            </w:r>
            <w:r>
              <w:rPr>
                <w:rFonts w:hint="eastAsia" w:ascii="宋体" w:hAnsi="宋体"/>
                <w:highlight w:val="none"/>
                <w:lang w:val="en-US" w:eastAsia="zh-CN"/>
              </w:rPr>
              <w:t>顺</w:t>
            </w:r>
            <w:r>
              <w:rPr>
                <w:rFonts w:hint="default" w:ascii="宋体" w:hAnsi="宋体"/>
                <w:highlight w:val="none"/>
                <w:lang w:val="en-US"/>
              </w:rPr>
              <w:t>序确定中标候选人的排序。</w:t>
            </w:r>
          </w:p>
          <w:p w14:paraId="0E07127B">
            <w:pPr>
              <w:jc w:val="both"/>
              <w:rPr>
                <w:rFonts w:hint="default" w:ascii="Times New Roman" w:hAnsi="Times New Roman" w:cs="Times New Roman"/>
                <w:lang w:val="en-US"/>
              </w:rPr>
            </w:pPr>
            <w:r>
              <w:rPr>
                <w:rFonts w:hint="eastAsia" w:ascii="宋体" w:hAnsi="宋体"/>
                <w:highlight w:val="none"/>
                <w:lang w:val="en-US" w:eastAsia="zh-CN"/>
              </w:rPr>
              <w:t>（6）</w:t>
            </w:r>
            <w:r>
              <w:rPr>
                <w:rFonts w:hint="default" w:ascii="宋体" w:hAnsi="宋体"/>
                <w:highlight w:val="none"/>
                <w:lang w:val="en-US"/>
              </w:rPr>
              <w:t>如投标人评标价高于本标段的最高投标限价或低于成本</w:t>
            </w:r>
            <w:r>
              <w:rPr>
                <w:rFonts w:hint="default" w:ascii="宋体" w:hAnsi="宋体"/>
                <w:highlight w:val="none"/>
                <w:lang w:val="en-US" w:eastAsia="zh-CN"/>
              </w:rPr>
              <w:t>评估值</w:t>
            </w:r>
            <w:r>
              <w:rPr>
                <w:rFonts w:hint="default" w:ascii="宋体" w:hAnsi="宋体"/>
                <w:lang w:val="en-US"/>
              </w:rPr>
              <w:t>的</w:t>
            </w:r>
            <w:r>
              <w:rPr>
                <w:rFonts w:hint="default" w:ascii="宋体" w:hAnsi="宋体"/>
                <w:lang w:val="en-US" w:eastAsia="zh-CN"/>
              </w:rPr>
              <w:t>，</w:t>
            </w:r>
            <w:r>
              <w:rPr>
                <w:rFonts w:hint="default" w:ascii="宋体" w:hAnsi="宋体"/>
                <w:lang w:val="en-US"/>
              </w:rPr>
              <w:t xml:space="preserve">其投标将被否决。 </w:t>
            </w:r>
          </w:p>
        </w:tc>
      </w:tr>
      <w:tr w14:paraId="09E47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3" w:hRule="atLeast"/>
          <w:jc w:val="center"/>
        </w:trPr>
        <w:tc>
          <w:tcPr>
            <w:tcW w:w="993" w:type="dxa"/>
            <w:tcBorders>
              <w:top w:val="single" w:color="000000" w:sz="2" w:space="0"/>
              <w:left w:val="single" w:color="000000" w:sz="2" w:space="0"/>
              <w:bottom w:val="single" w:color="000000" w:sz="2" w:space="0"/>
              <w:right w:val="single" w:color="000000" w:sz="2" w:space="0"/>
            </w:tcBorders>
          </w:tcPr>
          <w:p w14:paraId="509BD49C">
            <w:pPr>
              <w:spacing w:line="249" w:lineRule="auto"/>
              <w:rPr>
                <w:rFonts w:hint="default"/>
                <w:lang w:val="en-US"/>
              </w:rPr>
            </w:pPr>
          </w:p>
          <w:p w14:paraId="3B3F3F2D">
            <w:pPr>
              <w:spacing w:line="249" w:lineRule="auto"/>
              <w:rPr>
                <w:rFonts w:hint="default"/>
                <w:lang w:val="en-US"/>
              </w:rPr>
            </w:pPr>
          </w:p>
          <w:p w14:paraId="3BA3B8DE">
            <w:pPr>
              <w:spacing w:line="249" w:lineRule="auto"/>
              <w:rPr>
                <w:rFonts w:hint="default"/>
                <w:lang w:val="en-US"/>
              </w:rPr>
            </w:pPr>
          </w:p>
          <w:p w14:paraId="273C1074">
            <w:pPr>
              <w:spacing w:line="249" w:lineRule="auto"/>
              <w:rPr>
                <w:rFonts w:hint="default"/>
                <w:lang w:val="en-US"/>
              </w:rPr>
            </w:pPr>
          </w:p>
          <w:p w14:paraId="0304234B">
            <w:pPr>
              <w:spacing w:line="249" w:lineRule="auto"/>
              <w:rPr>
                <w:rFonts w:hint="default"/>
                <w:lang w:val="en-US"/>
              </w:rPr>
            </w:pPr>
          </w:p>
          <w:p w14:paraId="28201784">
            <w:pPr>
              <w:spacing w:line="249" w:lineRule="auto"/>
              <w:rPr>
                <w:rFonts w:hint="default"/>
                <w:lang w:val="en-US"/>
              </w:rPr>
            </w:pPr>
          </w:p>
          <w:p w14:paraId="1A8F39C8">
            <w:pPr>
              <w:spacing w:line="249" w:lineRule="auto"/>
              <w:rPr>
                <w:rFonts w:hint="default"/>
                <w:lang w:val="en-US"/>
              </w:rPr>
            </w:pPr>
          </w:p>
          <w:p w14:paraId="226C7EB3">
            <w:pPr>
              <w:spacing w:line="249" w:lineRule="auto"/>
              <w:rPr>
                <w:rFonts w:hint="default"/>
                <w:lang w:val="en-US"/>
              </w:rPr>
            </w:pPr>
          </w:p>
          <w:p w14:paraId="03C67F90">
            <w:pPr>
              <w:spacing w:line="249" w:lineRule="auto"/>
              <w:rPr>
                <w:rFonts w:hint="default"/>
                <w:lang w:val="en-US"/>
              </w:rPr>
            </w:pPr>
          </w:p>
          <w:p w14:paraId="4BF65669">
            <w:pPr>
              <w:spacing w:line="249" w:lineRule="auto"/>
              <w:rPr>
                <w:rFonts w:hint="default"/>
                <w:lang w:val="en-US"/>
              </w:rPr>
            </w:pPr>
          </w:p>
          <w:p w14:paraId="75384CEA">
            <w:pPr>
              <w:spacing w:line="249" w:lineRule="auto"/>
              <w:rPr>
                <w:rFonts w:hint="default"/>
                <w:lang w:val="en-US"/>
              </w:rPr>
            </w:pPr>
          </w:p>
          <w:p w14:paraId="47AD51F2">
            <w:pPr>
              <w:spacing w:line="249" w:lineRule="auto"/>
              <w:rPr>
                <w:rFonts w:hint="default"/>
                <w:lang w:val="en-US"/>
              </w:rPr>
            </w:pPr>
          </w:p>
          <w:p w14:paraId="3C74EC93">
            <w:pPr>
              <w:spacing w:line="249" w:lineRule="auto"/>
              <w:rPr>
                <w:rFonts w:hint="default"/>
                <w:lang w:val="en-US"/>
              </w:rPr>
            </w:pPr>
          </w:p>
          <w:p w14:paraId="2A45187D">
            <w:pPr>
              <w:spacing w:line="249" w:lineRule="auto"/>
              <w:rPr>
                <w:rFonts w:hint="default"/>
                <w:lang w:val="en-US"/>
              </w:rPr>
            </w:pPr>
          </w:p>
          <w:p w14:paraId="30C0A63A">
            <w:pPr>
              <w:spacing w:before="61" w:line="381" w:lineRule="exact"/>
              <w:ind w:left="287"/>
              <w:rPr>
                <w:rFonts w:hint="default" w:ascii="Times New Roman" w:hAnsi="Times New Roman" w:cs="Times New Roman"/>
                <w:lang w:val="en-US"/>
              </w:rPr>
            </w:pPr>
            <w:r>
              <w:rPr>
                <w:rFonts w:hint="default" w:ascii="Times New Roman" w:hAnsi="Times New Roman" w:cs="Times New Roman"/>
                <w:spacing w:val="-1"/>
                <w:position w:val="16"/>
                <w:lang w:val="en-US"/>
              </w:rPr>
              <w:t>2.</w:t>
            </w:r>
            <w:r>
              <w:rPr>
                <w:rFonts w:hint="default" w:ascii="Times New Roman" w:hAnsi="Times New Roman" w:cs="Times New Roman"/>
                <w:position w:val="16"/>
                <w:lang w:val="en-US"/>
              </w:rPr>
              <w:t>1.1</w:t>
            </w:r>
          </w:p>
          <w:p w14:paraId="09616792">
            <w:pPr>
              <w:ind w:left="287"/>
              <w:rPr>
                <w:rFonts w:hint="default" w:ascii="Times New Roman" w:hAnsi="Times New Roman" w:cs="Times New Roman"/>
                <w:lang w:val="en-US"/>
              </w:rPr>
            </w:pPr>
            <w:r>
              <w:rPr>
                <w:rFonts w:hint="default" w:ascii="Times New Roman" w:hAnsi="Times New Roman" w:cs="Times New Roman"/>
                <w:spacing w:val="-1"/>
                <w:lang w:val="en-US"/>
              </w:rPr>
              <w:t>2.</w:t>
            </w:r>
            <w:r>
              <w:rPr>
                <w:rFonts w:hint="default" w:ascii="Times New Roman" w:hAnsi="Times New Roman" w:cs="Times New Roman"/>
                <w:lang w:val="en-US"/>
              </w:rPr>
              <w:t>1.3</w:t>
            </w:r>
          </w:p>
        </w:tc>
        <w:tc>
          <w:tcPr>
            <w:tcW w:w="1279" w:type="dxa"/>
            <w:tcBorders>
              <w:top w:val="single" w:color="000000" w:sz="2" w:space="0"/>
              <w:left w:val="single" w:color="000000" w:sz="2" w:space="0"/>
              <w:bottom w:val="single" w:color="000000" w:sz="2" w:space="0"/>
              <w:right w:val="single" w:color="000000" w:sz="4" w:space="0"/>
            </w:tcBorders>
          </w:tcPr>
          <w:p w14:paraId="3D6FC931">
            <w:pPr>
              <w:spacing w:line="249" w:lineRule="auto"/>
              <w:rPr>
                <w:rFonts w:hint="default"/>
                <w:lang w:val="en-US"/>
              </w:rPr>
            </w:pPr>
          </w:p>
          <w:p w14:paraId="1FF9B075">
            <w:pPr>
              <w:spacing w:line="249" w:lineRule="auto"/>
              <w:rPr>
                <w:rFonts w:hint="default"/>
                <w:lang w:val="en-US"/>
              </w:rPr>
            </w:pPr>
          </w:p>
          <w:p w14:paraId="589F45A3">
            <w:pPr>
              <w:spacing w:line="249" w:lineRule="auto"/>
              <w:rPr>
                <w:rFonts w:hint="default"/>
                <w:lang w:val="en-US"/>
              </w:rPr>
            </w:pPr>
          </w:p>
          <w:p w14:paraId="1BF5D6A2">
            <w:pPr>
              <w:spacing w:line="249" w:lineRule="auto"/>
              <w:rPr>
                <w:rFonts w:hint="default"/>
                <w:lang w:val="en-US"/>
              </w:rPr>
            </w:pPr>
          </w:p>
          <w:p w14:paraId="2D2B2466">
            <w:pPr>
              <w:spacing w:line="249" w:lineRule="auto"/>
              <w:rPr>
                <w:rFonts w:hint="default"/>
                <w:lang w:val="en-US"/>
              </w:rPr>
            </w:pPr>
          </w:p>
          <w:p w14:paraId="5BAB2105">
            <w:pPr>
              <w:spacing w:line="249" w:lineRule="auto"/>
              <w:rPr>
                <w:rFonts w:hint="default"/>
                <w:lang w:val="en-US"/>
              </w:rPr>
            </w:pPr>
          </w:p>
          <w:p w14:paraId="682B4FCC">
            <w:pPr>
              <w:spacing w:line="249" w:lineRule="auto"/>
              <w:rPr>
                <w:rFonts w:hint="default"/>
                <w:lang w:val="en-US"/>
              </w:rPr>
            </w:pPr>
          </w:p>
          <w:p w14:paraId="7CEB6567">
            <w:pPr>
              <w:spacing w:line="249" w:lineRule="auto"/>
              <w:rPr>
                <w:rFonts w:hint="default"/>
                <w:lang w:val="en-US"/>
              </w:rPr>
            </w:pPr>
          </w:p>
          <w:p w14:paraId="02C271C7">
            <w:pPr>
              <w:spacing w:line="249" w:lineRule="auto"/>
              <w:rPr>
                <w:rFonts w:hint="default"/>
                <w:lang w:val="en-US"/>
              </w:rPr>
            </w:pPr>
          </w:p>
          <w:p w14:paraId="5E55D458">
            <w:pPr>
              <w:spacing w:line="249" w:lineRule="auto"/>
              <w:rPr>
                <w:rFonts w:hint="default"/>
                <w:lang w:val="en-US"/>
              </w:rPr>
            </w:pPr>
          </w:p>
          <w:p w14:paraId="20AB5AD5">
            <w:pPr>
              <w:spacing w:line="249" w:lineRule="auto"/>
              <w:rPr>
                <w:rFonts w:hint="default"/>
                <w:lang w:val="en-US"/>
              </w:rPr>
            </w:pPr>
          </w:p>
          <w:p w14:paraId="4B094A0D">
            <w:pPr>
              <w:spacing w:line="249" w:lineRule="auto"/>
              <w:rPr>
                <w:rFonts w:hint="default"/>
                <w:lang w:val="en-US"/>
              </w:rPr>
            </w:pPr>
          </w:p>
          <w:p w14:paraId="3E7D5737">
            <w:pPr>
              <w:spacing w:line="249" w:lineRule="auto"/>
              <w:rPr>
                <w:rFonts w:hint="default"/>
                <w:lang w:val="en-US"/>
              </w:rPr>
            </w:pPr>
          </w:p>
          <w:p w14:paraId="27B28280">
            <w:pPr>
              <w:spacing w:before="68"/>
              <w:ind w:left="119"/>
              <w:rPr>
                <w:rFonts w:hint="default" w:ascii="宋体" w:hAnsi="宋体"/>
                <w:lang w:val="en-US"/>
              </w:rPr>
            </w:pPr>
            <w:r>
              <w:rPr>
                <w:rFonts w:hint="default" w:ascii="宋体" w:hAnsi="宋体"/>
                <w:spacing w:val="-2"/>
                <w:lang w:val="en-US"/>
              </w:rPr>
              <w:t>形式评</w:t>
            </w:r>
            <w:r>
              <w:rPr>
                <w:rFonts w:hint="default" w:ascii="宋体" w:hAnsi="宋体"/>
                <w:spacing w:val="-1"/>
                <w:lang w:val="en-US"/>
              </w:rPr>
              <w:t>审与</w:t>
            </w:r>
          </w:p>
          <w:p w14:paraId="51B4221F">
            <w:pPr>
              <w:spacing w:before="129"/>
              <w:ind w:left="127"/>
              <w:rPr>
                <w:rFonts w:hint="default" w:ascii="宋体" w:hAnsi="宋体"/>
                <w:lang w:val="en-US"/>
              </w:rPr>
            </w:pPr>
            <w:r>
              <w:rPr>
                <w:rFonts w:hint="default" w:ascii="宋体" w:hAnsi="宋体"/>
                <w:spacing w:val="-4"/>
                <w:lang w:val="en-US"/>
              </w:rPr>
              <w:t>响</w:t>
            </w:r>
            <w:r>
              <w:rPr>
                <w:rFonts w:hint="default" w:ascii="宋体" w:hAnsi="宋体"/>
                <w:spacing w:val="-3"/>
                <w:lang w:val="en-US"/>
              </w:rPr>
              <w:t>应性评审</w:t>
            </w:r>
          </w:p>
          <w:p w14:paraId="4306FB21">
            <w:pPr>
              <w:spacing w:before="130"/>
              <w:ind w:left="434"/>
              <w:rPr>
                <w:rFonts w:hint="default" w:ascii="宋体" w:hAnsi="宋体"/>
                <w:lang w:val="en-US"/>
              </w:rPr>
            </w:pPr>
            <w:r>
              <w:rPr>
                <w:rFonts w:hint="default" w:ascii="宋体" w:hAnsi="宋体"/>
                <w:spacing w:val="-2"/>
                <w:lang w:val="en-US"/>
              </w:rPr>
              <w:t>标准</w:t>
            </w:r>
          </w:p>
        </w:tc>
        <w:tc>
          <w:tcPr>
            <w:tcW w:w="6626" w:type="dxa"/>
            <w:tcBorders>
              <w:top w:val="single" w:color="000000" w:sz="2" w:space="0"/>
              <w:left w:val="nil"/>
              <w:bottom w:val="single" w:color="000000" w:sz="2" w:space="0"/>
              <w:right w:val="single" w:color="000000" w:sz="2" w:space="0"/>
            </w:tcBorders>
          </w:tcPr>
          <w:p w14:paraId="3B18F171">
            <w:pPr>
              <w:keepNext w:val="0"/>
              <w:keepLines w:val="0"/>
              <w:pageBreakBefore w:val="0"/>
              <w:widowControl/>
              <w:kinsoku w:val="0"/>
              <w:wordWrap/>
              <w:overflowPunct/>
              <w:topLinePunct w:val="0"/>
              <w:autoSpaceDE w:val="0"/>
              <w:autoSpaceDN w:val="0"/>
              <w:bidi w:val="0"/>
              <w:adjustRightInd w:val="0"/>
              <w:snapToGrid w:val="0"/>
              <w:spacing w:before="122" w:line="300" w:lineRule="exact"/>
              <w:ind w:left="532"/>
              <w:textAlignment w:val="baseline"/>
              <w:rPr>
                <w:rFonts w:hint="default" w:ascii="宋体" w:hAnsi="宋体"/>
                <w:lang w:val="en-US"/>
              </w:rPr>
            </w:pPr>
            <w:r>
              <w:rPr>
                <w:rFonts w:hint="default" w:ascii="宋体" w:hAnsi="宋体"/>
                <w:spacing w:val="9"/>
                <w:lang w:val="en-US"/>
              </w:rPr>
              <w:t>第一个信封(商务及技术文件)评审标准</w:t>
            </w:r>
            <w:r>
              <w:rPr>
                <w:rFonts w:hint="default" w:ascii="宋体" w:hAnsi="宋体"/>
                <w:spacing w:val="8"/>
                <w:lang w:val="en-US"/>
              </w:rPr>
              <w:t>：</w:t>
            </w:r>
          </w:p>
          <w:p w14:paraId="6FFA622E">
            <w:pPr>
              <w:keepNext w:val="0"/>
              <w:keepLines w:val="0"/>
              <w:pageBreakBefore w:val="0"/>
              <w:widowControl/>
              <w:kinsoku w:val="0"/>
              <w:wordWrap/>
              <w:overflowPunct/>
              <w:topLinePunct w:val="0"/>
              <w:autoSpaceDE w:val="0"/>
              <w:autoSpaceDN w:val="0"/>
              <w:bidi w:val="0"/>
              <w:adjustRightInd w:val="0"/>
              <w:snapToGrid w:val="0"/>
              <w:spacing w:before="108" w:line="300" w:lineRule="exact"/>
              <w:ind w:left="110" w:right="105" w:firstLine="425"/>
              <w:textAlignment w:val="baseline"/>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1</w:t>
            </w:r>
            <w:r>
              <w:rPr>
                <w:rFonts w:hint="default" w:ascii="宋体" w:hAnsi="宋体"/>
                <w:spacing w:val="3"/>
                <w:lang w:val="en-US"/>
              </w:rPr>
              <w:t>) 投标文件按照招标文件规定的格式、内容填写，字迹清晰可</w:t>
            </w:r>
            <w:r>
              <w:rPr>
                <w:rFonts w:hint="default" w:ascii="宋体" w:hAnsi="宋体"/>
                <w:lang w:val="en-US"/>
              </w:rPr>
              <w:t xml:space="preserve"> </w:t>
            </w:r>
            <w:r>
              <w:rPr>
                <w:rFonts w:hint="default" w:ascii="宋体" w:hAnsi="宋体"/>
                <w:spacing w:val="-14"/>
                <w:lang w:val="en-US"/>
              </w:rPr>
              <w:t>辨：</w:t>
            </w:r>
          </w:p>
          <w:p w14:paraId="1E4F9DFC">
            <w:pPr>
              <w:keepNext w:val="0"/>
              <w:keepLines w:val="0"/>
              <w:pageBreakBefore w:val="0"/>
              <w:widowControl/>
              <w:kinsoku w:val="0"/>
              <w:wordWrap/>
              <w:overflowPunct/>
              <w:topLinePunct w:val="0"/>
              <w:autoSpaceDE w:val="0"/>
              <w:autoSpaceDN w:val="0"/>
              <w:bidi w:val="0"/>
              <w:adjustRightInd w:val="0"/>
              <w:snapToGrid w:val="0"/>
              <w:spacing w:before="1" w:line="300" w:lineRule="exact"/>
              <w:ind w:left="110" w:right="107" w:firstLine="418"/>
              <w:textAlignment w:val="baseline"/>
              <w:rPr>
                <w:rFonts w:hint="default" w:ascii="宋体" w:hAnsi="宋体"/>
                <w:lang w:val="en-US"/>
              </w:rPr>
            </w:pPr>
            <w:r>
              <w:rPr>
                <w:rFonts w:hint="default" w:ascii="Times New Roman" w:hAnsi="Times New Roman" w:cs="Times New Roman"/>
                <w:lang w:val="en-US"/>
              </w:rPr>
              <w:t>a</w:t>
            </w:r>
            <w:r>
              <w:rPr>
                <w:rFonts w:hint="default" w:ascii="Times New Roman" w:hAnsi="Times New Roman" w:cs="Times New Roman"/>
                <w:spacing w:val="-5"/>
                <w:lang w:val="en-US"/>
              </w:rPr>
              <w:t>.</w:t>
            </w:r>
            <w:r>
              <w:rPr>
                <w:rFonts w:hint="default" w:ascii="宋体" w:hAnsi="宋体"/>
                <w:spacing w:val="-5"/>
                <w:lang w:val="en-US"/>
              </w:rPr>
              <w:t>投标函按招标文件规定填报了项目名称、标段号、补遗书编号(如</w:t>
            </w:r>
            <w:r>
              <w:rPr>
                <w:rFonts w:hint="default" w:ascii="宋体" w:hAnsi="宋体"/>
                <w:lang w:val="en-US"/>
              </w:rPr>
              <w:t xml:space="preserve"> </w:t>
            </w:r>
            <w:r>
              <w:rPr>
                <w:rFonts w:hint="default" w:ascii="宋体" w:hAnsi="宋体"/>
                <w:spacing w:val="-1"/>
                <w:lang w:val="en-US"/>
              </w:rPr>
              <w:t>有)、工期、</w:t>
            </w:r>
            <w:r>
              <w:rPr>
                <w:rFonts w:hint="default" w:ascii="宋体" w:hAnsi="宋体"/>
                <w:lang w:val="en-US"/>
              </w:rPr>
              <w:t>工程质量要求及安全目标；</w:t>
            </w:r>
          </w:p>
          <w:p w14:paraId="71DCD87E">
            <w:pPr>
              <w:keepNext w:val="0"/>
              <w:keepLines w:val="0"/>
              <w:pageBreakBefore w:val="0"/>
              <w:widowControl/>
              <w:kinsoku w:val="0"/>
              <w:wordWrap/>
              <w:overflowPunct/>
              <w:topLinePunct w:val="0"/>
              <w:autoSpaceDE w:val="0"/>
              <w:autoSpaceDN w:val="0"/>
              <w:bidi w:val="0"/>
              <w:adjustRightInd w:val="0"/>
              <w:snapToGrid w:val="0"/>
              <w:spacing w:line="300" w:lineRule="exact"/>
              <w:ind w:left="521"/>
              <w:textAlignment w:val="baseline"/>
              <w:rPr>
                <w:rFonts w:hint="default" w:ascii="宋体" w:hAnsi="宋体"/>
                <w:lang w:val="en-US"/>
              </w:rPr>
            </w:pPr>
            <w:r>
              <w:rPr>
                <w:rFonts w:hint="default" w:ascii="Times New Roman" w:hAnsi="Times New Roman" w:cs="Times New Roman"/>
                <w:lang w:val="en-US"/>
              </w:rPr>
              <w:t>b</w:t>
            </w:r>
            <w:r>
              <w:rPr>
                <w:rFonts w:hint="default" w:ascii="Times New Roman" w:hAnsi="Times New Roman" w:cs="Times New Roman"/>
                <w:spacing w:val="1"/>
                <w:lang w:val="en-US"/>
              </w:rPr>
              <w:t>.</w:t>
            </w:r>
            <w:r>
              <w:rPr>
                <w:rFonts w:hint="default" w:ascii="宋体" w:hAnsi="宋体"/>
                <w:spacing w:val="1"/>
                <w:lang w:val="en-US"/>
              </w:rPr>
              <w:t>投标函附</w:t>
            </w:r>
            <w:r>
              <w:rPr>
                <w:rFonts w:hint="default" w:ascii="宋体" w:hAnsi="宋体"/>
                <w:lang w:val="en-US"/>
              </w:rPr>
              <w:t>录的所有数据均符合招标文件规定；</w:t>
            </w:r>
          </w:p>
          <w:p w14:paraId="34CFF38F">
            <w:pPr>
              <w:keepNext w:val="0"/>
              <w:keepLines w:val="0"/>
              <w:pageBreakBefore w:val="0"/>
              <w:widowControl/>
              <w:kinsoku w:val="0"/>
              <w:wordWrap/>
              <w:overflowPunct/>
              <w:topLinePunct w:val="0"/>
              <w:autoSpaceDE w:val="0"/>
              <w:autoSpaceDN w:val="0"/>
              <w:bidi w:val="0"/>
              <w:adjustRightInd w:val="0"/>
              <w:snapToGrid w:val="0"/>
              <w:spacing w:before="94" w:line="300" w:lineRule="exact"/>
              <w:ind w:left="529"/>
              <w:textAlignment w:val="baseline"/>
              <w:rPr>
                <w:rFonts w:hint="default" w:ascii="宋体" w:hAnsi="宋体"/>
                <w:lang w:val="en-US"/>
              </w:rPr>
            </w:pPr>
            <w:r>
              <w:rPr>
                <w:rFonts w:hint="default" w:ascii="Times New Roman" w:hAnsi="Times New Roman" w:cs="Times New Roman"/>
                <w:lang w:val="en-US"/>
              </w:rPr>
              <w:t>c</w:t>
            </w:r>
            <w:r>
              <w:rPr>
                <w:rFonts w:hint="default" w:ascii="Times New Roman" w:hAnsi="Times New Roman" w:cs="Times New Roman"/>
                <w:spacing w:val="-1"/>
                <w:lang w:val="en-US"/>
              </w:rPr>
              <w:t>.</w:t>
            </w:r>
            <w:r>
              <w:rPr>
                <w:rFonts w:hint="default" w:ascii="宋体" w:hAnsi="宋体"/>
                <w:spacing w:val="-1"/>
                <w:lang w:val="en-US"/>
              </w:rPr>
              <w:t>投标文件组成齐全完整，内容均按规定填写</w:t>
            </w:r>
            <w:r>
              <w:rPr>
                <w:rFonts w:hint="default" w:ascii="宋体" w:hAnsi="宋体"/>
                <w:lang w:val="en-US"/>
              </w:rPr>
              <w:t>。</w:t>
            </w:r>
          </w:p>
          <w:p w14:paraId="66DEB0E0">
            <w:pPr>
              <w:keepNext w:val="0"/>
              <w:keepLines w:val="0"/>
              <w:pageBreakBefore w:val="0"/>
              <w:widowControl/>
              <w:kinsoku w:val="0"/>
              <w:wordWrap/>
              <w:overflowPunct/>
              <w:topLinePunct w:val="0"/>
              <w:autoSpaceDE w:val="0"/>
              <w:autoSpaceDN w:val="0"/>
              <w:bidi w:val="0"/>
              <w:adjustRightInd w:val="0"/>
              <w:snapToGrid w:val="0"/>
              <w:spacing w:before="94" w:line="300" w:lineRule="exact"/>
              <w:ind w:left="110" w:right="105" w:firstLine="426"/>
              <w:textAlignment w:val="baseline"/>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2</w:t>
            </w:r>
            <w:r>
              <w:rPr>
                <w:rFonts w:hint="default" w:ascii="宋体" w:hAnsi="宋体"/>
                <w:spacing w:val="3"/>
                <w:lang w:val="en-US"/>
              </w:rPr>
              <w:t>) 投标文件上法定代表人或其委托代理人的签字、投标人的单</w:t>
            </w:r>
            <w:r>
              <w:rPr>
                <w:rFonts w:hint="default" w:ascii="宋体" w:hAnsi="宋体"/>
                <w:lang w:val="en-US"/>
              </w:rPr>
              <w:t xml:space="preserve"> </w:t>
            </w:r>
            <w:r>
              <w:rPr>
                <w:rFonts w:hint="default" w:ascii="宋体" w:hAnsi="宋体"/>
                <w:spacing w:val="-12"/>
                <w:lang w:val="en-US"/>
              </w:rPr>
              <w:t>位</w:t>
            </w:r>
            <w:r>
              <w:rPr>
                <w:rFonts w:hint="default" w:ascii="宋体" w:hAnsi="宋体"/>
                <w:spacing w:val="-8"/>
                <w:lang w:val="en-US"/>
              </w:rPr>
              <w:t>章</w:t>
            </w:r>
            <w:r>
              <w:rPr>
                <w:rFonts w:hint="default" w:ascii="宋体" w:hAnsi="宋体"/>
                <w:spacing w:val="-6"/>
                <w:lang w:val="en-US"/>
              </w:rPr>
              <w:t>盖章齐全，符合招标文件规定。</w:t>
            </w:r>
          </w:p>
          <w:p w14:paraId="0763D3B6">
            <w:pPr>
              <w:keepNext w:val="0"/>
              <w:keepLines w:val="0"/>
              <w:pageBreakBefore w:val="0"/>
              <w:widowControl/>
              <w:kinsoku w:val="0"/>
              <w:wordWrap/>
              <w:overflowPunct/>
              <w:topLinePunct w:val="0"/>
              <w:autoSpaceDE w:val="0"/>
              <w:autoSpaceDN w:val="0"/>
              <w:bidi w:val="0"/>
              <w:adjustRightInd w:val="0"/>
              <w:snapToGrid w:val="0"/>
              <w:spacing w:before="2" w:line="300" w:lineRule="exact"/>
              <w:ind w:left="110" w:right="105" w:firstLine="425"/>
              <w:textAlignment w:val="baseline"/>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3</w:t>
            </w:r>
            <w:r>
              <w:rPr>
                <w:rFonts w:hint="default" w:ascii="宋体" w:hAnsi="宋体"/>
                <w:spacing w:val="3"/>
                <w:lang w:val="en-US"/>
              </w:rPr>
              <w:t>) 与申请资格预审时比较，投标人发生合并、分立、破产等重</w:t>
            </w:r>
            <w:r>
              <w:rPr>
                <w:rFonts w:hint="default" w:ascii="宋体" w:hAnsi="宋体"/>
                <w:lang w:val="en-US"/>
              </w:rPr>
              <w:t xml:space="preserve"> </w:t>
            </w:r>
            <w:r>
              <w:rPr>
                <w:rFonts w:hint="default" w:ascii="宋体" w:hAnsi="宋体"/>
                <w:spacing w:val="-6"/>
                <w:lang w:val="en-US"/>
              </w:rPr>
              <w:t>大变化的，</w:t>
            </w:r>
            <w:r>
              <w:rPr>
                <w:rFonts w:hint="default" w:ascii="宋体" w:hAnsi="宋体"/>
                <w:spacing w:val="-3"/>
                <w:lang w:val="en-US"/>
              </w:rPr>
              <w:t>仍具备资格预审文件规定的相应资格条件且其投标未影响招</w:t>
            </w:r>
            <w:r>
              <w:rPr>
                <w:rFonts w:hint="default" w:ascii="宋体" w:hAnsi="宋体"/>
                <w:lang w:val="en-US"/>
              </w:rPr>
              <w:t xml:space="preserve"> </w:t>
            </w:r>
            <w:r>
              <w:rPr>
                <w:rFonts w:hint="default" w:ascii="宋体" w:hAnsi="宋体"/>
                <w:spacing w:val="-7"/>
                <w:lang w:val="en-US"/>
              </w:rPr>
              <w:t>标</w:t>
            </w:r>
            <w:r>
              <w:rPr>
                <w:rFonts w:hint="default" w:ascii="宋体" w:hAnsi="宋体"/>
                <w:spacing w:val="-6"/>
                <w:lang w:val="en-US"/>
              </w:rPr>
              <w:t>公正性：</w:t>
            </w:r>
          </w:p>
          <w:p w14:paraId="0E23041B">
            <w:pPr>
              <w:keepNext w:val="0"/>
              <w:keepLines w:val="0"/>
              <w:pageBreakBefore w:val="0"/>
              <w:widowControl/>
              <w:kinsoku w:val="0"/>
              <w:wordWrap/>
              <w:overflowPunct/>
              <w:topLinePunct w:val="0"/>
              <w:autoSpaceDE w:val="0"/>
              <w:autoSpaceDN w:val="0"/>
              <w:bidi w:val="0"/>
              <w:adjustRightInd w:val="0"/>
              <w:snapToGrid w:val="0"/>
              <w:spacing w:before="1" w:line="300" w:lineRule="exact"/>
              <w:ind w:left="110" w:right="112" w:firstLine="419"/>
              <w:textAlignment w:val="baseline"/>
              <w:rPr>
                <w:rFonts w:hint="default" w:ascii="宋体" w:hAnsi="宋体"/>
                <w:lang w:val="en-US"/>
              </w:rPr>
            </w:pPr>
            <w:r>
              <w:rPr>
                <w:rFonts w:hint="default" w:ascii="Times New Roman" w:hAnsi="Times New Roman" w:cs="Times New Roman"/>
                <w:lang w:val="en-US"/>
              </w:rPr>
              <w:t>a</w:t>
            </w:r>
            <w:r>
              <w:rPr>
                <w:rFonts w:hint="default" w:ascii="Times New Roman" w:hAnsi="Times New Roman" w:cs="Times New Roman"/>
                <w:spacing w:val="10"/>
                <w:lang w:val="en-US"/>
              </w:rPr>
              <w:t>.</w:t>
            </w:r>
            <w:r>
              <w:rPr>
                <w:rFonts w:hint="default" w:ascii="宋体" w:hAnsi="宋体"/>
                <w:spacing w:val="10"/>
                <w:lang w:val="en-US"/>
              </w:rPr>
              <w:t>投标人</w:t>
            </w:r>
            <w:r>
              <w:rPr>
                <w:rFonts w:hint="default" w:ascii="宋体" w:hAnsi="宋体"/>
                <w:spacing w:val="5"/>
                <w:lang w:val="en-US"/>
              </w:rPr>
              <w:t>应提供相关部门的合法批件及企业法人营业执照和资质</w:t>
            </w:r>
            <w:r>
              <w:rPr>
                <w:rFonts w:hint="default" w:ascii="宋体" w:hAnsi="宋体"/>
                <w:spacing w:val="-2"/>
                <w:lang w:val="en-US"/>
              </w:rPr>
              <w:t>证书等证件的副本变更记录复</w:t>
            </w:r>
            <w:r>
              <w:rPr>
                <w:rFonts w:hint="default" w:ascii="宋体" w:hAnsi="宋体"/>
                <w:spacing w:val="-1"/>
                <w:lang w:val="en-US"/>
              </w:rPr>
              <w:t>印件；</w:t>
            </w:r>
          </w:p>
          <w:p w14:paraId="741F331D">
            <w:pPr>
              <w:keepNext w:val="0"/>
              <w:keepLines w:val="0"/>
              <w:pageBreakBefore w:val="0"/>
              <w:widowControl/>
              <w:kinsoku w:val="0"/>
              <w:wordWrap/>
              <w:overflowPunct/>
              <w:topLinePunct w:val="0"/>
              <w:autoSpaceDE w:val="0"/>
              <w:autoSpaceDN w:val="0"/>
              <w:bidi w:val="0"/>
              <w:adjustRightInd w:val="0"/>
              <w:snapToGrid w:val="0"/>
              <w:spacing w:before="1" w:line="300" w:lineRule="exact"/>
              <w:ind w:left="116" w:right="107" w:firstLine="405"/>
              <w:textAlignment w:val="baseline"/>
              <w:rPr>
                <w:rFonts w:hint="default" w:ascii="宋体" w:hAnsi="宋体"/>
                <w:lang w:val="en-US"/>
              </w:rPr>
            </w:pPr>
            <w:r>
              <w:rPr>
                <w:rFonts w:hint="default" w:ascii="Times New Roman" w:hAnsi="Times New Roman" w:cs="Times New Roman"/>
                <w:lang w:val="en-US"/>
              </w:rPr>
              <w:t>b</w:t>
            </w:r>
            <w:r>
              <w:rPr>
                <w:rFonts w:hint="default" w:ascii="Times New Roman" w:hAnsi="Times New Roman" w:cs="Times New Roman"/>
                <w:spacing w:val="10"/>
                <w:lang w:val="en-US"/>
              </w:rPr>
              <w:t>.</w:t>
            </w:r>
            <w:r>
              <w:rPr>
                <w:rFonts w:hint="default" w:ascii="宋体" w:hAnsi="宋体"/>
                <w:spacing w:val="10"/>
                <w:lang w:val="en-US"/>
              </w:rPr>
              <w:t>投标人</w:t>
            </w:r>
            <w:r>
              <w:rPr>
                <w:rFonts w:hint="default" w:ascii="宋体" w:hAnsi="宋体"/>
                <w:spacing w:val="6"/>
                <w:lang w:val="en-US"/>
              </w:rPr>
              <w:t>仍</w:t>
            </w:r>
            <w:r>
              <w:rPr>
                <w:rFonts w:hint="default" w:ascii="宋体" w:hAnsi="宋体"/>
                <w:spacing w:val="5"/>
                <w:lang w:val="en-US"/>
              </w:rPr>
              <w:t>然满足资格预审文件中规定的资格预审条件最低要求</w:t>
            </w:r>
            <w:r>
              <w:rPr>
                <w:rFonts w:hint="default" w:ascii="宋体" w:hAnsi="宋体"/>
                <w:lang w:val="en-US"/>
              </w:rPr>
              <w:t xml:space="preserve"> </w:t>
            </w:r>
            <w:r>
              <w:rPr>
                <w:rFonts w:hint="default" w:ascii="宋体" w:hAnsi="宋体"/>
                <w:spacing w:val="8"/>
                <w:lang w:val="en-US"/>
              </w:rPr>
              <w:t>(资</w:t>
            </w:r>
            <w:r>
              <w:rPr>
                <w:rFonts w:hint="default" w:ascii="宋体" w:hAnsi="宋体"/>
                <w:spacing w:val="4"/>
                <w:lang w:val="en-US"/>
              </w:rPr>
              <w:t>质、业绩、人员、信誉、财务等)；</w:t>
            </w:r>
          </w:p>
          <w:p w14:paraId="7BCFA9AA">
            <w:pPr>
              <w:keepNext w:val="0"/>
              <w:keepLines w:val="0"/>
              <w:pageBreakBefore w:val="0"/>
              <w:widowControl/>
              <w:kinsoku w:val="0"/>
              <w:wordWrap/>
              <w:overflowPunct/>
              <w:topLinePunct w:val="0"/>
              <w:autoSpaceDE w:val="0"/>
              <w:autoSpaceDN w:val="0"/>
              <w:bidi w:val="0"/>
              <w:adjustRightInd w:val="0"/>
              <w:snapToGrid w:val="0"/>
              <w:spacing w:before="1" w:line="300" w:lineRule="exact"/>
              <w:ind w:left="130" w:right="107" w:firstLine="398"/>
              <w:textAlignment w:val="baseline"/>
              <w:rPr>
                <w:rFonts w:hint="default" w:ascii="宋体" w:hAnsi="宋体"/>
                <w:lang w:val="en-US"/>
              </w:rPr>
            </w:pPr>
            <w:r>
              <w:rPr>
                <w:rFonts w:hint="default" w:ascii="Times New Roman" w:hAnsi="Times New Roman" w:cs="Times New Roman"/>
                <w:spacing w:val="-1"/>
                <w:lang w:val="en-US"/>
              </w:rPr>
              <w:t>c</w:t>
            </w:r>
            <w:r>
              <w:rPr>
                <w:rFonts w:hint="default" w:ascii="Times New Roman" w:hAnsi="Times New Roman" w:cs="Times New Roman"/>
                <w:spacing w:val="-2"/>
                <w:lang w:val="en-US"/>
              </w:rPr>
              <w:t>.</w:t>
            </w:r>
            <w:r>
              <w:rPr>
                <w:rFonts w:hint="default" w:ascii="宋体" w:hAnsi="宋体"/>
                <w:spacing w:val="-2"/>
                <w:lang w:val="en-US"/>
              </w:rPr>
              <w:t>与所投标段的其他投标人不存</w:t>
            </w:r>
            <w:r>
              <w:rPr>
                <w:rFonts w:hint="default" w:ascii="宋体" w:hAnsi="宋体"/>
                <w:spacing w:val="-1"/>
                <w:lang w:val="en-US"/>
              </w:rPr>
              <w:t>在控股、管理关系或单位负责人为</w:t>
            </w:r>
            <w:r>
              <w:rPr>
                <w:rFonts w:hint="default" w:ascii="宋体" w:hAnsi="宋体"/>
                <w:lang w:val="en-US"/>
              </w:rPr>
              <w:t xml:space="preserve"> </w:t>
            </w:r>
            <w:r>
              <w:rPr>
                <w:rFonts w:hint="default" w:ascii="宋体" w:hAnsi="宋体"/>
                <w:spacing w:val="-8"/>
                <w:lang w:val="en-US"/>
              </w:rPr>
              <w:t>同</w:t>
            </w:r>
            <w:r>
              <w:rPr>
                <w:rFonts w:hint="default" w:ascii="宋体" w:hAnsi="宋体"/>
                <w:spacing w:val="-4"/>
                <w:lang w:val="en-US"/>
              </w:rPr>
              <w:t>一人的情况；与招标人也不存在利害关系并可能影响招标公正性。</w:t>
            </w:r>
          </w:p>
          <w:p w14:paraId="5D3EEB8C">
            <w:pPr>
              <w:keepNext w:val="0"/>
              <w:keepLines w:val="0"/>
              <w:pageBreakBefore w:val="0"/>
              <w:widowControl/>
              <w:kinsoku w:val="0"/>
              <w:wordWrap/>
              <w:overflowPunct/>
              <w:topLinePunct w:val="0"/>
              <w:autoSpaceDE w:val="0"/>
              <w:autoSpaceDN w:val="0"/>
              <w:bidi w:val="0"/>
              <w:adjustRightInd w:val="0"/>
              <w:snapToGrid w:val="0"/>
              <w:spacing w:before="1" w:line="300" w:lineRule="exact"/>
              <w:ind w:left="536"/>
              <w:textAlignment w:val="baseline"/>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4</w:t>
            </w:r>
            <w:r>
              <w:rPr>
                <w:rFonts w:hint="default" w:ascii="宋体" w:hAnsi="宋体"/>
                <w:spacing w:val="6"/>
                <w:lang w:val="en-US"/>
              </w:rPr>
              <w:t>) 投标</w:t>
            </w:r>
            <w:r>
              <w:rPr>
                <w:rFonts w:hint="default" w:ascii="宋体" w:hAnsi="宋体"/>
                <w:spacing w:val="4"/>
                <w:lang w:val="en-US"/>
              </w:rPr>
              <w:t>人</w:t>
            </w:r>
            <w:r>
              <w:rPr>
                <w:rFonts w:hint="default" w:ascii="宋体" w:hAnsi="宋体"/>
                <w:spacing w:val="3"/>
                <w:lang w:val="en-US"/>
              </w:rPr>
              <w:t>按照招标文件的规定提供了投标保证金：</w:t>
            </w:r>
          </w:p>
          <w:p w14:paraId="50F66097">
            <w:pPr>
              <w:keepNext w:val="0"/>
              <w:keepLines w:val="0"/>
              <w:pageBreakBefore w:val="0"/>
              <w:widowControl/>
              <w:kinsoku w:val="0"/>
              <w:wordWrap/>
              <w:overflowPunct/>
              <w:topLinePunct w:val="0"/>
              <w:autoSpaceDE w:val="0"/>
              <w:autoSpaceDN w:val="0"/>
              <w:bidi w:val="0"/>
              <w:adjustRightInd w:val="0"/>
              <w:snapToGrid w:val="0"/>
              <w:spacing w:before="111" w:line="300" w:lineRule="exact"/>
              <w:ind w:left="113" w:right="108" w:firstLine="415"/>
              <w:textAlignment w:val="baseline"/>
              <w:rPr>
                <w:rFonts w:hint="default" w:ascii="宋体" w:hAnsi="宋体"/>
                <w:lang w:val="en-US"/>
              </w:rPr>
            </w:pPr>
            <w:r>
              <w:rPr>
                <w:rFonts w:hint="default" w:ascii="Times New Roman" w:hAnsi="Times New Roman" w:cs="Times New Roman"/>
                <w:spacing w:val="-1"/>
                <w:lang w:val="en-US"/>
              </w:rPr>
              <w:t>a</w:t>
            </w:r>
            <w:r>
              <w:rPr>
                <w:rFonts w:hint="default" w:ascii="Times New Roman" w:hAnsi="Times New Roman" w:cs="Times New Roman"/>
                <w:spacing w:val="-2"/>
                <w:lang w:val="en-US"/>
              </w:rPr>
              <w:t>.</w:t>
            </w:r>
            <w:r>
              <w:rPr>
                <w:rFonts w:hint="default" w:ascii="宋体" w:hAnsi="宋体"/>
                <w:spacing w:val="-2"/>
                <w:lang w:val="en-US"/>
              </w:rPr>
              <w:t>投标保证金金额符合招标文件规</w:t>
            </w:r>
            <w:r>
              <w:rPr>
                <w:rFonts w:hint="default" w:ascii="宋体" w:hAnsi="宋体"/>
                <w:spacing w:val="-1"/>
                <w:lang w:val="en-US"/>
              </w:rPr>
              <w:t>定的金额，且投标保证金有效期</w:t>
            </w:r>
            <w:r>
              <w:rPr>
                <w:rFonts w:hint="default" w:ascii="宋体" w:hAnsi="宋体"/>
                <w:lang w:val="en-US"/>
              </w:rPr>
              <w:t xml:space="preserve"> </w:t>
            </w:r>
            <w:r>
              <w:rPr>
                <w:rFonts w:hint="default" w:ascii="宋体" w:hAnsi="宋体"/>
                <w:spacing w:val="-6"/>
                <w:lang w:val="en-US"/>
              </w:rPr>
              <w:t>不少</w:t>
            </w:r>
            <w:r>
              <w:rPr>
                <w:rFonts w:hint="default" w:ascii="宋体" w:hAnsi="宋体"/>
                <w:spacing w:val="-3"/>
                <w:lang w:val="en-US"/>
              </w:rPr>
              <w:t>于投标有效期；</w:t>
            </w:r>
          </w:p>
        </w:tc>
      </w:tr>
    </w:tbl>
    <w:p w14:paraId="65A88B06">
      <w:pPr>
        <w:spacing w:line="264" w:lineRule="auto"/>
        <w:rPr>
          <w:rFonts w:hint="default"/>
          <w:lang w:val="en-US"/>
        </w:rPr>
      </w:pPr>
      <w:r>
        <w:rPr>
          <w:rFonts w:hint="default"/>
          <w:lang w:val="en-US"/>
        </w:rPr>
        <w:t xml:space="preserve"> </w:t>
      </w:r>
    </w:p>
    <w:p w14:paraId="7590F970">
      <w:pPr>
        <w:spacing w:line="266" w:lineRule="auto"/>
        <w:rPr>
          <w:rFonts w:hint="default"/>
          <w:lang w:val="en-US"/>
        </w:rPr>
      </w:pPr>
      <w:r>
        <w:rPr>
          <w:rFonts w:hint="default"/>
          <w:lang w:val="en-US"/>
        </w:rPr>
        <w:t xml:space="preserve"> </w:t>
      </w:r>
    </w:p>
    <w:p w14:paraId="77D7E2F6">
      <w:pPr>
        <w:spacing w:line="288" w:lineRule="auto"/>
        <w:rPr>
          <w:rFonts w:hint="default"/>
          <w:lang w:val="en-US"/>
        </w:rPr>
      </w:pPr>
      <w:r>
        <w:rPr>
          <w:rFonts w:hint="default"/>
          <w:lang w:val="en-US"/>
        </w:rPr>
        <w:t xml:space="preserve"> </w:t>
      </w:r>
    </w:p>
    <w:p w14:paraId="2436C287">
      <w:pPr>
        <w:spacing w:line="288" w:lineRule="auto"/>
        <w:rPr>
          <w:rFonts w:hint="default"/>
          <w:lang w:val="en-US"/>
        </w:rPr>
      </w:pPr>
      <w:r>
        <w:rPr>
          <w:rFonts w:hint="default"/>
          <w:lang w:val="en-US"/>
        </w:rPr>
        <w:t xml:space="preserve"> </w:t>
      </w:r>
    </w:p>
    <w:p w14:paraId="6AEA9F7A">
      <w:pPr>
        <w:spacing w:line="288" w:lineRule="auto"/>
        <w:rPr>
          <w:rFonts w:hint="default"/>
          <w:lang w:val="en-US"/>
        </w:rPr>
      </w:pPr>
      <w:r>
        <w:rPr>
          <w:rFonts w:hint="default"/>
          <w:lang w:val="en-US"/>
        </w:rPr>
        <w:t xml:space="preserve"> </w:t>
      </w:r>
    </w:p>
    <w:tbl>
      <w:tblPr>
        <w:tblStyle w:val="8"/>
        <w:tblpPr w:leftFromText="180" w:rightFromText="180" w:vertAnchor="text" w:horzAnchor="page" w:tblpX="1560" w:tblpY="-42"/>
        <w:tblOverlap w:val="never"/>
        <w:tblW w:w="88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279"/>
        <w:gridCol w:w="6626"/>
      </w:tblGrid>
      <w:tr w14:paraId="7175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272" w:type="dxa"/>
            <w:gridSpan w:val="2"/>
            <w:tcBorders>
              <w:top w:val="single" w:color="000000" w:sz="2" w:space="0"/>
              <w:left w:val="single" w:color="000000" w:sz="2" w:space="0"/>
              <w:bottom w:val="single" w:color="000000" w:sz="2" w:space="0"/>
              <w:right w:val="single" w:color="000000" w:sz="4" w:space="0"/>
            </w:tcBorders>
          </w:tcPr>
          <w:p w14:paraId="5FCE37A9">
            <w:pPr>
              <w:spacing w:before="141"/>
              <w:ind w:left="825"/>
              <w:rPr>
                <w:rFonts w:hint="default" w:ascii="宋体" w:hAnsi="宋体"/>
                <w:lang w:val="en-US"/>
              </w:rPr>
            </w:pPr>
            <w:r>
              <w:rPr>
                <w:rFonts w:hint="default" w:ascii="宋体" w:hAnsi="宋体"/>
                <w:spacing w:val="-2"/>
                <w:lang w:val="en-US"/>
              </w:rPr>
              <w:t>条款</w:t>
            </w:r>
            <w:r>
              <w:rPr>
                <w:rFonts w:hint="default" w:ascii="宋体" w:hAnsi="宋体"/>
                <w:spacing w:val="-1"/>
                <w:lang w:val="en-US"/>
              </w:rPr>
              <w:t>号</w:t>
            </w:r>
          </w:p>
        </w:tc>
        <w:tc>
          <w:tcPr>
            <w:tcW w:w="6626" w:type="dxa"/>
            <w:tcBorders>
              <w:top w:val="single" w:color="000000" w:sz="2" w:space="0"/>
              <w:left w:val="nil"/>
              <w:bottom w:val="single" w:color="000000" w:sz="2" w:space="0"/>
              <w:right w:val="single" w:color="000000" w:sz="2" w:space="0"/>
            </w:tcBorders>
          </w:tcPr>
          <w:p w14:paraId="64AF8524">
            <w:pPr>
              <w:spacing w:before="141"/>
              <w:ind w:left="2326"/>
              <w:rPr>
                <w:rFonts w:hint="default" w:ascii="宋体" w:hAnsi="宋体"/>
                <w:lang w:val="en-US"/>
              </w:rPr>
            </w:pPr>
            <w:r>
              <w:rPr>
                <w:rFonts w:hint="default" w:ascii="宋体" w:hAnsi="宋体"/>
                <w:spacing w:val="7"/>
                <w:lang w:val="en-US"/>
              </w:rPr>
              <w:t>评审因素与评审标准</w:t>
            </w:r>
          </w:p>
        </w:tc>
      </w:tr>
      <w:tr w14:paraId="44020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6" w:hRule="atLeast"/>
        </w:trPr>
        <w:tc>
          <w:tcPr>
            <w:tcW w:w="993" w:type="dxa"/>
            <w:tcBorders>
              <w:top w:val="single" w:color="000000" w:sz="2" w:space="0"/>
              <w:left w:val="single" w:color="000000" w:sz="2" w:space="0"/>
              <w:bottom w:val="single" w:color="000000" w:sz="2" w:space="0"/>
              <w:right w:val="single" w:color="000000" w:sz="2" w:space="0"/>
            </w:tcBorders>
          </w:tcPr>
          <w:p w14:paraId="1E57A280">
            <w:pPr>
              <w:rPr>
                <w:rFonts w:hint="default"/>
                <w:lang w:val="en-US"/>
              </w:rPr>
            </w:pPr>
          </w:p>
          <w:p w14:paraId="1C80D513">
            <w:pPr>
              <w:rPr>
                <w:rFonts w:hint="default"/>
                <w:lang w:val="en-US"/>
              </w:rPr>
            </w:pPr>
          </w:p>
          <w:p w14:paraId="300342DA">
            <w:pPr>
              <w:rPr>
                <w:rFonts w:hint="default"/>
                <w:lang w:val="en-US"/>
              </w:rPr>
            </w:pPr>
          </w:p>
          <w:p w14:paraId="555084AE">
            <w:pPr>
              <w:rPr>
                <w:rFonts w:hint="default"/>
                <w:lang w:val="en-US"/>
              </w:rPr>
            </w:pPr>
          </w:p>
          <w:p w14:paraId="7E565D7E">
            <w:pPr>
              <w:rPr>
                <w:rFonts w:hint="default"/>
                <w:lang w:val="en-US"/>
              </w:rPr>
            </w:pPr>
          </w:p>
          <w:p w14:paraId="0CF40BAF">
            <w:pPr>
              <w:rPr>
                <w:rFonts w:hint="default"/>
                <w:lang w:val="en-US"/>
              </w:rPr>
            </w:pPr>
          </w:p>
          <w:p w14:paraId="0CB6649A">
            <w:pPr>
              <w:rPr>
                <w:rFonts w:hint="default"/>
                <w:lang w:val="en-US"/>
              </w:rPr>
            </w:pPr>
          </w:p>
          <w:p w14:paraId="5D79807C">
            <w:pPr>
              <w:rPr>
                <w:rFonts w:hint="default"/>
                <w:lang w:val="en-US"/>
              </w:rPr>
            </w:pPr>
          </w:p>
          <w:p w14:paraId="37C2A01E">
            <w:pPr>
              <w:rPr>
                <w:rFonts w:hint="default"/>
                <w:lang w:val="en-US"/>
              </w:rPr>
            </w:pPr>
          </w:p>
          <w:p w14:paraId="230D8BC5">
            <w:pPr>
              <w:rPr>
                <w:rFonts w:hint="default"/>
                <w:lang w:val="en-US"/>
              </w:rPr>
            </w:pPr>
          </w:p>
          <w:p w14:paraId="460AC9C8">
            <w:pPr>
              <w:rPr>
                <w:rFonts w:hint="default"/>
                <w:lang w:val="en-US"/>
              </w:rPr>
            </w:pPr>
          </w:p>
          <w:p w14:paraId="4BA958A9">
            <w:pPr>
              <w:rPr>
                <w:rFonts w:hint="default"/>
                <w:lang w:val="en-US"/>
              </w:rPr>
            </w:pPr>
          </w:p>
          <w:p w14:paraId="55C6DDF2">
            <w:pPr>
              <w:rPr>
                <w:rFonts w:hint="default"/>
                <w:lang w:val="en-US"/>
              </w:rPr>
            </w:pPr>
          </w:p>
          <w:p w14:paraId="4BC79A3C">
            <w:pPr>
              <w:rPr>
                <w:rFonts w:hint="default"/>
                <w:lang w:val="en-US"/>
              </w:rPr>
            </w:pPr>
          </w:p>
          <w:p w14:paraId="4071599D">
            <w:pPr>
              <w:rPr>
                <w:rFonts w:hint="default"/>
                <w:lang w:val="en-US"/>
              </w:rPr>
            </w:pPr>
          </w:p>
          <w:p w14:paraId="16AF1DD0">
            <w:pPr>
              <w:rPr>
                <w:rFonts w:hint="default"/>
                <w:lang w:val="en-US"/>
              </w:rPr>
            </w:pPr>
          </w:p>
          <w:p w14:paraId="26DA2985">
            <w:pPr>
              <w:rPr>
                <w:rFonts w:hint="default"/>
                <w:lang w:val="en-US"/>
              </w:rPr>
            </w:pPr>
          </w:p>
          <w:p w14:paraId="341AE078">
            <w:pPr>
              <w:rPr>
                <w:rFonts w:hint="default"/>
                <w:lang w:val="en-US"/>
              </w:rPr>
            </w:pPr>
          </w:p>
          <w:p w14:paraId="33E22118">
            <w:pPr>
              <w:rPr>
                <w:rFonts w:hint="default"/>
                <w:lang w:val="en-US"/>
              </w:rPr>
            </w:pPr>
          </w:p>
          <w:p w14:paraId="4A5D1A35">
            <w:pPr>
              <w:rPr>
                <w:rFonts w:hint="default"/>
                <w:lang w:val="en-US"/>
              </w:rPr>
            </w:pPr>
          </w:p>
          <w:p w14:paraId="7A02D112">
            <w:pPr>
              <w:rPr>
                <w:rFonts w:hint="default"/>
                <w:lang w:val="en-US"/>
              </w:rPr>
            </w:pPr>
          </w:p>
          <w:p w14:paraId="6CB8729F">
            <w:pPr>
              <w:rPr>
                <w:rFonts w:hint="default"/>
                <w:lang w:val="en-US"/>
              </w:rPr>
            </w:pPr>
          </w:p>
          <w:p w14:paraId="6316BC7D">
            <w:pPr>
              <w:rPr>
                <w:rFonts w:hint="default"/>
                <w:lang w:val="en-US"/>
              </w:rPr>
            </w:pPr>
          </w:p>
          <w:p w14:paraId="52C39057">
            <w:pPr>
              <w:rPr>
                <w:rFonts w:hint="default"/>
                <w:lang w:val="en-US"/>
              </w:rPr>
            </w:pPr>
          </w:p>
          <w:p w14:paraId="343E82BF">
            <w:pPr>
              <w:rPr>
                <w:rFonts w:hint="default"/>
                <w:lang w:val="en-US"/>
              </w:rPr>
            </w:pPr>
          </w:p>
          <w:p w14:paraId="3CE8AF46">
            <w:pPr>
              <w:spacing w:before="60" w:line="379" w:lineRule="exact"/>
              <w:ind w:left="287"/>
              <w:rPr>
                <w:rFonts w:hint="default" w:ascii="Times New Roman" w:hAnsi="Times New Roman" w:cs="Times New Roman"/>
                <w:lang w:val="en-US"/>
              </w:rPr>
            </w:pPr>
            <w:r>
              <w:rPr>
                <w:rFonts w:hint="default" w:ascii="Times New Roman" w:hAnsi="Times New Roman" w:cs="Times New Roman"/>
                <w:spacing w:val="-1"/>
                <w:position w:val="16"/>
                <w:lang w:val="en-US"/>
              </w:rPr>
              <w:t>2.</w:t>
            </w:r>
            <w:r>
              <w:rPr>
                <w:rFonts w:hint="default" w:ascii="Times New Roman" w:hAnsi="Times New Roman" w:cs="Times New Roman"/>
                <w:position w:val="16"/>
                <w:lang w:val="en-US"/>
              </w:rPr>
              <w:t>1.1</w:t>
            </w:r>
          </w:p>
          <w:p w14:paraId="141801AD">
            <w:pPr>
              <w:ind w:left="287"/>
              <w:rPr>
                <w:rFonts w:hint="default" w:ascii="Times New Roman" w:hAnsi="Times New Roman" w:cs="Times New Roman"/>
                <w:lang w:val="en-US"/>
              </w:rPr>
            </w:pPr>
            <w:r>
              <w:rPr>
                <w:rFonts w:hint="default" w:ascii="Times New Roman" w:hAnsi="Times New Roman" w:cs="Times New Roman"/>
                <w:spacing w:val="-1"/>
                <w:lang w:val="en-US"/>
              </w:rPr>
              <w:t>2.</w:t>
            </w:r>
            <w:r>
              <w:rPr>
                <w:rFonts w:hint="default" w:ascii="Times New Roman" w:hAnsi="Times New Roman" w:cs="Times New Roman"/>
                <w:lang w:val="en-US"/>
              </w:rPr>
              <w:t>1.3</w:t>
            </w:r>
          </w:p>
        </w:tc>
        <w:tc>
          <w:tcPr>
            <w:tcW w:w="1279" w:type="dxa"/>
            <w:tcBorders>
              <w:top w:val="single" w:color="000000" w:sz="2" w:space="0"/>
              <w:left w:val="single" w:color="000000" w:sz="2" w:space="0"/>
              <w:bottom w:val="single" w:color="000000" w:sz="2" w:space="0"/>
              <w:right w:val="single" w:color="000000" w:sz="4" w:space="0"/>
            </w:tcBorders>
          </w:tcPr>
          <w:p w14:paraId="6E53E609">
            <w:pPr>
              <w:rPr>
                <w:rFonts w:hint="default"/>
                <w:lang w:val="en-US"/>
              </w:rPr>
            </w:pPr>
          </w:p>
          <w:p w14:paraId="31646B36">
            <w:pPr>
              <w:rPr>
                <w:rFonts w:hint="default"/>
                <w:lang w:val="en-US"/>
              </w:rPr>
            </w:pPr>
          </w:p>
          <w:p w14:paraId="28A6E5D3">
            <w:pPr>
              <w:rPr>
                <w:rFonts w:hint="default"/>
                <w:lang w:val="en-US"/>
              </w:rPr>
            </w:pPr>
          </w:p>
          <w:p w14:paraId="18AC986F">
            <w:pPr>
              <w:rPr>
                <w:rFonts w:hint="default"/>
                <w:lang w:val="en-US"/>
              </w:rPr>
            </w:pPr>
          </w:p>
          <w:p w14:paraId="31FBB7BA">
            <w:pPr>
              <w:rPr>
                <w:rFonts w:hint="default"/>
                <w:lang w:val="en-US"/>
              </w:rPr>
            </w:pPr>
          </w:p>
          <w:p w14:paraId="47CE1CE0">
            <w:pPr>
              <w:rPr>
                <w:rFonts w:hint="default"/>
                <w:lang w:val="en-US"/>
              </w:rPr>
            </w:pPr>
          </w:p>
          <w:p w14:paraId="00F0448D">
            <w:pPr>
              <w:rPr>
                <w:rFonts w:hint="default"/>
                <w:lang w:val="en-US"/>
              </w:rPr>
            </w:pPr>
          </w:p>
          <w:p w14:paraId="55D12A62">
            <w:pPr>
              <w:rPr>
                <w:rFonts w:hint="default"/>
                <w:lang w:val="en-US"/>
              </w:rPr>
            </w:pPr>
          </w:p>
          <w:p w14:paraId="6E5D8FC0">
            <w:pPr>
              <w:rPr>
                <w:rFonts w:hint="default"/>
                <w:lang w:val="en-US"/>
              </w:rPr>
            </w:pPr>
          </w:p>
          <w:p w14:paraId="2EEE2EEC">
            <w:pPr>
              <w:rPr>
                <w:rFonts w:hint="default"/>
                <w:lang w:val="en-US"/>
              </w:rPr>
            </w:pPr>
          </w:p>
          <w:p w14:paraId="401FB0F7">
            <w:pPr>
              <w:rPr>
                <w:rFonts w:hint="default"/>
                <w:lang w:val="en-US"/>
              </w:rPr>
            </w:pPr>
          </w:p>
          <w:p w14:paraId="577FB2E6">
            <w:pPr>
              <w:rPr>
                <w:rFonts w:hint="default"/>
                <w:lang w:val="en-US"/>
              </w:rPr>
            </w:pPr>
          </w:p>
          <w:p w14:paraId="2E93F947">
            <w:pPr>
              <w:rPr>
                <w:rFonts w:hint="default"/>
                <w:lang w:val="en-US"/>
              </w:rPr>
            </w:pPr>
          </w:p>
          <w:p w14:paraId="07851120">
            <w:pPr>
              <w:rPr>
                <w:rFonts w:hint="default"/>
                <w:lang w:val="en-US"/>
              </w:rPr>
            </w:pPr>
          </w:p>
          <w:p w14:paraId="1A67A1BE">
            <w:pPr>
              <w:rPr>
                <w:rFonts w:hint="default"/>
                <w:lang w:val="en-US"/>
              </w:rPr>
            </w:pPr>
          </w:p>
          <w:p w14:paraId="01C29254">
            <w:pPr>
              <w:rPr>
                <w:rFonts w:hint="default"/>
                <w:lang w:val="en-US"/>
              </w:rPr>
            </w:pPr>
          </w:p>
          <w:p w14:paraId="4CD4F1E9">
            <w:pPr>
              <w:rPr>
                <w:rFonts w:hint="default"/>
                <w:lang w:val="en-US"/>
              </w:rPr>
            </w:pPr>
          </w:p>
          <w:p w14:paraId="6955092E">
            <w:pPr>
              <w:rPr>
                <w:rFonts w:hint="default"/>
                <w:lang w:val="en-US"/>
              </w:rPr>
            </w:pPr>
          </w:p>
          <w:p w14:paraId="6F4ED676">
            <w:pPr>
              <w:rPr>
                <w:rFonts w:hint="default"/>
                <w:lang w:val="en-US"/>
              </w:rPr>
            </w:pPr>
          </w:p>
          <w:p w14:paraId="2052F63A">
            <w:pPr>
              <w:rPr>
                <w:rFonts w:hint="default"/>
                <w:lang w:val="en-US"/>
              </w:rPr>
            </w:pPr>
          </w:p>
          <w:p w14:paraId="012EE5C4">
            <w:pPr>
              <w:rPr>
                <w:rFonts w:hint="default"/>
                <w:lang w:val="en-US"/>
              </w:rPr>
            </w:pPr>
          </w:p>
          <w:p w14:paraId="3C8B1726">
            <w:pPr>
              <w:rPr>
                <w:rFonts w:hint="default"/>
                <w:lang w:val="en-US"/>
              </w:rPr>
            </w:pPr>
          </w:p>
          <w:p w14:paraId="64BD972E">
            <w:pPr>
              <w:rPr>
                <w:rFonts w:hint="default"/>
                <w:lang w:val="en-US"/>
              </w:rPr>
            </w:pPr>
          </w:p>
          <w:p w14:paraId="78E2C134">
            <w:pPr>
              <w:rPr>
                <w:rFonts w:hint="default"/>
                <w:lang w:val="en-US"/>
              </w:rPr>
            </w:pPr>
          </w:p>
          <w:p w14:paraId="3CD6052D">
            <w:pPr>
              <w:spacing w:before="68"/>
              <w:ind w:left="119"/>
              <w:rPr>
                <w:rFonts w:hint="default" w:ascii="宋体" w:hAnsi="宋体"/>
                <w:lang w:val="en-US"/>
              </w:rPr>
            </w:pPr>
            <w:r>
              <w:rPr>
                <w:rFonts w:hint="default" w:ascii="宋体" w:hAnsi="宋体"/>
                <w:spacing w:val="-2"/>
                <w:lang w:val="en-US"/>
              </w:rPr>
              <w:t>形式评</w:t>
            </w:r>
            <w:r>
              <w:rPr>
                <w:rFonts w:hint="default" w:ascii="宋体" w:hAnsi="宋体"/>
                <w:spacing w:val="-1"/>
                <w:lang w:val="en-US"/>
              </w:rPr>
              <w:t>审与</w:t>
            </w:r>
          </w:p>
          <w:p w14:paraId="2BF0432F">
            <w:pPr>
              <w:spacing w:before="131"/>
              <w:ind w:left="127"/>
              <w:rPr>
                <w:rFonts w:hint="default" w:ascii="宋体" w:hAnsi="宋体"/>
                <w:lang w:val="en-US"/>
              </w:rPr>
            </w:pPr>
            <w:r>
              <w:rPr>
                <w:rFonts w:hint="default" w:ascii="宋体" w:hAnsi="宋体"/>
                <w:spacing w:val="-4"/>
                <w:lang w:val="en-US"/>
              </w:rPr>
              <w:t>响</w:t>
            </w:r>
            <w:r>
              <w:rPr>
                <w:rFonts w:hint="default" w:ascii="宋体" w:hAnsi="宋体"/>
                <w:spacing w:val="-3"/>
                <w:lang w:val="en-US"/>
              </w:rPr>
              <w:t>应性评审</w:t>
            </w:r>
          </w:p>
          <w:p w14:paraId="1E968B74">
            <w:pPr>
              <w:spacing w:before="127"/>
              <w:ind w:left="434"/>
              <w:rPr>
                <w:rFonts w:hint="default" w:ascii="宋体" w:hAnsi="宋体"/>
                <w:lang w:val="en-US"/>
              </w:rPr>
            </w:pPr>
            <w:r>
              <w:rPr>
                <w:rFonts w:hint="default" w:ascii="宋体" w:hAnsi="宋体"/>
                <w:spacing w:val="-2"/>
                <w:lang w:val="en-US"/>
              </w:rPr>
              <w:t>标准</w:t>
            </w:r>
          </w:p>
        </w:tc>
        <w:tc>
          <w:tcPr>
            <w:tcW w:w="6626" w:type="dxa"/>
            <w:tcBorders>
              <w:top w:val="single" w:color="000000" w:sz="2" w:space="0"/>
              <w:left w:val="nil"/>
              <w:bottom w:val="single" w:color="000000" w:sz="2" w:space="0"/>
              <w:right w:val="single" w:color="000000" w:sz="2" w:space="0"/>
            </w:tcBorders>
          </w:tcPr>
          <w:p w14:paraId="4ABCF243">
            <w:pPr>
              <w:spacing w:before="120" w:line="314" w:lineRule="auto"/>
              <w:ind w:left="109" w:right="105" w:firstLine="412"/>
              <w:rPr>
                <w:rFonts w:hint="default" w:ascii="宋体" w:hAnsi="宋体"/>
                <w:lang w:val="en-US"/>
              </w:rPr>
            </w:pPr>
            <w:r>
              <w:rPr>
                <w:rFonts w:hint="default" w:ascii="Times New Roman" w:hAnsi="Times New Roman" w:cs="Times New Roman"/>
                <w:spacing w:val="-1"/>
                <w:lang w:val="en-US"/>
              </w:rPr>
              <w:t>b</w:t>
            </w:r>
            <w:r>
              <w:rPr>
                <w:rFonts w:hint="default" w:ascii="Times New Roman" w:hAnsi="Times New Roman" w:cs="Times New Roman"/>
                <w:spacing w:val="-2"/>
                <w:lang w:val="en-US"/>
              </w:rPr>
              <w:t>.</w:t>
            </w:r>
            <w:r>
              <w:rPr>
                <w:rFonts w:hint="default" w:ascii="宋体" w:hAnsi="宋体"/>
                <w:spacing w:val="-2"/>
                <w:lang w:val="en-US"/>
              </w:rPr>
              <w:t>若投标保证金采用现金或支票形式</w:t>
            </w:r>
            <w:r>
              <w:rPr>
                <w:rFonts w:hint="default" w:ascii="宋体" w:hAnsi="宋体"/>
                <w:spacing w:val="-1"/>
                <w:lang w:val="en-US"/>
              </w:rPr>
              <w:t>提交，投标人应在递交投标文</w:t>
            </w:r>
            <w:r>
              <w:rPr>
                <w:rFonts w:hint="default" w:ascii="宋体" w:hAnsi="宋体"/>
                <w:lang w:val="en-US"/>
              </w:rPr>
              <w:t xml:space="preserve"> </w:t>
            </w:r>
            <w:r>
              <w:rPr>
                <w:rFonts w:hint="default" w:ascii="宋体" w:hAnsi="宋体"/>
                <w:spacing w:val="-6"/>
                <w:lang w:val="en-US"/>
              </w:rPr>
              <w:t>件截止时</w:t>
            </w:r>
            <w:r>
              <w:rPr>
                <w:rFonts w:hint="default" w:ascii="宋体" w:hAnsi="宋体"/>
                <w:spacing w:val="-4"/>
                <w:lang w:val="en-US"/>
              </w:rPr>
              <w:t>间</w:t>
            </w:r>
            <w:r>
              <w:rPr>
                <w:rFonts w:hint="default" w:ascii="宋体" w:hAnsi="宋体"/>
                <w:spacing w:val="-3"/>
                <w:lang w:val="en-US"/>
              </w:rPr>
              <w:t>之前，将投标保证金由投标人的基本账户转入招标人指定账</w:t>
            </w:r>
            <w:r>
              <w:rPr>
                <w:rFonts w:hint="default" w:ascii="宋体" w:hAnsi="宋体"/>
                <w:lang w:val="en-US"/>
              </w:rPr>
              <w:t xml:space="preserve"> </w:t>
            </w:r>
            <w:r>
              <w:rPr>
                <w:rFonts w:hint="default" w:ascii="宋体" w:hAnsi="宋体"/>
                <w:spacing w:val="-15"/>
                <w:lang w:val="en-US"/>
              </w:rPr>
              <w:t>户</w:t>
            </w:r>
            <w:r>
              <w:rPr>
                <w:rFonts w:hint="default" w:ascii="宋体" w:hAnsi="宋体"/>
                <w:spacing w:val="-13"/>
                <w:lang w:val="en-US"/>
              </w:rPr>
              <w:t>；</w:t>
            </w:r>
          </w:p>
          <w:p w14:paraId="1BFEDBDA">
            <w:pPr>
              <w:spacing w:before="2" w:line="314" w:lineRule="auto"/>
              <w:ind w:left="111" w:right="105" w:firstLine="417"/>
              <w:rPr>
                <w:rFonts w:hint="default" w:ascii="宋体" w:hAnsi="宋体"/>
                <w:lang w:val="en-US"/>
              </w:rPr>
            </w:pPr>
            <w:r>
              <w:rPr>
                <w:rFonts w:hint="default" w:ascii="Times New Roman" w:hAnsi="Times New Roman" w:cs="Times New Roman"/>
                <w:spacing w:val="-1"/>
                <w:lang w:val="en-US"/>
              </w:rPr>
              <w:t>c</w:t>
            </w:r>
            <w:r>
              <w:rPr>
                <w:rFonts w:hint="default" w:ascii="Times New Roman" w:hAnsi="Times New Roman" w:cs="Times New Roman"/>
                <w:spacing w:val="-2"/>
                <w:lang w:val="en-US"/>
              </w:rPr>
              <w:t>.</w:t>
            </w:r>
            <w:r>
              <w:rPr>
                <w:rFonts w:hint="default" w:ascii="宋体" w:hAnsi="宋体"/>
                <w:spacing w:val="-2"/>
                <w:lang w:val="en-US"/>
              </w:rPr>
              <w:t>若投标保证金采用银行保函形式</w:t>
            </w:r>
            <w:r>
              <w:rPr>
                <w:rFonts w:hint="default" w:ascii="宋体" w:hAnsi="宋体"/>
                <w:spacing w:val="-1"/>
                <w:lang w:val="en-US"/>
              </w:rPr>
              <w:t>提交，银行保函的格式、开具保</w:t>
            </w:r>
            <w:r>
              <w:rPr>
                <w:rFonts w:hint="default" w:ascii="宋体" w:hAnsi="宋体"/>
                <w:lang w:val="en-US"/>
              </w:rPr>
              <w:t xml:space="preserve"> </w:t>
            </w:r>
            <w:r>
              <w:rPr>
                <w:rFonts w:hint="default" w:ascii="宋体" w:hAnsi="宋体"/>
                <w:spacing w:val="-6"/>
                <w:lang w:val="en-US"/>
              </w:rPr>
              <w:t>函的银行均</w:t>
            </w:r>
            <w:r>
              <w:rPr>
                <w:rFonts w:hint="default" w:ascii="宋体" w:hAnsi="宋体"/>
                <w:spacing w:val="-4"/>
                <w:lang w:val="en-US"/>
              </w:rPr>
              <w:t>满</w:t>
            </w:r>
            <w:r>
              <w:rPr>
                <w:rFonts w:hint="default" w:ascii="宋体" w:hAnsi="宋体"/>
                <w:spacing w:val="-3"/>
                <w:lang w:val="en-US"/>
              </w:rPr>
              <w:t>足招标文件要求，且在递交投标文件截止时间之前向招标</w:t>
            </w:r>
            <w:r>
              <w:rPr>
                <w:rFonts w:hint="default" w:ascii="宋体" w:hAnsi="宋体"/>
                <w:lang w:val="en-US"/>
              </w:rPr>
              <w:t xml:space="preserve"> </w:t>
            </w:r>
            <w:r>
              <w:rPr>
                <w:rFonts w:hint="default" w:ascii="宋体" w:hAnsi="宋体"/>
                <w:spacing w:val="-2"/>
                <w:lang w:val="en-US"/>
              </w:rPr>
              <w:t>人提交了银行保函原件。</w:t>
            </w:r>
          </w:p>
          <w:p w14:paraId="27801A61">
            <w:pPr>
              <w:spacing w:before="1" w:line="314" w:lineRule="auto"/>
              <w:ind w:left="109" w:right="31" w:firstLine="427"/>
              <w:rPr>
                <w:rFonts w:hint="default" w:ascii="宋体" w:hAnsi="宋体"/>
                <w:lang w:val="en-US"/>
              </w:rPr>
            </w:pPr>
            <w:r>
              <w:rPr>
                <w:rFonts w:hint="default" w:ascii="宋体" w:hAnsi="宋体"/>
                <w:spacing w:val="-1"/>
                <w:lang w:val="en-US"/>
              </w:rPr>
              <w:t>(</w:t>
            </w:r>
            <w:r>
              <w:rPr>
                <w:rFonts w:hint="default" w:ascii="Times New Roman" w:hAnsi="Times New Roman" w:cs="Times New Roman"/>
                <w:spacing w:val="-1"/>
                <w:lang w:val="en-US"/>
              </w:rPr>
              <w:t>5</w:t>
            </w:r>
            <w:r>
              <w:rPr>
                <w:rFonts w:hint="default" w:ascii="宋体" w:hAnsi="宋体"/>
                <w:spacing w:val="-1"/>
                <w:lang w:val="en-US"/>
              </w:rPr>
              <w:t>) 投标人法定</w:t>
            </w:r>
            <w:r>
              <w:rPr>
                <w:rFonts w:hint="default" w:ascii="宋体" w:hAnsi="宋体"/>
                <w:lang w:val="en-US"/>
              </w:rPr>
              <w:t xml:space="preserve">代表人授权委托代理人签署投标文件的， 须提交 </w:t>
            </w:r>
            <w:r>
              <w:rPr>
                <w:rFonts w:hint="default" w:ascii="宋体" w:hAnsi="宋体"/>
                <w:spacing w:val="-14"/>
                <w:lang w:val="en-US"/>
              </w:rPr>
              <w:t>授权</w:t>
            </w:r>
            <w:r>
              <w:rPr>
                <w:rFonts w:hint="default" w:ascii="宋体" w:hAnsi="宋体"/>
                <w:spacing w:val="-11"/>
                <w:lang w:val="en-US"/>
              </w:rPr>
              <w:t>委</w:t>
            </w:r>
            <w:r>
              <w:rPr>
                <w:rFonts w:hint="default" w:ascii="宋体" w:hAnsi="宋体"/>
                <w:spacing w:val="-7"/>
                <w:lang w:val="en-US"/>
              </w:rPr>
              <w:t>托书，且授权人和被授权人均在授权委托书上签名，未使用印章、</w:t>
            </w:r>
            <w:r>
              <w:rPr>
                <w:rFonts w:hint="default" w:ascii="宋体" w:hAnsi="宋体"/>
                <w:lang w:val="en-US"/>
              </w:rPr>
              <w:t xml:space="preserve"> </w:t>
            </w:r>
            <w:r>
              <w:rPr>
                <w:rFonts w:hint="default" w:ascii="宋体" w:hAnsi="宋体"/>
                <w:spacing w:val="-1"/>
                <w:lang w:val="en-US"/>
              </w:rPr>
              <w:t>签名章</w:t>
            </w:r>
            <w:r>
              <w:rPr>
                <w:rFonts w:hint="default" w:ascii="宋体" w:hAnsi="宋体"/>
                <w:lang w:val="en-US"/>
              </w:rPr>
              <w:t>或其他电子制版签名代替。</w:t>
            </w:r>
          </w:p>
          <w:p w14:paraId="6E22B99A">
            <w:pPr>
              <w:spacing w:before="1" w:line="314" w:lineRule="auto"/>
              <w:ind w:left="110" w:right="33" w:firstLine="426"/>
              <w:rPr>
                <w:rFonts w:hint="default" w:ascii="宋体" w:hAnsi="宋体"/>
                <w:highlight w:val="none"/>
                <w:lang w:val="en-US"/>
              </w:rPr>
            </w:pPr>
            <w:r>
              <w:rPr>
                <w:rFonts w:hint="default" w:ascii="宋体" w:hAnsi="宋体"/>
                <w:spacing w:val="-1"/>
                <w:lang w:val="en-US"/>
              </w:rPr>
              <w:t>(</w:t>
            </w:r>
            <w:r>
              <w:rPr>
                <w:rFonts w:hint="default" w:ascii="Times New Roman" w:hAnsi="Times New Roman" w:cs="Times New Roman"/>
                <w:spacing w:val="-1"/>
                <w:lang w:val="en-US"/>
              </w:rPr>
              <w:t>6</w:t>
            </w:r>
            <w:r>
              <w:rPr>
                <w:rFonts w:hint="default" w:ascii="宋体" w:hAnsi="宋体"/>
                <w:spacing w:val="-1"/>
                <w:lang w:val="en-US"/>
              </w:rPr>
              <w:t>) 投标人法定</w:t>
            </w:r>
            <w:r>
              <w:rPr>
                <w:rFonts w:hint="default" w:ascii="宋体" w:hAnsi="宋体"/>
                <w:lang w:val="en-US"/>
              </w:rPr>
              <w:t xml:space="preserve">代表人亲自签署投标文件的， 提供了法定代表人 </w:t>
            </w:r>
            <w:r>
              <w:rPr>
                <w:rFonts w:hint="default" w:ascii="宋体" w:hAnsi="宋体"/>
                <w:spacing w:val="-14"/>
                <w:lang w:val="en-US"/>
              </w:rPr>
              <w:t>身份</w:t>
            </w:r>
            <w:r>
              <w:rPr>
                <w:rFonts w:hint="default" w:ascii="宋体" w:hAnsi="宋体"/>
                <w:spacing w:val="-7"/>
                <w:lang w:val="en-US"/>
              </w:rPr>
              <w:t>证明， 且法定代表人在</w:t>
            </w:r>
            <w:r>
              <w:rPr>
                <w:rFonts w:hint="default" w:ascii="宋体" w:hAnsi="宋体"/>
                <w:spacing w:val="-7"/>
                <w:highlight w:val="none"/>
                <w:lang w:val="en-US"/>
              </w:rPr>
              <w:t>法定代表人身份证明上签名， 未使用印章、</w:t>
            </w:r>
            <w:r>
              <w:rPr>
                <w:rFonts w:hint="default" w:ascii="宋体" w:hAnsi="宋体"/>
                <w:highlight w:val="none"/>
                <w:lang w:val="en-US"/>
              </w:rPr>
              <w:t xml:space="preserve"> </w:t>
            </w:r>
            <w:r>
              <w:rPr>
                <w:rFonts w:hint="default" w:ascii="宋体" w:hAnsi="宋体"/>
                <w:spacing w:val="-1"/>
                <w:highlight w:val="none"/>
                <w:lang w:val="en-US"/>
              </w:rPr>
              <w:t>签名章或</w:t>
            </w:r>
            <w:r>
              <w:rPr>
                <w:rFonts w:hint="default" w:ascii="宋体" w:hAnsi="宋体"/>
                <w:highlight w:val="none"/>
                <w:lang w:val="en-US"/>
              </w:rPr>
              <w:t>其他电子制版签名代替。</w:t>
            </w:r>
          </w:p>
          <w:p w14:paraId="28F1073B">
            <w:pPr>
              <w:spacing w:before="1" w:line="314" w:lineRule="auto"/>
              <w:ind w:left="109" w:right="31" w:firstLine="427"/>
              <w:rPr>
                <w:rFonts w:hint="default" w:ascii="宋体" w:hAnsi="宋体" w:eastAsia="宋体" w:cs="Arial"/>
                <w:highlight w:val="none"/>
                <w:lang w:val="en-US"/>
              </w:rPr>
            </w:pPr>
            <w:r>
              <w:rPr>
                <w:rFonts w:hint="default" w:ascii="宋体" w:hAnsi="宋体" w:eastAsia="宋体" w:cs="Arial"/>
                <w:highlight w:val="none"/>
                <w:lang w:val="en-US"/>
              </w:rPr>
              <w:t>(7) 投标人未以联合体形式投标。</w:t>
            </w:r>
          </w:p>
          <w:p w14:paraId="466B2964">
            <w:pPr>
              <w:spacing w:before="2" w:line="314" w:lineRule="auto"/>
              <w:ind w:left="95" w:firstLine="440"/>
              <w:rPr>
                <w:rFonts w:hint="default" w:ascii="宋体" w:hAnsi="宋体"/>
                <w:lang w:val="en-US"/>
              </w:rPr>
            </w:pPr>
            <w:r>
              <w:rPr>
                <w:rFonts w:hint="default" w:ascii="宋体" w:hAnsi="宋体"/>
                <w:spacing w:val="12"/>
                <w:highlight w:val="none"/>
                <w:lang w:val="en-US"/>
              </w:rPr>
              <w:t>(</w:t>
            </w:r>
            <w:r>
              <w:rPr>
                <w:rFonts w:hint="default" w:ascii="Times New Roman" w:hAnsi="Times New Roman" w:cs="Times New Roman"/>
                <w:spacing w:val="12"/>
                <w:highlight w:val="none"/>
                <w:lang w:val="en-US" w:eastAsia="zh-CN"/>
              </w:rPr>
              <w:t>8</w:t>
            </w:r>
            <w:r>
              <w:rPr>
                <w:rFonts w:hint="default" w:ascii="宋体" w:hAnsi="宋体"/>
                <w:spacing w:val="12"/>
                <w:highlight w:val="none"/>
                <w:lang w:val="en-US"/>
              </w:rPr>
              <w:t>)</w:t>
            </w:r>
            <w:r>
              <w:rPr>
                <w:rFonts w:hint="default" w:ascii="宋体" w:hAnsi="宋体"/>
                <w:spacing w:val="9"/>
                <w:highlight w:val="none"/>
                <w:lang w:val="en-US"/>
              </w:rPr>
              <w:t xml:space="preserve"> </w:t>
            </w:r>
            <w:r>
              <w:rPr>
                <w:rFonts w:hint="default" w:ascii="宋体" w:hAnsi="宋体"/>
                <w:spacing w:val="6"/>
                <w:highlight w:val="none"/>
                <w:lang w:val="en-US"/>
              </w:rPr>
              <w:t>投标人如有分包计划</w:t>
            </w:r>
            <w:r>
              <w:rPr>
                <w:rFonts w:hint="default" w:ascii="宋体" w:hAnsi="宋体"/>
                <w:spacing w:val="6"/>
                <w:lang w:val="en-US"/>
              </w:rPr>
              <w:t>，符合招标文件第二章“投标人须知”</w:t>
            </w:r>
            <w:r>
              <w:rPr>
                <w:rFonts w:hint="default" w:ascii="宋体" w:hAnsi="宋体"/>
                <w:lang w:val="en-US"/>
              </w:rPr>
              <w:t xml:space="preserve"> </w:t>
            </w:r>
            <w:r>
              <w:rPr>
                <w:rFonts w:hint="default" w:ascii="宋体" w:hAnsi="宋体"/>
                <w:spacing w:val="-4"/>
                <w:lang w:val="en-US"/>
              </w:rPr>
              <w:t xml:space="preserve">第 </w:t>
            </w:r>
            <w:r>
              <w:rPr>
                <w:rFonts w:hint="default" w:ascii="Times New Roman" w:hAnsi="Times New Roman" w:cs="Times New Roman"/>
                <w:spacing w:val="-4"/>
                <w:lang w:val="en-US"/>
              </w:rPr>
              <w:t xml:space="preserve">1.11 </w:t>
            </w:r>
            <w:r>
              <w:rPr>
                <w:rFonts w:hint="default" w:ascii="宋体" w:hAnsi="宋体"/>
                <w:spacing w:val="-4"/>
                <w:lang w:val="en-US"/>
              </w:rPr>
              <w:t>款规定，</w:t>
            </w:r>
            <w:r>
              <w:rPr>
                <w:rFonts w:hint="default" w:ascii="宋体" w:hAnsi="宋体"/>
                <w:spacing w:val="-3"/>
                <w:lang w:val="en-US"/>
              </w:rPr>
              <w:t xml:space="preserve"> </w:t>
            </w:r>
            <w:r>
              <w:rPr>
                <w:rFonts w:hint="default" w:ascii="宋体" w:hAnsi="宋体"/>
                <w:spacing w:val="-2"/>
                <w:lang w:val="en-US"/>
              </w:rPr>
              <w:t>且按招标文件第九章“投标文件格式”的要求填写了</w:t>
            </w:r>
            <w:r>
              <w:rPr>
                <w:rFonts w:hint="default" w:ascii="宋体" w:hAnsi="宋体"/>
                <w:lang w:val="en-US"/>
              </w:rPr>
              <w:t xml:space="preserve"> </w:t>
            </w:r>
            <w:r>
              <w:rPr>
                <w:rFonts w:hint="default" w:ascii="宋体" w:hAnsi="宋体"/>
                <w:spacing w:val="1"/>
                <w:lang w:val="en-US"/>
              </w:rPr>
              <w:t>“拟分包项目情况</w:t>
            </w:r>
            <w:r>
              <w:rPr>
                <w:rFonts w:hint="default" w:ascii="宋体" w:hAnsi="宋体"/>
                <w:lang w:val="en-US"/>
              </w:rPr>
              <w:t>表”。</w:t>
            </w:r>
          </w:p>
          <w:p w14:paraId="2C4AB57E">
            <w:pPr>
              <w:spacing w:before="1" w:line="314" w:lineRule="auto"/>
              <w:ind w:left="111" w:right="105" w:firstLine="424"/>
              <w:rPr>
                <w:rFonts w:hint="default" w:ascii="宋体" w:hAnsi="宋体"/>
                <w:lang w:val="en-US"/>
              </w:rPr>
            </w:pPr>
            <w:r>
              <w:rPr>
                <w:rFonts w:hint="default" w:ascii="宋体" w:hAnsi="宋体"/>
                <w:spacing w:val="-1"/>
                <w:lang w:val="en-US"/>
              </w:rPr>
              <w:t>(</w:t>
            </w:r>
            <w:r>
              <w:rPr>
                <w:rFonts w:hint="default" w:ascii="Times New Roman" w:hAnsi="Times New Roman" w:cs="Times New Roman"/>
                <w:spacing w:val="-1"/>
                <w:lang w:val="en-US" w:eastAsia="zh-CN"/>
              </w:rPr>
              <w:t>9</w:t>
            </w:r>
            <w:r>
              <w:rPr>
                <w:rFonts w:hint="default" w:ascii="宋体" w:hAnsi="宋体"/>
                <w:spacing w:val="-1"/>
                <w:lang w:val="en-US"/>
              </w:rPr>
              <w:t>) 同一投标人</w:t>
            </w:r>
            <w:r>
              <w:rPr>
                <w:rFonts w:hint="default" w:ascii="宋体" w:hAnsi="宋体"/>
                <w:lang w:val="en-US"/>
              </w:rPr>
              <w:t xml:space="preserve">未提交两个以上不同的投标文件， 但招标文件要 </w:t>
            </w:r>
            <w:r>
              <w:rPr>
                <w:rFonts w:hint="default" w:ascii="宋体" w:hAnsi="宋体"/>
                <w:spacing w:val="-1"/>
                <w:lang w:val="en-US"/>
              </w:rPr>
              <w:t>求提交备选投标的</w:t>
            </w:r>
            <w:r>
              <w:rPr>
                <w:rFonts w:hint="default" w:ascii="宋体" w:hAnsi="宋体"/>
                <w:lang w:val="en-US"/>
              </w:rPr>
              <w:t>除外。</w:t>
            </w:r>
          </w:p>
          <w:p w14:paraId="7725350A">
            <w:pPr>
              <w:spacing w:before="1"/>
              <w:ind w:left="536"/>
              <w:rPr>
                <w:rFonts w:hint="default" w:ascii="宋体" w:hAnsi="宋体"/>
                <w:lang w:val="en-US"/>
              </w:rPr>
            </w:pPr>
            <w:r>
              <w:rPr>
                <w:rFonts w:hint="default" w:ascii="宋体" w:hAnsi="宋体"/>
                <w:spacing w:val="7"/>
                <w:lang w:val="en-US"/>
              </w:rPr>
              <w:t>(</w:t>
            </w:r>
            <w:r>
              <w:rPr>
                <w:rFonts w:hint="default" w:ascii="Times New Roman" w:hAnsi="Times New Roman" w:cs="Times New Roman"/>
                <w:spacing w:val="4"/>
                <w:lang w:val="en-US" w:eastAsia="zh-CN"/>
              </w:rPr>
              <w:t>10</w:t>
            </w:r>
            <w:r>
              <w:rPr>
                <w:rFonts w:hint="default" w:ascii="宋体" w:hAnsi="宋体"/>
                <w:spacing w:val="4"/>
                <w:lang w:val="en-US"/>
              </w:rPr>
              <w:t>) 投标文件中未出现有关投标报价的内容。</w:t>
            </w:r>
          </w:p>
          <w:p w14:paraId="060594CD">
            <w:pPr>
              <w:spacing w:before="111" w:line="314" w:lineRule="auto"/>
              <w:ind w:left="124" w:right="105" w:firstLine="411"/>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1</w:t>
            </w:r>
            <w:r>
              <w:rPr>
                <w:rFonts w:hint="default" w:ascii="Times New Roman" w:hAnsi="Times New Roman" w:cs="Times New Roman"/>
                <w:spacing w:val="3"/>
                <w:lang w:val="en-US" w:eastAsia="zh-CN"/>
              </w:rPr>
              <w:t>1</w:t>
            </w:r>
            <w:r>
              <w:rPr>
                <w:rFonts w:hint="default" w:ascii="宋体" w:hAnsi="宋体"/>
                <w:spacing w:val="3"/>
                <w:lang w:val="en-US"/>
              </w:rPr>
              <w:t>)投标文件载明的招标项目完成期限未超过招标文件规定的时</w:t>
            </w:r>
            <w:r>
              <w:rPr>
                <w:rFonts w:hint="default" w:ascii="宋体" w:hAnsi="宋体"/>
                <w:lang w:val="en-US"/>
              </w:rPr>
              <w:t xml:space="preserve"> </w:t>
            </w:r>
            <w:r>
              <w:rPr>
                <w:rFonts w:hint="default" w:ascii="宋体" w:hAnsi="宋体"/>
                <w:spacing w:val="-11"/>
                <w:lang w:val="en-US"/>
              </w:rPr>
              <w:t>限。</w:t>
            </w:r>
          </w:p>
          <w:p w14:paraId="77B6E2BB">
            <w:pPr>
              <w:spacing w:before="2"/>
              <w:ind w:left="536"/>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1</w:t>
            </w:r>
            <w:r>
              <w:rPr>
                <w:rFonts w:hint="default" w:ascii="Times New Roman" w:hAnsi="Times New Roman" w:cs="Times New Roman"/>
                <w:spacing w:val="6"/>
                <w:lang w:val="en-US" w:eastAsia="zh-CN"/>
              </w:rPr>
              <w:t>2</w:t>
            </w:r>
            <w:r>
              <w:rPr>
                <w:rFonts w:hint="default" w:ascii="宋体" w:hAnsi="宋体"/>
                <w:spacing w:val="6"/>
                <w:lang w:val="en-US"/>
              </w:rPr>
              <w:t>)</w:t>
            </w:r>
            <w:r>
              <w:rPr>
                <w:rFonts w:hint="default" w:ascii="宋体" w:hAnsi="宋体"/>
                <w:spacing w:val="4"/>
                <w:lang w:val="en-US"/>
              </w:rPr>
              <w:t xml:space="preserve"> </w:t>
            </w:r>
            <w:r>
              <w:rPr>
                <w:rFonts w:hint="default" w:ascii="宋体" w:hAnsi="宋体"/>
                <w:spacing w:val="3"/>
                <w:lang w:val="en-US"/>
              </w:rPr>
              <w:t>投标文件对招标文件的实质性要求和条件作出响应。</w:t>
            </w:r>
          </w:p>
          <w:p w14:paraId="3B0910A1">
            <w:pPr>
              <w:spacing w:before="112"/>
              <w:ind w:left="536"/>
              <w:rPr>
                <w:rFonts w:hint="default" w:ascii="宋体" w:hAnsi="宋体"/>
                <w:lang w:val="en-US"/>
              </w:rPr>
            </w:pPr>
            <w:r>
              <w:rPr>
                <w:rFonts w:hint="default" w:ascii="宋体" w:hAnsi="宋体"/>
                <w:spacing w:val="4"/>
                <w:lang w:val="en-US"/>
              </w:rPr>
              <w:t>(</w:t>
            </w:r>
            <w:r>
              <w:rPr>
                <w:rFonts w:hint="default" w:ascii="Times New Roman" w:hAnsi="Times New Roman" w:cs="Times New Roman"/>
                <w:spacing w:val="4"/>
                <w:lang w:val="en-US"/>
              </w:rPr>
              <w:t>1</w:t>
            </w:r>
            <w:r>
              <w:rPr>
                <w:rFonts w:hint="default" w:ascii="Times New Roman" w:hAnsi="Times New Roman" w:cs="Times New Roman"/>
                <w:spacing w:val="4"/>
                <w:lang w:val="en-US" w:eastAsia="zh-CN"/>
              </w:rPr>
              <w:t>3</w:t>
            </w:r>
            <w:r>
              <w:rPr>
                <w:rFonts w:hint="default" w:ascii="宋体" w:hAnsi="宋体"/>
                <w:spacing w:val="4"/>
                <w:lang w:val="en-US"/>
              </w:rPr>
              <w:t>) 权利义务符合招标文件规定</w:t>
            </w:r>
            <w:r>
              <w:rPr>
                <w:rFonts w:hint="default" w:ascii="宋体" w:hAnsi="宋体"/>
                <w:spacing w:val="3"/>
                <w:lang w:val="en-US"/>
              </w:rPr>
              <w:t>：</w:t>
            </w:r>
          </w:p>
          <w:p w14:paraId="7A52B8C8">
            <w:pPr>
              <w:spacing w:before="110" w:line="314" w:lineRule="auto"/>
              <w:ind w:left="112" w:right="107" w:firstLine="416"/>
              <w:rPr>
                <w:rFonts w:hint="default" w:ascii="宋体" w:hAnsi="宋体"/>
                <w:lang w:val="en-US"/>
              </w:rPr>
            </w:pPr>
            <w:r>
              <w:rPr>
                <w:rFonts w:hint="default" w:ascii="Times New Roman" w:hAnsi="Times New Roman" w:cs="Times New Roman"/>
                <w:lang w:val="en-US"/>
              </w:rPr>
              <w:t>a</w:t>
            </w:r>
            <w:r>
              <w:rPr>
                <w:rFonts w:hint="default" w:ascii="Times New Roman" w:hAnsi="Times New Roman" w:cs="Times New Roman"/>
                <w:spacing w:val="-5"/>
                <w:lang w:val="en-US"/>
              </w:rPr>
              <w:t>.</w:t>
            </w:r>
            <w:r>
              <w:rPr>
                <w:rFonts w:hint="default" w:ascii="宋体" w:hAnsi="宋体"/>
                <w:spacing w:val="-5"/>
                <w:lang w:val="en-US"/>
              </w:rPr>
              <w:t>投标人应接受招标文件规定的风险划分原则， 未提出新的风险划</w:t>
            </w:r>
            <w:r>
              <w:rPr>
                <w:rFonts w:hint="default" w:ascii="宋体" w:hAnsi="宋体"/>
                <w:lang w:val="en-US"/>
              </w:rPr>
              <w:t xml:space="preserve"> </w:t>
            </w:r>
            <w:r>
              <w:rPr>
                <w:rFonts w:hint="default" w:ascii="宋体" w:hAnsi="宋体"/>
                <w:spacing w:val="-2"/>
                <w:lang w:val="en-US"/>
              </w:rPr>
              <w:t>分办法；</w:t>
            </w:r>
          </w:p>
          <w:p w14:paraId="663DFB45">
            <w:pPr>
              <w:spacing w:before="1"/>
              <w:ind w:left="521"/>
              <w:rPr>
                <w:rFonts w:hint="default" w:ascii="宋体" w:hAnsi="宋体"/>
                <w:lang w:val="en-US"/>
              </w:rPr>
            </w:pPr>
            <w:r>
              <w:rPr>
                <w:rFonts w:hint="default" w:ascii="Times New Roman" w:hAnsi="Times New Roman" w:cs="Times New Roman"/>
                <w:spacing w:val="-3"/>
                <w:lang w:val="en-US"/>
              </w:rPr>
              <w:t>b</w:t>
            </w:r>
            <w:r>
              <w:rPr>
                <w:rFonts w:hint="default" w:ascii="Times New Roman" w:hAnsi="Times New Roman" w:cs="Times New Roman"/>
                <w:spacing w:val="-5"/>
                <w:lang w:val="en-US"/>
              </w:rPr>
              <w:t>.</w:t>
            </w:r>
            <w:r>
              <w:rPr>
                <w:rFonts w:hint="default" w:ascii="宋体" w:hAnsi="宋体"/>
                <w:spacing w:val="-5"/>
                <w:lang w:val="en-US"/>
              </w:rPr>
              <w:t>投标人未增加发包人的责任范围， 或减少投标人义务；</w:t>
            </w:r>
          </w:p>
          <w:p w14:paraId="2AB8C643">
            <w:pPr>
              <w:spacing w:before="98"/>
              <w:ind w:left="529"/>
              <w:rPr>
                <w:rFonts w:hint="default" w:ascii="宋体" w:hAnsi="宋体"/>
                <w:lang w:val="en-US"/>
              </w:rPr>
            </w:pPr>
            <w:r>
              <w:rPr>
                <w:rFonts w:hint="default" w:ascii="Times New Roman" w:hAnsi="Times New Roman" w:cs="Times New Roman"/>
                <w:spacing w:val="-1"/>
                <w:lang w:val="en-US"/>
              </w:rPr>
              <w:t>c</w:t>
            </w:r>
            <w:r>
              <w:rPr>
                <w:rFonts w:hint="default" w:ascii="Times New Roman" w:hAnsi="Times New Roman" w:cs="Times New Roman"/>
                <w:spacing w:val="-2"/>
                <w:lang w:val="en-US"/>
              </w:rPr>
              <w:t>.</w:t>
            </w:r>
            <w:r>
              <w:rPr>
                <w:rFonts w:hint="default" w:ascii="宋体" w:hAnsi="宋体"/>
                <w:spacing w:val="-2"/>
                <w:lang w:val="en-US"/>
              </w:rPr>
              <w:t>投标人未</w:t>
            </w:r>
            <w:r>
              <w:rPr>
                <w:rFonts w:hint="default" w:ascii="宋体" w:hAnsi="宋体"/>
                <w:spacing w:val="-1"/>
                <w:lang w:val="en-US"/>
              </w:rPr>
              <w:t>提出不同的工程验收、计量、支付办法；</w:t>
            </w:r>
          </w:p>
          <w:p w14:paraId="16C195DC">
            <w:pPr>
              <w:spacing w:before="93"/>
              <w:ind w:left="528"/>
              <w:rPr>
                <w:rFonts w:hint="default" w:ascii="宋体" w:hAnsi="宋体"/>
                <w:lang w:val="en-US"/>
              </w:rPr>
            </w:pPr>
            <w:r>
              <w:rPr>
                <w:rFonts w:hint="default" w:ascii="Times New Roman" w:hAnsi="Times New Roman" w:cs="Times New Roman"/>
                <w:spacing w:val="-1"/>
                <w:lang w:val="en-US"/>
              </w:rPr>
              <w:t>d</w:t>
            </w:r>
            <w:r>
              <w:rPr>
                <w:rFonts w:hint="default" w:ascii="Times New Roman" w:hAnsi="Times New Roman" w:cs="Times New Roman"/>
                <w:spacing w:val="-2"/>
                <w:lang w:val="en-US"/>
              </w:rPr>
              <w:t>.</w:t>
            </w:r>
            <w:r>
              <w:rPr>
                <w:rFonts w:hint="default" w:ascii="宋体" w:hAnsi="宋体"/>
                <w:spacing w:val="-2"/>
                <w:lang w:val="en-US"/>
              </w:rPr>
              <w:t>投标人</w:t>
            </w:r>
            <w:r>
              <w:rPr>
                <w:rFonts w:hint="default" w:ascii="宋体" w:hAnsi="宋体"/>
                <w:spacing w:val="-1"/>
                <w:lang w:val="en-US"/>
              </w:rPr>
              <w:t>对合同纠纷、事故处理办法未提出异议；</w:t>
            </w:r>
          </w:p>
          <w:p w14:paraId="324132E3">
            <w:pPr>
              <w:spacing w:before="94"/>
              <w:ind w:left="529"/>
              <w:rPr>
                <w:rFonts w:hint="default" w:ascii="宋体" w:hAnsi="宋体"/>
                <w:lang w:val="en-US"/>
              </w:rPr>
            </w:pPr>
            <w:r>
              <w:rPr>
                <w:rFonts w:hint="default" w:ascii="Times New Roman" w:hAnsi="Times New Roman" w:cs="Times New Roman"/>
                <w:lang w:val="en-US"/>
              </w:rPr>
              <w:t>e</w:t>
            </w:r>
            <w:r>
              <w:rPr>
                <w:rFonts w:hint="default" w:ascii="Times New Roman" w:hAnsi="Times New Roman" w:cs="Times New Roman"/>
                <w:spacing w:val="-1"/>
                <w:lang w:val="en-US"/>
              </w:rPr>
              <w:t>.</w:t>
            </w:r>
            <w:r>
              <w:rPr>
                <w:rFonts w:hint="default" w:ascii="宋体" w:hAnsi="宋体"/>
                <w:spacing w:val="-1"/>
                <w:lang w:val="en-US"/>
              </w:rPr>
              <w:t>投标人在</w:t>
            </w:r>
            <w:r>
              <w:rPr>
                <w:rFonts w:hint="default" w:ascii="宋体" w:hAnsi="宋体"/>
                <w:lang w:val="en-US"/>
              </w:rPr>
              <w:t>投标活动中无欺诈行为；</w:t>
            </w:r>
          </w:p>
          <w:p w14:paraId="6D2FD1F8">
            <w:pPr>
              <w:spacing w:before="93"/>
              <w:ind w:left="530"/>
              <w:rPr>
                <w:rFonts w:hint="default" w:ascii="宋体" w:hAnsi="宋体"/>
                <w:lang w:val="en-US"/>
              </w:rPr>
            </w:pPr>
            <w:r>
              <w:rPr>
                <w:rFonts w:hint="default" w:ascii="Times New Roman" w:hAnsi="Times New Roman" w:cs="Times New Roman"/>
                <w:lang w:val="en-US"/>
              </w:rPr>
              <w:t>f</w:t>
            </w:r>
            <w:r>
              <w:rPr>
                <w:rFonts w:hint="default" w:ascii="Times New Roman" w:hAnsi="Times New Roman" w:cs="Times New Roman"/>
                <w:spacing w:val="-1"/>
                <w:lang w:val="en-US"/>
              </w:rPr>
              <w:t>.</w:t>
            </w:r>
            <w:r>
              <w:rPr>
                <w:rFonts w:hint="default" w:ascii="宋体" w:hAnsi="宋体"/>
                <w:spacing w:val="-1"/>
                <w:lang w:val="en-US"/>
              </w:rPr>
              <w:t>投标人</w:t>
            </w:r>
            <w:r>
              <w:rPr>
                <w:rFonts w:hint="default" w:ascii="宋体" w:hAnsi="宋体"/>
                <w:lang w:val="en-US"/>
              </w:rPr>
              <w:t>未对合同条款有重要保留。</w:t>
            </w:r>
          </w:p>
        </w:tc>
      </w:tr>
    </w:tbl>
    <w:p w14:paraId="25EAAB88">
      <w:pPr>
        <w:spacing w:line="288" w:lineRule="auto"/>
        <w:rPr>
          <w:rFonts w:hint="default"/>
          <w:lang w:val="en-US"/>
        </w:rPr>
      </w:pPr>
      <w:r>
        <w:rPr>
          <w:rFonts w:hint="default"/>
          <w:lang w:val="en-US"/>
        </w:rPr>
        <w:t xml:space="preserve"> </w:t>
      </w:r>
    </w:p>
    <w:p w14:paraId="37B4F157">
      <w:pPr>
        <w:spacing w:before="68"/>
        <w:ind w:right="122"/>
        <w:jc w:val="right"/>
        <w:rPr>
          <w:rFonts w:hint="default" w:ascii="宋体" w:hAnsi="宋体"/>
          <w:lang w:val="en-US"/>
        </w:rPr>
      </w:pPr>
      <w:r>
        <w:rPr>
          <w:rFonts w:hint="default" w:ascii="宋体" w:hAnsi="宋体"/>
          <w:spacing w:val="3"/>
          <w:lang w:val="en-US"/>
        </w:rPr>
        <w:t>续</w:t>
      </w:r>
      <w:r>
        <w:rPr>
          <w:rFonts w:hint="default" w:ascii="宋体" w:hAnsi="宋体"/>
          <w:spacing w:val="2"/>
          <w:lang w:val="en-US"/>
        </w:rPr>
        <w:t>上表</w:t>
      </w:r>
    </w:p>
    <w:tbl>
      <w:tblPr>
        <w:tblStyle w:val="8"/>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279"/>
        <w:gridCol w:w="6626"/>
      </w:tblGrid>
      <w:tr w14:paraId="4F91C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2272" w:type="dxa"/>
            <w:gridSpan w:val="2"/>
            <w:tcBorders>
              <w:top w:val="single" w:color="000000" w:sz="2" w:space="0"/>
              <w:left w:val="single" w:color="000000" w:sz="2" w:space="0"/>
              <w:bottom w:val="single" w:color="000000" w:sz="2" w:space="0"/>
              <w:right w:val="single" w:color="000000" w:sz="4" w:space="0"/>
            </w:tcBorders>
          </w:tcPr>
          <w:p w14:paraId="6961BD92">
            <w:pPr>
              <w:spacing w:before="142"/>
              <w:ind w:left="825"/>
              <w:rPr>
                <w:rFonts w:hint="default" w:ascii="宋体" w:hAnsi="宋体"/>
                <w:lang w:val="en-US"/>
              </w:rPr>
            </w:pPr>
            <w:r>
              <w:rPr>
                <w:rFonts w:hint="default" w:ascii="宋体" w:hAnsi="宋体"/>
                <w:spacing w:val="-2"/>
                <w:lang w:val="en-US"/>
              </w:rPr>
              <w:t>条款</w:t>
            </w:r>
            <w:r>
              <w:rPr>
                <w:rFonts w:hint="default" w:ascii="宋体" w:hAnsi="宋体"/>
                <w:spacing w:val="-1"/>
                <w:lang w:val="en-US"/>
              </w:rPr>
              <w:t>号</w:t>
            </w:r>
          </w:p>
        </w:tc>
        <w:tc>
          <w:tcPr>
            <w:tcW w:w="6626" w:type="dxa"/>
            <w:tcBorders>
              <w:top w:val="single" w:color="000000" w:sz="2" w:space="0"/>
              <w:left w:val="nil"/>
              <w:bottom w:val="single" w:color="000000" w:sz="2" w:space="0"/>
              <w:right w:val="single" w:color="000000" w:sz="2" w:space="0"/>
            </w:tcBorders>
          </w:tcPr>
          <w:p w14:paraId="0B57C207">
            <w:pPr>
              <w:spacing w:before="142"/>
              <w:ind w:left="2326"/>
              <w:rPr>
                <w:rFonts w:hint="default" w:ascii="宋体" w:hAnsi="宋体"/>
                <w:lang w:val="en-US"/>
              </w:rPr>
            </w:pPr>
            <w:r>
              <w:rPr>
                <w:rFonts w:hint="default" w:ascii="宋体" w:hAnsi="宋体"/>
                <w:spacing w:val="7"/>
                <w:lang w:val="en-US"/>
              </w:rPr>
              <w:t>评审因素与评审标准</w:t>
            </w:r>
          </w:p>
        </w:tc>
      </w:tr>
      <w:tr w14:paraId="7300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5" w:hRule="atLeast"/>
          <w:jc w:val="center"/>
        </w:trPr>
        <w:tc>
          <w:tcPr>
            <w:tcW w:w="993" w:type="dxa"/>
            <w:tcBorders>
              <w:top w:val="single" w:color="000000" w:sz="2" w:space="0"/>
              <w:left w:val="single" w:color="000000" w:sz="2" w:space="0"/>
              <w:bottom w:val="single" w:color="000000" w:sz="2" w:space="0"/>
              <w:right w:val="single" w:color="000000" w:sz="2" w:space="0"/>
            </w:tcBorders>
          </w:tcPr>
          <w:p w14:paraId="5102F53D">
            <w:pPr>
              <w:rPr>
                <w:rFonts w:hint="default"/>
                <w:lang w:val="en-US"/>
              </w:rPr>
            </w:pPr>
          </w:p>
          <w:p w14:paraId="7527DA7F">
            <w:pPr>
              <w:rPr>
                <w:rFonts w:hint="default"/>
                <w:lang w:val="en-US"/>
              </w:rPr>
            </w:pPr>
          </w:p>
          <w:p w14:paraId="550B34A8">
            <w:pPr>
              <w:rPr>
                <w:rFonts w:hint="default"/>
                <w:lang w:val="en-US"/>
              </w:rPr>
            </w:pPr>
          </w:p>
          <w:p w14:paraId="333AD75E">
            <w:pPr>
              <w:rPr>
                <w:rFonts w:hint="default"/>
                <w:lang w:val="en-US"/>
              </w:rPr>
            </w:pPr>
          </w:p>
          <w:p w14:paraId="3DB4655A">
            <w:pPr>
              <w:rPr>
                <w:rFonts w:hint="default"/>
                <w:lang w:val="en-US"/>
              </w:rPr>
            </w:pPr>
          </w:p>
          <w:p w14:paraId="75C2388C">
            <w:pPr>
              <w:rPr>
                <w:rFonts w:hint="default"/>
                <w:lang w:val="en-US"/>
              </w:rPr>
            </w:pPr>
          </w:p>
          <w:p w14:paraId="32406766">
            <w:pPr>
              <w:rPr>
                <w:rFonts w:hint="default"/>
                <w:lang w:val="en-US"/>
              </w:rPr>
            </w:pPr>
          </w:p>
          <w:p w14:paraId="60EB50E1">
            <w:pPr>
              <w:rPr>
                <w:rFonts w:hint="default"/>
                <w:lang w:val="en-US"/>
              </w:rPr>
            </w:pPr>
          </w:p>
          <w:p w14:paraId="4803608E">
            <w:pPr>
              <w:rPr>
                <w:rFonts w:hint="default"/>
                <w:lang w:val="en-US"/>
              </w:rPr>
            </w:pPr>
          </w:p>
          <w:p w14:paraId="1890287E">
            <w:pPr>
              <w:rPr>
                <w:rFonts w:hint="default"/>
                <w:lang w:val="en-US"/>
              </w:rPr>
            </w:pPr>
          </w:p>
          <w:p w14:paraId="018F92B6">
            <w:pPr>
              <w:rPr>
                <w:rFonts w:hint="default"/>
                <w:lang w:val="en-US"/>
              </w:rPr>
            </w:pPr>
          </w:p>
          <w:p w14:paraId="1B77B97D">
            <w:pPr>
              <w:rPr>
                <w:rFonts w:hint="default"/>
                <w:lang w:val="en-US"/>
              </w:rPr>
            </w:pPr>
          </w:p>
          <w:p w14:paraId="35EB587E">
            <w:pPr>
              <w:rPr>
                <w:rFonts w:hint="default"/>
                <w:lang w:val="en-US"/>
              </w:rPr>
            </w:pPr>
          </w:p>
          <w:p w14:paraId="6B496C9F">
            <w:pPr>
              <w:rPr>
                <w:rFonts w:hint="default"/>
                <w:lang w:val="en-US"/>
              </w:rPr>
            </w:pPr>
          </w:p>
          <w:p w14:paraId="718A0919">
            <w:pPr>
              <w:rPr>
                <w:rFonts w:hint="default"/>
                <w:lang w:val="en-US"/>
              </w:rPr>
            </w:pPr>
          </w:p>
          <w:p w14:paraId="65C7FD4D">
            <w:pPr>
              <w:rPr>
                <w:rFonts w:hint="default"/>
                <w:lang w:val="en-US"/>
              </w:rPr>
            </w:pPr>
          </w:p>
          <w:p w14:paraId="298A0437">
            <w:pPr>
              <w:rPr>
                <w:rFonts w:hint="default"/>
                <w:lang w:val="en-US"/>
              </w:rPr>
            </w:pPr>
          </w:p>
          <w:p w14:paraId="296B818A">
            <w:pPr>
              <w:rPr>
                <w:rFonts w:hint="default"/>
                <w:lang w:val="en-US"/>
              </w:rPr>
            </w:pPr>
          </w:p>
          <w:p w14:paraId="43355F26">
            <w:pPr>
              <w:rPr>
                <w:rFonts w:hint="default"/>
                <w:lang w:val="en-US"/>
              </w:rPr>
            </w:pPr>
          </w:p>
          <w:p w14:paraId="26CE9DE5">
            <w:pPr>
              <w:spacing w:before="61" w:line="379" w:lineRule="exact"/>
              <w:ind w:left="287"/>
              <w:rPr>
                <w:rFonts w:hint="default" w:ascii="Times New Roman" w:hAnsi="Times New Roman" w:cs="Times New Roman"/>
                <w:lang w:val="en-US"/>
              </w:rPr>
            </w:pPr>
            <w:r>
              <w:rPr>
                <w:rFonts w:hint="default" w:ascii="Times New Roman" w:hAnsi="Times New Roman" w:cs="Times New Roman"/>
                <w:spacing w:val="-1"/>
                <w:position w:val="16"/>
                <w:lang w:val="en-US"/>
              </w:rPr>
              <w:t>2.</w:t>
            </w:r>
            <w:r>
              <w:rPr>
                <w:rFonts w:hint="default" w:ascii="Times New Roman" w:hAnsi="Times New Roman" w:cs="Times New Roman"/>
                <w:position w:val="16"/>
                <w:lang w:val="en-US"/>
              </w:rPr>
              <w:t>1.1</w:t>
            </w:r>
          </w:p>
          <w:p w14:paraId="1E84C3E8">
            <w:pPr>
              <w:ind w:left="287"/>
              <w:rPr>
                <w:rFonts w:hint="default" w:ascii="Times New Roman" w:hAnsi="Times New Roman" w:cs="Times New Roman"/>
                <w:lang w:val="en-US"/>
              </w:rPr>
            </w:pPr>
            <w:r>
              <w:rPr>
                <w:rFonts w:hint="default" w:ascii="Times New Roman" w:hAnsi="Times New Roman" w:cs="Times New Roman"/>
                <w:spacing w:val="-1"/>
                <w:lang w:val="en-US"/>
              </w:rPr>
              <w:t>2.</w:t>
            </w:r>
            <w:r>
              <w:rPr>
                <w:rFonts w:hint="default" w:ascii="Times New Roman" w:hAnsi="Times New Roman" w:cs="Times New Roman"/>
                <w:lang w:val="en-US"/>
              </w:rPr>
              <w:t>1.3</w:t>
            </w:r>
          </w:p>
        </w:tc>
        <w:tc>
          <w:tcPr>
            <w:tcW w:w="1279" w:type="dxa"/>
            <w:tcBorders>
              <w:top w:val="single" w:color="000000" w:sz="2" w:space="0"/>
              <w:left w:val="single" w:color="000000" w:sz="2" w:space="0"/>
              <w:bottom w:val="single" w:color="000000" w:sz="2" w:space="0"/>
              <w:right w:val="single" w:color="000000" w:sz="4" w:space="0"/>
            </w:tcBorders>
          </w:tcPr>
          <w:p w14:paraId="30F19D98">
            <w:pPr>
              <w:rPr>
                <w:rFonts w:hint="default"/>
                <w:lang w:val="en-US"/>
              </w:rPr>
            </w:pPr>
          </w:p>
          <w:p w14:paraId="4DE1438F">
            <w:pPr>
              <w:rPr>
                <w:rFonts w:hint="default"/>
                <w:lang w:val="en-US"/>
              </w:rPr>
            </w:pPr>
          </w:p>
          <w:p w14:paraId="26381E91">
            <w:pPr>
              <w:rPr>
                <w:rFonts w:hint="default"/>
                <w:lang w:val="en-US"/>
              </w:rPr>
            </w:pPr>
          </w:p>
          <w:p w14:paraId="622E715B">
            <w:pPr>
              <w:rPr>
                <w:rFonts w:hint="default"/>
                <w:lang w:val="en-US"/>
              </w:rPr>
            </w:pPr>
          </w:p>
          <w:p w14:paraId="564037E6">
            <w:pPr>
              <w:rPr>
                <w:rFonts w:hint="default"/>
                <w:lang w:val="en-US"/>
              </w:rPr>
            </w:pPr>
          </w:p>
          <w:p w14:paraId="0EAF8CCB">
            <w:pPr>
              <w:rPr>
                <w:rFonts w:hint="default"/>
                <w:lang w:val="en-US"/>
              </w:rPr>
            </w:pPr>
          </w:p>
          <w:p w14:paraId="1FE7B52B">
            <w:pPr>
              <w:rPr>
                <w:rFonts w:hint="default"/>
                <w:lang w:val="en-US"/>
              </w:rPr>
            </w:pPr>
          </w:p>
          <w:p w14:paraId="74EA7E6E">
            <w:pPr>
              <w:rPr>
                <w:rFonts w:hint="default"/>
                <w:lang w:val="en-US"/>
              </w:rPr>
            </w:pPr>
          </w:p>
          <w:p w14:paraId="77DA0AB8">
            <w:pPr>
              <w:rPr>
                <w:rFonts w:hint="default"/>
                <w:lang w:val="en-US"/>
              </w:rPr>
            </w:pPr>
          </w:p>
          <w:p w14:paraId="703C9F3F">
            <w:pPr>
              <w:rPr>
                <w:rFonts w:hint="default"/>
                <w:lang w:val="en-US"/>
              </w:rPr>
            </w:pPr>
          </w:p>
          <w:p w14:paraId="1D06EC62">
            <w:pPr>
              <w:rPr>
                <w:rFonts w:hint="default"/>
                <w:lang w:val="en-US"/>
              </w:rPr>
            </w:pPr>
          </w:p>
          <w:p w14:paraId="19E1AF99">
            <w:pPr>
              <w:rPr>
                <w:rFonts w:hint="default"/>
                <w:lang w:val="en-US"/>
              </w:rPr>
            </w:pPr>
          </w:p>
          <w:p w14:paraId="37F5B000">
            <w:pPr>
              <w:rPr>
                <w:rFonts w:hint="default"/>
                <w:lang w:val="en-US"/>
              </w:rPr>
            </w:pPr>
          </w:p>
          <w:p w14:paraId="629CBE94">
            <w:pPr>
              <w:rPr>
                <w:rFonts w:hint="default"/>
                <w:lang w:val="en-US"/>
              </w:rPr>
            </w:pPr>
          </w:p>
          <w:p w14:paraId="1B2CD616">
            <w:pPr>
              <w:rPr>
                <w:rFonts w:hint="default"/>
                <w:lang w:val="en-US"/>
              </w:rPr>
            </w:pPr>
          </w:p>
          <w:p w14:paraId="1B9C49EC">
            <w:pPr>
              <w:rPr>
                <w:rFonts w:hint="default"/>
                <w:lang w:val="en-US"/>
              </w:rPr>
            </w:pPr>
          </w:p>
          <w:p w14:paraId="7FC9CF7B">
            <w:pPr>
              <w:rPr>
                <w:rFonts w:hint="default"/>
                <w:lang w:val="en-US"/>
              </w:rPr>
            </w:pPr>
          </w:p>
          <w:p w14:paraId="1EE8E836">
            <w:pPr>
              <w:rPr>
                <w:rFonts w:hint="default"/>
                <w:lang w:val="en-US"/>
              </w:rPr>
            </w:pPr>
          </w:p>
          <w:p w14:paraId="3577B39D">
            <w:pPr>
              <w:spacing w:before="69"/>
              <w:ind w:left="119"/>
              <w:rPr>
                <w:rFonts w:hint="default" w:ascii="宋体" w:hAnsi="宋体"/>
                <w:lang w:val="en-US"/>
              </w:rPr>
            </w:pPr>
            <w:r>
              <w:rPr>
                <w:rFonts w:hint="default" w:ascii="宋体" w:hAnsi="宋体"/>
                <w:spacing w:val="-2"/>
                <w:lang w:val="en-US"/>
              </w:rPr>
              <w:t>形式评</w:t>
            </w:r>
            <w:r>
              <w:rPr>
                <w:rFonts w:hint="default" w:ascii="宋体" w:hAnsi="宋体"/>
                <w:spacing w:val="-1"/>
                <w:lang w:val="en-US"/>
              </w:rPr>
              <w:t>审与</w:t>
            </w:r>
          </w:p>
          <w:p w14:paraId="59E2458B">
            <w:pPr>
              <w:spacing w:before="132"/>
              <w:ind w:left="127"/>
              <w:rPr>
                <w:rFonts w:hint="default" w:ascii="宋体" w:hAnsi="宋体"/>
                <w:lang w:val="en-US"/>
              </w:rPr>
            </w:pPr>
            <w:r>
              <w:rPr>
                <w:rFonts w:hint="default" w:ascii="宋体" w:hAnsi="宋体"/>
                <w:spacing w:val="-4"/>
                <w:lang w:val="en-US"/>
              </w:rPr>
              <w:t>响</w:t>
            </w:r>
            <w:r>
              <w:rPr>
                <w:rFonts w:hint="default" w:ascii="宋体" w:hAnsi="宋体"/>
                <w:spacing w:val="-3"/>
                <w:lang w:val="en-US"/>
              </w:rPr>
              <w:t>应性评审</w:t>
            </w:r>
          </w:p>
          <w:p w14:paraId="6CE116E5">
            <w:pPr>
              <w:spacing w:before="127"/>
              <w:ind w:left="434"/>
              <w:rPr>
                <w:rFonts w:hint="default" w:ascii="宋体" w:hAnsi="宋体"/>
                <w:lang w:val="en-US"/>
              </w:rPr>
            </w:pPr>
            <w:r>
              <w:rPr>
                <w:rFonts w:hint="default" w:ascii="宋体" w:hAnsi="宋体"/>
                <w:spacing w:val="-2"/>
                <w:lang w:val="en-US"/>
              </w:rPr>
              <w:t>标准</w:t>
            </w:r>
          </w:p>
        </w:tc>
        <w:tc>
          <w:tcPr>
            <w:tcW w:w="6626" w:type="dxa"/>
            <w:tcBorders>
              <w:top w:val="single" w:color="000000" w:sz="2" w:space="0"/>
              <w:left w:val="nil"/>
              <w:bottom w:val="single" w:color="000000" w:sz="2" w:space="0"/>
              <w:right w:val="single" w:color="000000" w:sz="2" w:space="0"/>
            </w:tcBorders>
            <w:vAlign w:val="center"/>
          </w:tcPr>
          <w:p w14:paraId="16C7620A">
            <w:pPr>
              <w:spacing w:before="68"/>
              <w:ind w:left="532"/>
              <w:jc w:val="both"/>
              <w:rPr>
                <w:rFonts w:hint="default" w:ascii="宋体" w:hAnsi="宋体"/>
                <w:lang w:val="en-US"/>
              </w:rPr>
            </w:pPr>
            <w:r>
              <w:rPr>
                <w:rFonts w:hint="default" w:ascii="宋体" w:hAnsi="宋体"/>
                <w:spacing w:val="8"/>
                <w:lang w:val="en-US"/>
              </w:rPr>
              <w:t>第</w:t>
            </w:r>
            <w:r>
              <w:rPr>
                <w:rFonts w:hint="default" w:ascii="宋体" w:hAnsi="宋体"/>
                <w:spacing w:val="4"/>
                <w:lang w:val="en-US"/>
              </w:rPr>
              <w:t>二个信封(报价文件) 评审标准：</w:t>
            </w:r>
          </w:p>
          <w:p w14:paraId="4345944A">
            <w:pPr>
              <w:spacing w:before="112" w:line="314" w:lineRule="auto"/>
              <w:ind w:left="110" w:right="105" w:firstLine="425"/>
              <w:jc w:val="both"/>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1</w:t>
            </w:r>
            <w:r>
              <w:rPr>
                <w:rFonts w:hint="default" w:ascii="宋体" w:hAnsi="宋体"/>
                <w:spacing w:val="3"/>
                <w:lang w:val="en-US"/>
              </w:rPr>
              <w:t>) 投标文件按照招标文件规定的格式、内容填写，字迹清晰可</w:t>
            </w:r>
            <w:r>
              <w:rPr>
                <w:rFonts w:hint="default" w:ascii="宋体" w:hAnsi="宋体"/>
                <w:lang w:val="en-US"/>
              </w:rPr>
              <w:t xml:space="preserve"> </w:t>
            </w:r>
            <w:r>
              <w:rPr>
                <w:rFonts w:hint="default" w:ascii="宋体" w:hAnsi="宋体"/>
                <w:spacing w:val="-14"/>
                <w:lang w:val="en-US"/>
              </w:rPr>
              <w:t>辨：</w:t>
            </w:r>
          </w:p>
          <w:p w14:paraId="2C2A4A5D">
            <w:pPr>
              <w:spacing w:before="1" w:line="314" w:lineRule="auto"/>
              <w:ind w:left="110" w:right="107" w:firstLine="418"/>
              <w:jc w:val="both"/>
              <w:rPr>
                <w:rFonts w:hint="default" w:ascii="宋体" w:hAnsi="宋体"/>
                <w:lang w:val="en-US"/>
              </w:rPr>
            </w:pPr>
            <w:r>
              <w:rPr>
                <w:rFonts w:hint="default" w:ascii="Times New Roman" w:hAnsi="Times New Roman" w:cs="Times New Roman"/>
                <w:lang w:val="en-US"/>
              </w:rPr>
              <w:t>a</w:t>
            </w:r>
            <w:r>
              <w:rPr>
                <w:rFonts w:hint="default" w:ascii="Times New Roman" w:hAnsi="Times New Roman" w:cs="Times New Roman"/>
                <w:spacing w:val="-5"/>
                <w:lang w:val="en-US"/>
              </w:rPr>
              <w:t>.</w:t>
            </w:r>
            <w:r>
              <w:rPr>
                <w:rFonts w:hint="default" w:ascii="宋体" w:hAnsi="宋体"/>
                <w:spacing w:val="-5"/>
                <w:lang w:val="en-US"/>
              </w:rPr>
              <w:t>投标函按招标文件规定填报了项目名称、标段号、补遗书编号(如</w:t>
            </w:r>
            <w:r>
              <w:rPr>
                <w:rFonts w:hint="default" w:ascii="宋体" w:hAnsi="宋体"/>
                <w:lang w:val="en-US"/>
              </w:rPr>
              <w:t xml:space="preserve"> </w:t>
            </w:r>
            <w:r>
              <w:rPr>
                <w:rFonts w:hint="default" w:ascii="宋体" w:hAnsi="宋体"/>
                <w:spacing w:val="-1"/>
                <w:lang w:val="en-US"/>
              </w:rPr>
              <w:t>有)、投标价 (包括大写金额和小写金额)；</w:t>
            </w:r>
          </w:p>
          <w:p w14:paraId="5E3ED678">
            <w:pPr>
              <w:spacing w:before="1" w:line="314" w:lineRule="auto"/>
              <w:ind w:left="110" w:right="105" w:firstLine="411"/>
              <w:jc w:val="both"/>
              <w:rPr>
                <w:rFonts w:hint="default" w:ascii="宋体" w:hAnsi="宋体"/>
                <w:lang w:val="en-US"/>
              </w:rPr>
            </w:pPr>
            <w:r>
              <w:rPr>
                <w:rFonts w:hint="default" w:ascii="Times New Roman" w:hAnsi="Times New Roman" w:cs="Times New Roman"/>
                <w:spacing w:val="-3"/>
                <w:lang w:val="en-US"/>
              </w:rPr>
              <w:t>b</w:t>
            </w:r>
            <w:r>
              <w:rPr>
                <w:rFonts w:hint="default" w:ascii="Times New Roman" w:hAnsi="Times New Roman" w:cs="Times New Roman"/>
                <w:spacing w:val="-6"/>
                <w:lang w:val="en-US"/>
              </w:rPr>
              <w:t xml:space="preserve">. </w:t>
            </w:r>
            <w:r>
              <w:rPr>
                <w:rFonts w:hint="default" w:ascii="宋体" w:hAnsi="宋体"/>
                <w:spacing w:val="-3"/>
                <w:lang w:val="en-US"/>
              </w:rPr>
              <w:t>已标价工程量清单说明文字与招标文件规定一致，未进行实质性</w:t>
            </w:r>
            <w:r>
              <w:rPr>
                <w:rFonts w:hint="default" w:ascii="宋体" w:hAnsi="宋体"/>
                <w:lang w:val="en-US"/>
              </w:rPr>
              <w:t xml:space="preserve"> </w:t>
            </w:r>
            <w:r>
              <w:rPr>
                <w:rFonts w:hint="default" w:ascii="宋体" w:hAnsi="宋体"/>
                <w:spacing w:val="-1"/>
                <w:lang w:val="en-US"/>
              </w:rPr>
              <w:t>修改和删减</w:t>
            </w:r>
            <w:r>
              <w:rPr>
                <w:rFonts w:hint="default" w:ascii="宋体" w:hAnsi="宋体"/>
                <w:lang w:val="en-US"/>
              </w:rPr>
              <w:t>；</w:t>
            </w:r>
          </w:p>
          <w:p w14:paraId="40824A93">
            <w:pPr>
              <w:ind w:left="529"/>
              <w:jc w:val="both"/>
              <w:rPr>
                <w:rFonts w:hint="default" w:ascii="宋体" w:hAnsi="宋体"/>
                <w:lang w:val="en-US"/>
              </w:rPr>
            </w:pPr>
            <w:r>
              <w:rPr>
                <w:rFonts w:hint="default" w:ascii="Times New Roman" w:hAnsi="Times New Roman" w:cs="Times New Roman"/>
                <w:lang w:val="en-US"/>
              </w:rPr>
              <w:t>c</w:t>
            </w:r>
            <w:r>
              <w:rPr>
                <w:rFonts w:hint="default" w:ascii="Times New Roman" w:hAnsi="Times New Roman" w:cs="Times New Roman"/>
                <w:spacing w:val="-1"/>
                <w:lang w:val="en-US"/>
              </w:rPr>
              <w:t>.</w:t>
            </w:r>
            <w:r>
              <w:rPr>
                <w:rFonts w:hint="default" w:ascii="宋体" w:hAnsi="宋体"/>
                <w:spacing w:val="-1"/>
                <w:lang w:val="en-US"/>
              </w:rPr>
              <w:t>投标文件组成齐全完整，内容均按规定填写</w:t>
            </w:r>
            <w:r>
              <w:rPr>
                <w:rFonts w:hint="default" w:ascii="宋体" w:hAnsi="宋体"/>
                <w:lang w:val="en-US"/>
              </w:rPr>
              <w:t>。</w:t>
            </w:r>
          </w:p>
          <w:p w14:paraId="4ADAA828">
            <w:pPr>
              <w:spacing w:before="92" w:line="316" w:lineRule="auto"/>
              <w:ind w:left="110" w:right="105" w:firstLine="426"/>
              <w:jc w:val="both"/>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2</w:t>
            </w:r>
            <w:r>
              <w:rPr>
                <w:rFonts w:hint="default" w:ascii="宋体" w:hAnsi="宋体"/>
                <w:spacing w:val="3"/>
                <w:lang w:val="en-US"/>
              </w:rPr>
              <w:t>) 投标文件上法定代表人或其委托代理人的签字、投标人的单</w:t>
            </w:r>
            <w:r>
              <w:rPr>
                <w:rFonts w:hint="default" w:ascii="宋体" w:hAnsi="宋体"/>
                <w:lang w:val="en-US"/>
              </w:rPr>
              <w:t xml:space="preserve"> </w:t>
            </w:r>
            <w:r>
              <w:rPr>
                <w:rFonts w:hint="default" w:ascii="宋体" w:hAnsi="宋体"/>
                <w:spacing w:val="-12"/>
                <w:lang w:val="en-US"/>
              </w:rPr>
              <w:t>位</w:t>
            </w:r>
            <w:r>
              <w:rPr>
                <w:rFonts w:hint="default" w:ascii="宋体" w:hAnsi="宋体"/>
                <w:spacing w:val="-8"/>
                <w:lang w:val="en-US"/>
              </w:rPr>
              <w:t>章</w:t>
            </w:r>
            <w:r>
              <w:rPr>
                <w:rFonts w:hint="default" w:ascii="宋体" w:hAnsi="宋体"/>
                <w:spacing w:val="-6"/>
                <w:lang w:val="en-US"/>
              </w:rPr>
              <w:t>盖章齐全， 符合招标文件规定。</w:t>
            </w:r>
          </w:p>
          <w:p w14:paraId="2F833594">
            <w:pPr>
              <w:spacing w:before="1" w:line="314" w:lineRule="auto"/>
              <w:ind w:left="124" w:right="105" w:firstLine="411"/>
              <w:jc w:val="both"/>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3</w:t>
            </w:r>
            <w:r>
              <w:rPr>
                <w:rFonts w:hint="default" w:ascii="宋体" w:hAnsi="宋体"/>
                <w:spacing w:val="3"/>
                <w:lang w:val="en-US"/>
              </w:rPr>
              <w:t>) 投标报价或调价函中的报价未超过招标文件设定的最高投标</w:t>
            </w:r>
            <w:r>
              <w:rPr>
                <w:rFonts w:hint="default" w:ascii="宋体" w:hAnsi="宋体"/>
                <w:lang w:val="en-US"/>
              </w:rPr>
              <w:t xml:space="preserve"> </w:t>
            </w:r>
            <w:r>
              <w:rPr>
                <w:rFonts w:hint="default" w:ascii="宋体" w:hAnsi="宋体"/>
                <w:spacing w:val="10"/>
                <w:lang w:val="en-US"/>
              </w:rPr>
              <w:t>限价(如有)</w:t>
            </w:r>
            <w:r>
              <w:rPr>
                <w:rFonts w:hint="default" w:ascii="宋体" w:hAnsi="宋体"/>
                <w:spacing w:val="9"/>
                <w:lang w:val="en-US"/>
              </w:rPr>
              <w:t>。</w:t>
            </w:r>
          </w:p>
          <w:p w14:paraId="6F6423C0">
            <w:pPr>
              <w:spacing w:before="1"/>
              <w:ind w:left="536"/>
              <w:jc w:val="both"/>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4</w:t>
            </w:r>
            <w:r>
              <w:rPr>
                <w:rFonts w:hint="default" w:ascii="宋体" w:hAnsi="宋体"/>
                <w:spacing w:val="4"/>
                <w:lang w:val="en-US"/>
              </w:rPr>
              <w:t>)</w:t>
            </w:r>
            <w:r>
              <w:rPr>
                <w:rFonts w:hint="default" w:ascii="宋体" w:hAnsi="宋体"/>
                <w:spacing w:val="3"/>
                <w:lang w:val="en-US"/>
              </w:rPr>
              <w:t xml:space="preserve"> 投标报价或调价函中报价的大写金额能够确定具体数值。</w:t>
            </w:r>
          </w:p>
          <w:p w14:paraId="0B0F7AD8">
            <w:pPr>
              <w:spacing w:before="112" w:line="314" w:lineRule="auto"/>
              <w:ind w:left="111" w:right="105" w:firstLine="424"/>
              <w:jc w:val="both"/>
              <w:rPr>
                <w:rFonts w:hint="default" w:ascii="宋体" w:hAnsi="宋体"/>
                <w:lang w:val="en-US"/>
              </w:rPr>
            </w:pPr>
            <w:r>
              <w:rPr>
                <w:rFonts w:hint="default" w:ascii="宋体" w:hAnsi="宋体"/>
                <w:spacing w:val="-1"/>
                <w:lang w:val="en-US"/>
              </w:rPr>
              <w:t>(</w:t>
            </w:r>
            <w:r>
              <w:rPr>
                <w:rFonts w:hint="default" w:ascii="Times New Roman" w:hAnsi="Times New Roman" w:cs="Times New Roman"/>
                <w:spacing w:val="-1"/>
                <w:lang w:val="en-US"/>
              </w:rPr>
              <w:t>5</w:t>
            </w:r>
            <w:r>
              <w:rPr>
                <w:rFonts w:hint="default" w:ascii="宋体" w:hAnsi="宋体"/>
                <w:spacing w:val="-1"/>
                <w:lang w:val="en-US"/>
              </w:rPr>
              <w:t>) 同一投标人</w:t>
            </w:r>
            <w:r>
              <w:rPr>
                <w:rFonts w:hint="default" w:ascii="宋体" w:hAnsi="宋体"/>
                <w:lang w:val="en-US"/>
              </w:rPr>
              <w:t xml:space="preserve">未提交两个以上不同的投标报价， 但招标文件要 </w:t>
            </w:r>
            <w:r>
              <w:rPr>
                <w:rFonts w:hint="default" w:ascii="宋体" w:hAnsi="宋体"/>
                <w:spacing w:val="-1"/>
                <w:lang w:val="en-US"/>
              </w:rPr>
              <w:t>求提交备选投标的</w:t>
            </w:r>
            <w:r>
              <w:rPr>
                <w:rFonts w:hint="default" w:ascii="宋体" w:hAnsi="宋体"/>
                <w:lang w:val="en-US"/>
              </w:rPr>
              <w:t>除外。</w:t>
            </w:r>
          </w:p>
          <w:p w14:paraId="645E38CE">
            <w:pPr>
              <w:spacing w:before="2" w:line="314" w:lineRule="auto"/>
              <w:ind w:left="113" w:right="105" w:firstLine="422"/>
              <w:jc w:val="both"/>
              <w:rPr>
                <w:rFonts w:hint="default" w:ascii="宋体" w:hAnsi="宋体"/>
                <w:lang w:val="en-US"/>
              </w:rPr>
            </w:pPr>
            <w:r>
              <w:rPr>
                <w:rFonts w:hint="default" w:ascii="宋体" w:hAnsi="宋体"/>
                <w:spacing w:val="6"/>
                <w:lang w:val="en-US"/>
              </w:rPr>
              <w:t>(</w:t>
            </w:r>
            <w:r>
              <w:rPr>
                <w:rFonts w:hint="default" w:ascii="Times New Roman" w:hAnsi="Times New Roman" w:cs="Times New Roman"/>
                <w:spacing w:val="6"/>
                <w:lang w:val="en-US"/>
              </w:rPr>
              <w:t>6</w:t>
            </w:r>
            <w:r>
              <w:rPr>
                <w:rFonts w:hint="default" w:ascii="宋体" w:hAnsi="宋体"/>
                <w:spacing w:val="3"/>
                <w:lang w:val="en-US"/>
              </w:rPr>
              <w:t>) 投标人若提交调价函，调价函符合招标文件第二章“投标人</w:t>
            </w:r>
            <w:r>
              <w:rPr>
                <w:rFonts w:hint="default" w:ascii="宋体" w:hAnsi="宋体"/>
                <w:lang w:val="en-US"/>
              </w:rPr>
              <w:t xml:space="preserve"> </w:t>
            </w:r>
            <w:r>
              <w:rPr>
                <w:rFonts w:hint="default" w:ascii="宋体" w:hAnsi="宋体"/>
                <w:spacing w:val="-7"/>
                <w:lang w:val="en-US"/>
              </w:rPr>
              <w:t>须</w:t>
            </w:r>
            <w:r>
              <w:rPr>
                <w:rFonts w:hint="default" w:ascii="宋体" w:hAnsi="宋体"/>
                <w:spacing w:val="-5"/>
                <w:lang w:val="en-US"/>
              </w:rPr>
              <w:t xml:space="preserve">知”第 </w:t>
            </w:r>
            <w:r>
              <w:rPr>
                <w:rFonts w:hint="default" w:ascii="Times New Roman" w:hAnsi="Times New Roman" w:cs="Times New Roman"/>
                <w:spacing w:val="-5"/>
                <w:lang w:val="en-US"/>
              </w:rPr>
              <w:t xml:space="preserve">3.2.6 </w:t>
            </w:r>
            <w:r>
              <w:rPr>
                <w:rFonts w:hint="default" w:ascii="宋体" w:hAnsi="宋体"/>
                <w:spacing w:val="-5"/>
                <w:lang w:val="en-US"/>
              </w:rPr>
              <w:t>项要求。</w:t>
            </w:r>
          </w:p>
          <w:p w14:paraId="7E6A6B80">
            <w:pPr>
              <w:spacing w:before="2" w:line="314" w:lineRule="auto"/>
              <w:ind w:left="109" w:right="105" w:firstLine="427"/>
              <w:jc w:val="both"/>
              <w:rPr>
                <w:rFonts w:hint="default" w:ascii="Times New Roman" w:hAnsi="Times New Roman" w:cs="Times New Roman"/>
                <w:lang w:val="en-US"/>
              </w:rPr>
            </w:pPr>
            <w:r>
              <w:rPr>
                <w:rFonts w:hint="default" w:ascii="宋体" w:hAnsi="宋体"/>
                <w:spacing w:val="-1"/>
                <w:lang w:val="en-US"/>
              </w:rPr>
              <w:t>(</w:t>
            </w:r>
            <w:r>
              <w:rPr>
                <w:rFonts w:hint="default" w:ascii="Times New Roman" w:hAnsi="Times New Roman" w:cs="Times New Roman"/>
                <w:spacing w:val="-1"/>
                <w:lang w:val="en-US"/>
              </w:rPr>
              <w:t>7</w:t>
            </w:r>
            <w:r>
              <w:rPr>
                <w:rFonts w:hint="default" w:ascii="宋体" w:hAnsi="宋体"/>
                <w:spacing w:val="-1"/>
                <w:lang w:val="en-US"/>
              </w:rPr>
              <w:t>) 投标人若填</w:t>
            </w:r>
            <w:r>
              <w:rPr>
                <w:rFonts w:hint="default" w:ascii="宋体" w:hAnsi="宋体"/>
                <w:lang w:val="en-US"/>
              </w:rPr>
              <w:t xml:space="preserve">写工程量固化清单， 填写完毕的工程量固化清单 </w:t>
            </w:r>
            <w:r>
              <w:rPr>
                <w:rFonts w:hint="default" w:ascii="宋体" w:hAnsi="宋体"/>
                <w:spacing w:val="-6"/>
                <w:lang w:val="en-US"/>
              </w:rPr>
              <w:t>未对工程量固化清</w:t>
            </w:r>
            <w:r>
              <w:rPr>
                <w:rFonts w:hint="default" w:ascii="宋体" w:hAnsi="宋体"/>
                <w:spacing w:val="-4"/>
                <w:lang w:val="en-US"/>
              </w:rPr>
              <w:t>单</w:t>
            </w:r>
            <w:r>
              <w:rPr>
                <w:rFonts w:hint="default" w:ascii="宋体" w:hAnsi="宋体"/>
                <w:spacing w:val="-3"/>
                <w:lang w:val="en-US"/>
              </w:rPr>
              <w:t>电子文件中的数据、格式和运算定义进行修改；工</w:t>
            </w:r>
            <w:r>
              <w:rPr>
                <w:rFonts w:hint="default" w:ascii="宋体" w:hAnsi="宋体"/>
                <w:spacing w:val="-1"/>
                <w:lang w:val="en-US"/>
              </w:rPr>
              <w:t>程量固化清单中的投标报价和投标函大写金额报价</w:t>
            </w:r>
            <w:r>
              <w:rPr>
                <w:rFonts w:hint="default" w:ascii="宋体" w:hAnsi="宋体"/>
                <w:lang w:val="en-US"/>
              </w:rPr>
              <w:t>一致。</w:t>
            </w:r>
          </w:p>
        </w:tc>
      </w:tr>
      <w:tr w14:paraId="0343E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9" w:hRule="atLeast"/>
          <w:jc w:val="center"/>
        </w:trPr>
        <w:tc>
          <w:tcPr>
            <w:tcW w:w="993" w:type="dxa"/>
            <w:tcBorders>
              <w:top w:val="single" w:color="000000" w:sz="2" w:space="0"/>
              <w:left w:val="single" w:color="000000" w:sz="2" w:space="0"/>
              <w:bottom w:val="single" w:color="000000" w:sz="2" w:space="0"/>
              <w:right w:val="single" w:color="000000" w:sz="2" w:space="0"/>
            </w:tcBorders>
          </w:tcPr>
          <w:p w14:paraId="505A6656">
            <w:pPr>
              <w:spacing w:line="251" w:lineRule="auto"/>
              <w:rPr>
                <w:rFonts w:hint="default"/>
                <w:lang w:val="en-US"/>
              </w:rPr>
            </w:pPr>
          </w:p>
          <w:p w14:paraId="18D66CC9">
            <w:pPr>
              <w:spacing w:line="251" w:lineRule="auto"/>
              <w:rPr>
                <w:rFonts w:hint="default"/>
                <w:lang w:val="en-US"/>
              </w:rPr>
            </w:pPr>
          </w:p>
          <w:p w14:paraId="15C9894C">
            <w:pPr>
              <w:spacing w:line="251" w:lineRule="auto"/>
              <w:rPr>
                <w:rFonts w:hint="default"/>
                <w:lang w:val="en-US"/>
              </w:rPr>
            </w:pPr>
          </w:p>
          <w:p w14:paraId="2DE8B679">
            <w:pPr>
              <w:spacing w:line="251" w:lineRule="auto"/>
              <w:rPr>
                <w:rFonts w:hint="default"/>
                <w:lang w:val="en-US"/>
              </w:rPr>
            </w:pPr>
          </w:p>
          <w:p w14:paraId="338199BB">
            <w:pPr>
              <w:spacing w:before="61"/>
              <w:ind w:left="287"/>
              <w:rPr>
                <w:rFonts w:hint="default" w:ascii="Times New Roman" w:hAnsi="Times New Roman" w:cs="Times New Roman"/>
                <w:lang w:val="en-US"/>
              </w:rPr>
            </w:pPr>
            <w:r>
              <w:rPr>
                <w:rFonts w:hint="default" w:ascii="Times New Roman" w:hAnsi="Times New Roman" w:cs="Times New Roman"/>
                <w:spacing w:val="-1"/>
                <w:lang w:val="en-US"/>
              </w:rPr>
              <w:t>2.</w:t>
            </w:r>
            <w:r>
              <w:rPr>
                <w:rFonts w:hint="default" w:ascii="Times New Roman" w:hAnsi="Times New Roman" w:cs="Times New Roman"/>
                <w:lang w:val="en-US"/>
              </w:rPr>
              <w:t>1.2</w:t>
            </w:r>
          </w:p>
        </w:tc>
        <w:tc>
          <w:tcPr>
            <w:tcW w:w="1279" w:type="dxa"/>
            <w:tcBorders>
              <w:top w:val="single" w:color="000000" w:sz="2" w:space="0"/>
              <w:left w:val="single" w:color="000000" w:sz="2" w:space="0"/>
              <w:bottom w:val="single" w:color="000000" w:sz="2" w:space="0"/>
              <w:right w:val="single" w:color="000000" w:sz="4" w:space="0"/>
            </w:tcBorders>
          </w:tcPr>
          <w:p w14:paraId="7BB8BCCA">
            <w:pPr>
              <w:spacing w:line="253" w:lineRule="auto"/>
              <w:rPr>
                <w:rFonts w:hint="default"/>
                <w:lang w:val="en-US"/>
              </w:rPr>
            </w:pPr>
          </w:p>
          <w:p w14:paraId="7A260DF1">
            <w:pPr>
              <w:spacing w:line="256" w:lineRule="auto"/>
              <w:rPr>
                <w:rFonts w:hint="default"/>
                <w:lang w:val="en-US"/>
              </w:rPr>
            </w:pPr>
          </w:p>
          <w:p w14:paraId="673A1B22">
            <w:pPr>
              <w:spacing w:line="256" w:lineRule="auto"/>
              <w:rPr>
                <w:rFonts w:hint="default"/>
                <w:lang w:val="en-US"/>
              </w:rPr>
            </w:pPr>
          </w:p>
          <w:p w14:paraId="6460BADD">
            <w:pPr>
              <w:spacing w:before="69" w:line="336" w:lineRule="auto"/>
              <w:ind w:left="378" w:right="215" w:hanging="147"/>
              <w:rPr>
                <w:rFonts w:hint="default" w:ascii="宋体" w:hAnsi="宋体"/>
                <w:sz w:val="11"/>
                <w:szCs w:val="11"/>
                <w:lang w:val="en-US"/>
              </w:rPr>
            </w:pPr>
            <w:r>
              <w:rPr>
                <w:rFonts w:hint="default" w:ascii="宋体" w:hAnsi="宋体"/>
                <w:spacing w:val="-6"/>
                <w:lang w:val="en-US"/>
              </w:rPr>
              <w:t>资</w:t>
            </w:r>
            <w:r>
              <w:rPr>
                <w:rFonts w:hint="default" w:ascii="宋体" w:hAnsi="宋体"/>
                <w:spacing w:val="-3"/>
                <w:lang w:val="en-US"/>
              </w:rPr>
              <w:t>格评审</w:t>
            </w:r>
            <w:r>
              <w:rPr>
                <w:rFonts w:hint="default" w:ascii="宋体" w:hAnsi="宋体"/>
                <w:lang w:val="en-US"/>
              </w:rPr>
              <w:t xml:space="preserve"> </w:t>
            </w:r>
            <w:r>
              <w:rPr>
                <w:rFonts w:hint="default" w:ascii="宋体" w:hAnsi="宋体"/>
                <w:spacing w:val="-3"/>
                <w:position w:val="-1"/>
                <w:lang w:val="en-US"/>
              </w:rPr>
              <w:t>标</w:t>
            </w:r>
            <w:r>
              <w:rPr>
                <w:rFonts w:hint="default" w:ascii="宋体" w:hAnsi="宋体"/>
                <w:spacing w:val="-2"/>
                <w:position w:val="-1"/>
                <w:lang w:val="en-US"/>
              </w:rPr>
              <w:t>准</w:t>
            </w:r>
          </w:p>
        </w:tc>
        <w:tc>
          <w:tcPr>
            <w:tcW w:w="6626" w:type="dxa"/>
            <w:tcBorders>
              <w:top w:val="single" w:color="000000" w:sz="2" w:space="0"/>
              <w:left w:val="nil"/>
              <w:bottom w:val="single" w:color="000000" w:sz="2" w:space="0"/>
              <w:right w:val="single" w:color="000000" w:sz="2" w:space="0"/>
            </w:tcBorders>
            <w:vAlign w:val="center"/>
          </w:tcPr>
          <w:p w14:paraId="6A17A73B">
            <w:pPr>
              <w:spacing w:line="360" w:lineRule="atLeast"/>
              <w:ind w:firstLine="420" w:firstLineChars="200"/>
              <w:jc w:val="both"/>
              <w:rPr>
                <w:rFonts w:hint="default" w:ascii="宋体" w:hAnsi="宋体" w:cs="宋体"/>
                <w:lang w:val="en-US"/>
              </w:rPr>
            </w:pPr>
            <w:r>
              <w:rPr>
                <w:rFonts w:hint="default"/>
                <w:lang w:val="en-US"/>
              </w:rPr>
              <w:t>（</w:t>
            </w:r>
            <w:r>
              <w:rPr>
                <w:rFonts w:hint="default" w:ascii="宋体" w:hAnsi="宋体" w:cs="宋体"/>
                <w:lang w:val="en-US"/>
              </w:rPr>
              <w:t>1</w:t>
            </w:r>
            <w:r>
              <w:rPr>
                <w:rFonts w:hint="default"/>
                <w:lang w:val="en-US"/>
              </w:rPr>
              <w:t>）投标人具备有效的营业执照</w:t>
            </w:r>
            <w:r>
              <w:rPr>
                <w:rFonts w:hint="default"/>
                <w:lang w:val="en-US" w:eastAsia="zh-CN"/>
              </w:rPr>
              <w:t>或</w:t>
            </w:r>
            <w:r>
              <w:rPr>
                <w:rFonts w:hint="default"/>
                <w:lang w:val="en-US"/>
              </w:rPr>
              <w:t>组织机构代码证、资质证书、安全生产许可证和基本账户开户许可证或经基本账户开户银行出具的基本账户信息证明的复印件。</w:t>
            </w:r>
          </w:p>
          <w:p w14:paraId="47A8600F">
            <w:pPr>
              <w:spacing w:line="360" w:lineRule="atLeast"/>
              <w:ind w:firstLine="420" w:firstLineChars="200"/>
              <w:jc w:val="both"/>
              <w:rPr>
                <w:rFonts w:hint="default" w:ascii="宋体" w:hAnsi="宋体" w:cs="宋体"/>
                <w:lang w:val="en-US"/>
              </w:rPr>
            </w:pPr>
            <w:r>
              <w:rPr>
                <w:rFonts w:hint="default"/>
                <w:lang w:val="en-US"/>
              </w:rPr>
              <w:t>（</w:t>
            </w:r>
            <w:r>
              <w:rPr>
                <w:rFonts w:hint="default" w:ascii="宋体" w:hAnsi="宋体" w:cs="宋体"/>
                <w:lang w:val="en-US"/>
              </w:rPr>
              <w:t>2</w:t>
            </w:r>
            <w:r>
              <w:rPr>
                <w:rFonts w:hint="default"/>
                <w:lang w:val="en-US"/>
              </w:rPr>
              <w:t>）投标人的资质等级符合招标文件规定。</w:t>
            </w:r>
          </w:p>
          <w:p w14:paraId="6FD0C3C9">
            <w:pPr>
              <w:spacing w:line="360" w:lineRule="atLeast"/>
              <w:ind w:firstLine="420" w:firstLineChars="200"/>
              <w:jc w:val="both"/>
              <w:rPr>
                <w:rFonts w:hint="default"/>
                <w:lang w:val="en-US"/>
              </w:rPr>
            </w:pPr>
            <w:r>
              <w:rPr>
                <w:rFonts w:hint="default"/>
                <w:lang w:val="en-US"/>
              </w:rPr>
              <w:t>（</w:t>
            </w:r>
            <w:r>
              <w:rPr>
                <w:rFonts w:hint="default" w:ascii="宋体" w:hAnsi="宋体" w:cs="宋体"/>
                <w:lang w:val="en-US" w:eastAsia="zh-CN"/>
              </w:rPr>
              <w:t>3</w:t>
            </w:r>
            <w:r>
              <w:rPr>
                <w:rFonts w:hint="default"/>
                <w:lang w:val="en-US"/>
              </w:rPr>
              <w:t>）投标人的财务状况符合招标文件规定。</w:t>
            </w:r>
          </w:p>
          <w:p w14:paraId="65488CD9">
            <w:pPr>
              <w:spacing w:line="360" w:lineRule="atLeast"/>
              <w:ind w:firstLine="420" w:firstLineChars="200"/>
              <w:jc w:val="both"/>
              <w:rPr>
                <w:rFonts w:hint="default" w:ascii="宋体" w:hAnsi="宋体" w:cs="宋体"/>
                <w:lang w:val="en-US"/>
              </w:rPr>
            </w:pPr>
            <w:r>
              <w:rPr>
                <w:rFonts w:hint="default"/>
                <w:lang w:val="en-US"/>
              </w:rPr>
              <w:t>（</w:t>
            </w:r>
            <w:r>
              <w:rPr>
                <w:rFonts w:hint="default" w:ascii="宋体" w:hAnsi="宋体" w:cs="宋体"/>
                <w:lang w:val="en-US" w:eastAsia="zh-CN"/>
              </w:rPr>
              <w:t>4</w:t>
            </w:r>
            <w:r>
              <w:rPr>
                <w:rFonts w:hint="default"/>
                <w:lang w:val="en-US"/>
              </w:rPr>
              <w:t>）投标人的类似项目业绩符合招标文件规定。</w:t>
            </w:r>
          </w:p>
          <w:p w14:paraId="03643712">
            <w:pPr>
              <w:spacing w:line="360" w:lineRule="atLeast"/>
              <w:ind w:firstLine="420" w:firstLineChars="200"/>
              <w:jc w:val="both"/>
              <w:rPr>
                <w:rFonts w:hint="default" w:ascii="宋体" w:hAnsi="宋体" w:cs="宋体"/>
                <w:lang w:val="en-US"/>
              </w:rPr>
            </w:pPr>
            <w:r>
              <w:rPr>
                <w:rFonts w:hint="default"/>
                <w:lang w:val="en-US"/>
              </w:rPr>
              <w:t>（</w:t>
            </w:r>
            <w:r>
              <w:rPr>
                <w:rFonts w:hint="default" w:ascii="宋体" w:hAnsi="宋体" w:cs="宋体"/>
                <w:lang w:val="en-US" w:eastAsia="zh-CN"/>
              </w:rPr>
              <w:t>5</w:t>
            </w:r>
            <w:r>
              <w:rPr>
                <w:rFonts w:hint="default"/>
                <w:lang w:val="en-US"/>
              </w:rPr>
              <w:t>）投标人的信誉符合招标文件规定。</w:t>
            </w:r>
          </w:p>
          <w:p w14:paraId="7EE4E2CB">
            <w:pPr>
              <w:spacing w:line="360" w:lineRule="atLeast"/>
              <w:ind w:firstLine="420" w:firstLineChars="200"/>
              <w:jc w:val="both"/>
              <w:rPr>
                <w:rFonts w:hint="default" w:ascii="宋体" w:hAnsi="宋体" w:cs="宋体"/>
                <w:lang w:val="en-US"/>
              </w:rPr>
            </w:pPr>
            <w:r>
              <w:rPr>
                <w:rFonts w:hint="default"/>
                <w:lang w:val="en-US"/>
              </w:rPr>
              <w:t>（</w:t>
            </w:r>
            <w:r>
              <w:rPr>
                <w:rFonts w:hint="default" w:ascii="宋体" w:hAnsi="宋体" w:cs="宋体"/>
                <w:lang w:val="en-US" w:eastAsia="zh-CN"/>
              </w:rPr>
              <w:t>6</w:t>
            </w:r>
            <w:r>
              <w:rPr>
                <w:rFonts w:hint="default"/>
                <w:lang w:val="en-US"/>
              </w:rPr>
              <w:t>）投标人的项目经理和项目总工资格、在岗情况符合招标文件规定。</w:t>
            </w:r>
          </w:p>
          <w:p w14:paraId="1AC021E8">
            <w:pPr>
              <w:spacing w:line="360" w:lineRule="atLeast"/>
              <w:ind w:firstLine="420" w:firstLineChars="200"/>
              <w:jc w:val="both"/>
              <w:rPr>
                <w:rFonts w:hint="default" w:ascii="宋体" w:hAnsi="宋体"/>
                <w:lang w:val="en-US"/>
              </w:rPr>
            </w:pPr>
            <w:r>
              <w:rPr>
                <w:rFonts w:hint="default"/>
                <w:lang w:val="en-US"/>
              </w:rPr>
              <w:t>（</w:t>
            </w:r>
            <w:r>
              <w:rPr>
                <w:rFonts w:hint="default" w:ascii="宋体" w:hAnsi="宋体" w:cs="宋体"/>
                <w:lang w:val="en-US" w:eastAsia="zh-CN"/>
              </w:rPr>
              <w:t>7</w:t>
            </w:r>
            <w:r>
              <w:rPr>
                <w:rFonts w:hint="default"/>
                <w:lang w:val="en-US"/>
              </w:rPr>
              <w:t>）投标人的其他要求符合招标文件规定。</w:t>
            </w:r>
          </w:p>
        </w:tc>
      </w:tr>
    </w:tbl>
    <w:p w14:paraId="66081BF3">
      <w:pPr>
        <w:spacing w:before="68"/>
        <w:ind w:right="122"/>
        <w:jc w:val="right"/>
        <w:rPr>
          <w:rFonts w:hint="default" w:ascii="宋体" w:hAnsi="宋体"/>
          <w:lang w:val="en-US"/>
        </w:rPr>
      </w:pPr>
      <w:r>
        <w:rPr>
          <w:rFonts w:hint="default" w:ascii="宋体" w:hAnsi="宋体"/>
          <w:spacing w:val="3"/>
          <w:lang w:val="en-US"/>
        </w:rPr>
        <w:t>续</w:t>
      </w:r>
      <w:r>
        <w:rPr>
          <w:rFonts w:hint="default" w:ascii="宋体" w:hAnsi="宋体"/>
          <w:spacing w:val="2"/>
          <w:lang w:val="en-US"/>
        </w:rPr>
        <w:t>上表</w:t>
      </w:r>
    </w:p>
    <w:tbl>
      <w:tblPr>
        <w:tblStyle w:val="8"/>
        <w:tblW w:w="88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701"/>
        <w:gridCol w:w="488"/>
        <w:gridCol w:w="34"/>
        <w:gridCol w:w="950"/>
        <w:gridCol w:w="731"/>
        <w:gridCol w:w="4988"/>
      </w:tblGrid>
      <w:tr w14:paraId="591D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948" w:type="dxa"/>
            <w:tcBorders>
              <w:top w:val="single" w:color="000000" w:sz="2" w:space="0"/>
              <w:left w:val="single" w:color="000000" w:sz="2" w:space="0"/>
              <w:bottom w:val="single" w:color="000000" w:sz="2" w:space="0"/>
              <w:right w:val="single" w:color="000000" w:sz="2" w:space="0"/>
            </w:tcBorders>
          </w:tcPr>
          <w:p w14:paraId="6C6C4837">
            <w:pPr>
              <w:spacing w:before="140"/>
              <w:ind w:left="187"/>
              <w:rPr>
                <w:rFonts w:hint="default" w:ascii="宋体" w:hAnsi="宋体"/>
                <w:lang w:val="en-US"/>
              </w:rPr>
            </w:pPr>
            <w:r>
              <w:rPr>
                <w:rFonts w:hint="default" w:ascii="宋体" w:hAnsi="宋体"/>
                <w:spacing w:val="-2"/>
                <w:lang w:val="en-US"/>
              </w:rPr>
              <w:t>条款</w:t>
            </w:r>
            <w:r>
              <w:rPr>
                <w:rFonts w:hint="default" w:ascii="宋体" w:hAnsi="宋体"/>
                <w:spacing w:val="-1"/>
                <w:lang w:val="en-US"/>
              </w:rPr>
              <w:t>号</w:t>
            </w:r>
          </w:p>
        </w:tc>
        <w:tc>
          <w:tcPr>
            <w:tcW w:w="1223" w:type="dxa"/>
            <w:gridSpan w:val="3"/>
            <w:tcBorders>
              <w:top w:val="single" w:color="000000" w:sz="2" w:space="0"/>
              <w:left w:val="single" w:color="000000" w:sz="2" w:space="0"/>
              <w:bottom w:val="single" w:color="000000" w:sz="2" w:space="0"/>
              <w:right w:val="single" w:color="000000" w:sz="4" w:space="0"/>
            </w:tcBorders>
          </w:tcPr>
          <w:p w14:paraId="5D170481">
            <w:pPr>
              <w:spacing w:before="140"/>
              <w:ind w:left="223"/>
              <w:rPr>
                <w:rFonts w:hint="default" w:ascii="宋体" w:hAnsi="宋体"/>
                <w:lang w:val="en-US"/>
              </w:rPr>
            </w:pPr>
            <w:r>
              <w:rPr>
                <w:rFonts w:hint="default" w:ascii="宋体" w:hAnsi="宋体"/>
                <w:spacing w:val="-1"/>
                <w:lang w:val="en-US"/>
              </w:rPr>
              <w:t>条款内容</w:t>
            </w:r>
          </w:p>
        </w:tc>
        <w:tc>
          <w:tcPr>
            <w:tcW w:w="6669" w:type="dxa"/>
            <w:gridSpan w:val="3"/>
            <w:tcBorders>
              <w:top w:val="single" w:color="000000" w:sz="2" w:space="0"/>
              <w:left w:val="nil"/>
              <w:bottom w:val="single" w:color="000000" w:sz="2" w:space="0"/>
              <w:right w:val="single" w:color="000000" w:sz="2" w:space="0"/>
            </w:tcBorders>
          </w:tcPr>
          <w:p w14:paraId="598EBD02">
            <w:pPr>
              <w:spacing w:before="140"/>
              <w:ind w:left="2893"/>
              <w:rPr>
                <w:rFonts w:hint="default" w:ascii="宋体" w:hAnsi="宋体"/>
                <w:lang w:val="en-US"/>
              </w:rPr>
            </w:pPr>
            <w:r>
              <w:rPr>
                <w:rFonts w:hint="default" w:ascii="宋体" w:hAnsi="宋体"/>
                <w:spacing w:val="-1"/>
                <w:lang w:val="en-US"/>
              </w:rPr>
              <w:t>编列内容</w:t>
            </w:r>
          </w:p>
        </w:tc>
      </w:tr>
      <w:tr w14:paraId="5903F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jc w:val="center"/>
        </w:trPr>
        <w:tc>
          <w:tcPr>
            <w:tcW w:w="948" w:type="dxa"/>
            <w:tcBorders>
              <w:top w:val="single" w:color="000000" w:sz="2" w:space="0"/>
              <w:left w:val="single" w:color="000000" w:sz="2" w:space="0"/>
              <w:bottom w:val="single" w:color="000000" w:sz="2" w:space="0"/>
              <w:right w:val="single" w:color="000000" w:sz="2" w:space="0"/>
            </w:tcBorders>
          </w:tcPr>
          <w:p w14:paraId="315B653A">
            <w:pPr>
              <w:spacing w:line="292" w:lineRule="auto"/>
              <w:rPr>
                <w:rFonts w:hint="default"/>
                <w:lang w:val="en-US"/>
              </w:rPr>
            </w:pPr>
          </w:p>
          <w:p w14:paraId="33425F14">
            <w:pPr>
              <w:spacing w:line="292" w:lineRule="auto"/>
              <w:rPr>
                <w:rFonts w:hint="default"/>
                <w:lang w:val="en-US"/>
              </w:rPr>
            </w:pPr>
          </w:p>
          <w:p w14:paraId="09709E50">
            <w:pPr>
              <w:spacing w:line="292" w:lineRule="auto"/>
              <w:rPr>
                <w:rFonts w:hint="default"/>
                <w:lang w:val="en-US"/>
              </w:rPr>
            </w:pPr>
          </w:p>
          <w:p w14:paraId="43729C32">
            <w:pPr>
              <w:spacing w:before="61"/>
              <w:ind w:left="287"/>
              <w:rPr>
                <w:rFonts w:hint="default" w:ascii="Times New Roman" w:hAnsi="Times New Roman" w:cs="Times New Roman"/>
                <w:lang w:val="en-US"/>
              </w:rPr>
            </w:pPr>
            <w:r>
              <w:rPr>
                <w:rFonts w:hint="default" w:ascii="Times New Roman" w:hAnsi="Times New Roman" w:cs="Times New Roman"/>
                <w:spacing w:val="-1"/>
                <w:lang w:val="en-US"/>
              </w:rPr>
              <w:t>2.</w:t>
            </w:r>
            <w:r>
              <w:rPr>
                <w:rFonts w:hint="default" w:ascii="Times New Roman" w:hAnsi="Times New Roman" w:cs="Times New Roman"/>
                <w:lang w:val="en-US"/>
              </w:rPr>
              <w:t>2.1</w:t>
            </w:r>
          </w:p>
        </w:tc>
        <w:tc>
          <w:tcPr>
            <w:tcW w:w="1223" w:type="dxa"/>
            <w:gridSpan w:val="3"/>
            <w:tcBorders>
              <w:top w:val="single" w:color="000000" w:sz="2" w:space="0"/>
              <w:left w:val="single" w:color="000000" w:sz="2" w:space="0"/>
              <w:bottom w:val="single" w:color="000000" w:sz="2" w:space="0"/>
              <w:right w:val="single" w:color="000000" w:sz="4" w:space="0"/>
            </w:tcBorders>
          </w:tcPr>
          <w:p w14:paraId="0845CEEB">
            <w:pPr>
              <w:spacing w:before="140"/>
              <w:ind w:left="116"/>
              <w:jc w:val="center"/>
              <w:rPr>
                <w:rFonts w:hint="default" w:ascii="宋体" w:hAnsi="宋体"/>
                <w:lang w:val="en-US"/>
              </w:rPr>
            </w:pPr>
            <w:r>
              <w:rPr>
                <w:rFonts w:hint="default" w:ascii="宋体" w:hAnsi="宋体"/>
                <w:spacing w:val="-1"/>
                <w:lang w:val="en-US"/>
              </w:rPr>
              <w:t>第一个信封</w:t>
            </w:r>
          </w:p>
          <w:p w14:paraId="0F61511D">
            <w:pPr>
              <w:spacing w:before="127"/>
              <w:ind w:left="115"/>
              <w:jc w:val="center"/>
              <w:rPr>
                <w:rFonts w:hint="default" w:ascii="宋体" w:hAnsi="宋体"/>
                <w:spacing w:val="-1"/>
                <w:lang w:val="en-US"/>
              </w:rPr>
            </w:pPr>
            <w:r>
              <w:rPr>
                <w:rFonts w:hint="default" w:ascii="宋体" w:hAnsi="宋体"/>
                <w:spacing w:val="-1"/>
                <w:lang w:val="en-US"/>
              </w:rPr>
              <w:t>评分分值</w:t>
            </w:r>
          </w:p>
          <w:p w14:paraId="5C275BAA">
            <w:pPr>
              <w:spacing w:before="127"/>
              <w:ind w:left="115"/>
              <w:jc w:val="center"/>
              <w:rPr>
                <w:rFonts w:hint="default" w:ascii="宋体" w:hAnsi="宋体"/>
                <w:sz w:val="11"/>
                <w:szCs w:val="11"/>
                <w:lang w:val="en-US"/>
              </w:rPr>
            </w:pPr>
            <w:r>
              <w:rPr>
                <w:rFonts w:hint="default" w:ascii="宋体" w:hAnsi="宋体"/>
                <w:lang w:val="en-US"/>
              </w:rPr>
              <w:t>构</w:t>
            </w:r>
            <w:r>
              <w:rPr>
                <w:rFonts w:hint="default" w:ascii="宋体" w:hAnsi="宋体"/>
                <w:spacing w:val="-5"/>
                <w:position w:val="-2"/>
                <w:lang w:val="en-US"/>
              </w:rPr>
              <w:t>成</w:t>
            </w:r>
          </w:p>
          <w:p w14:paraId="355EC43C">
            <w:pPr>
              <w:spacing w:before="127" w:line="379" w:lineRule="exact"/>
              <w:ind w:left="149"/>
              <w:jc w:val="center"/>
              <w:rPr>
                <w:rFonts w:hint="default" w:ascii="Times New Roman" w:hAnsi="Times New Roman" w:cs="Times New Roman"/>
                <w:lang w:val="en-US"/>
              </w:rPr>
            </w:pPr>
            <w:r>
              <w:rPr>
                <w:rFonts w:hint="default" w:ascii="宋体" w:hAnsi="宋体"/>
                <w:spacing w:val="7"/>
                <w:position w:val="12"/>
                <w:lang w:val="en-US"/>
              </w:rPr>
              <w:t xml:space="preserve">(总分 </w:t>
            </w:r>
            <w:r>
              <w:rPr>
                <w:rFonts w:hint="default" w:ascii="Times New Roman" w:hAnsi="Times New Roman" w:cs="Times New Roman"/>
                <w:spacing w:val="7"/>
                <w:position w:val="12"/>
                <w:lang w:val="en-US"/>
              </w:rPr>
              <w:t>10</w:t>
            </w:r>
            <w:r>
              <w:rPr>
                <w:rFonts w:hint="default" w:ascii="Times New Roman" w:hAnsi="Times New Roman" w:cs="Times New Roman"/>
                <w:spacing w:val="6"/>
                <w:position w:val="12"/>
                <w:lang w:val="en-US"/>
              </w:rPr>
              <w:t>0</w:t>
            </w:r>
          </w:p>
          <w:p w14:paraId="3C61FEF5">
            <w:pPr>
              <w:ind w:left="435"/>
              <w:jc w:val="center"/>
              <w:rPr>
                <w:rFonts w:hint="default" w:ascii="宋体" w:hAnsi="宋体"/>
                <w:lang w:val="en-US"/>
              </w:rPr>
            </w:pPr>
            <w:r>
              <w:rPr>
                <w:rFonts w:hint="default" w:ascii="宋体" w:hAnsi="宋体"/>
                <w:spacing w:val="-6"/>
                <w:lang w:val="en-US"/>
              </w:rPr>
              <w:t>分</w:t>
            </w:r>
            <w:r>
              <w:rPr>
                <w:rFonts w:hint="default" w:ascii="宋体" w:hAnsi="宋体"/>
                <w:spacing w:val="-4"/>
                <w:lang w:val="en-US"/>
              </w:rPr>
              <w:t>)</w:t>
            </w:r>
          </w:p>
        </w:tc>
        <w:tc>
          <w:tcPr>
            <w:tcW w:w="6669" w:type="dxa"/>
            <w:gridSpan w:val="3"/>
            <w:tcBorders>
              <w:top w:val="single" w:color="000000" w:sz="2" w:space="0"/>
              <w:left w:val="nil"/>
              <w:bottom w:val="single" w:color="000000" w:sz="2" w:space="0"/>
              <w:right w:val="single" w:color="000000" w:sz="2" w:space="0"/>
            </w:tcBorders>
          </w:tcPr>
          <w:p w14:paraId="60D2CC4F">
            <w:pPr>
              <w:spacing w:line="360" w:lineRule="atLeast"/>
              <w:rPr>
                <w:rFonts w:hint="default" w:ascii="宋体" w:hAnsi="宋体" w:cs="宋体"/>
                <w:lang w:val="en-US"/>
              </w:rPr>
            </w:pPr>
            <w:r>
              <w:rPr>
                <w:rFonts w:hint="default"/>
                <w:lang w:val="en-US"/>
              </w:rPr>
              <w:t>评分内容和权重分值划分：</w:t>
            </w:r>
          </w:p>
          <w:p w14:paraId="40FC6A90">
            <w:pPr>
              <w:spacing w:line="360" w:lineRule="atLeast"/>
              <w:rPr>
                <w:rFonts w:hint="eastAsia" w:ascii="宋体" w:hAnsi="宋体" w:eastAsia="宋体" w:cs="宋体"/>
                <w:lang w:val="en-US" w:eastAsia="zh-CN"/>
              </w:rPr>
            </w:pPr>
            <w:r>
              <w:rPr>
                <w:rFonts w:hint="default" w:ascii="宋体" w:hAnsi="宋体" w:cs="宋体"/>
                <w:lang w:val="en-US"/>
              </w:rPr>
              <w:t>1.</w:t>
            </w:r>
            <w:r>
              <w:rPr>
                <w:rFonts w:hint="default"/>
                <w:lang w:val="en-US"/>
              </w:rPr>
              <w:t>施工组织设计</w:t>
            </w:r>
            <w:r>
              <w:rPr>
                <w:rFonts w:hint="eastAsia"/>
                <w:lang w:val="en-US" w:eastAsia="zh-CN"/>
              </w:rPr>
              <w:t>：</w:t>
            </w:r>
            <w:r>
              <w:rPr>
                <w:rFonts w:hint="eastAsia" w:ascii="宋体" w:hAnsi="宋体" w:cs="宋体"/>
                <w:lang w:val="en-US" w:eastAsia="zh-CN"/>
              </w:rPr>
              <w:t>3</w:t>
            </w:r>
            <w:r>
              <w:rPr>
                <w:rFonts w:hint="default" w:ascii="宋体" w:hAnsi="宋体" w:cs="宋体"/>
                <w:lang w:val="en-US" w:eastAsia="zh-CN"/>
              </w:rPr>
              <w:t>5</w:t>
            </w:r>
            <w:r>
              <w:rPr>
                <w:rFonts w:hint="default"/>
                <w:lang w:val="en-US"/>
              </w:rPr>
              <w:t>分</w:t>
            </w:r>
            <w:r>
              <w:rPr>
                <w:rFonts w:hint="eastAsia"/>
                <w:lang w:val="en-US" w:eastAsia="zh-CN"/>
              </w:rPr>
              <w:t>；</w:t>
            </w:r>
          </w:p>
          <w:p w14:paraId="79C8D807">
            <w:pPr>
              <w:spacing w:line="360" w:lineRule="atLeast"/>
              <w:rPr>
                <w:rFonts w:hint="default" w:ascii="宋体" w:hAnsi="宋体" w:cs="宋体"/>
                <w:lang w:val="en-US"/>
              </w:rPr>
            </w:pPr>
            <w:r>
              <w:rPr>
                <w:rFonts w:hint="default" w:ascii="宋体" w:hAnsi="宋体" w:cs="宋体"/>
                <w:lang w:val="en-US"/>
              </w:rPr>
              <w:t>2.</w:t>
            </w:r>
            <w:r>
              <w:rPr>
                <w:rFonts w:hint="default"/>
                <w:lang w:val="en-US"/>
              </w:rPr>
              <w:t>主要人员：</w:t>
            </w:r>
            <w:r>
              <w:rPr>
                <w:rFonts w:hint="default" w:ascii="宋体" w:hAnsi="宋体" w:cs="宋体"/>
                <w:lang w:val="en-US"/>
              </w:rPr>
              <w:t>30</w:t>
            </w:r>
            <w:r>
              <w:rPr>
                <w:rFonts w:hint="default"/>
                <w:lang w:val="en-US"/>
              </w:rPr>
              <w:t>分；</w:t>
            </w:r>
          </w:p>
          <w:p w14:paraId="127E0693">
            <w:pPr>
              <w:spacing w:line="360" w:lineRule="atLeast"/>
              <w:rPr>
                <w:rFonts w:hint="default" w:ascii="宋体" w:hAnsi="宋体" w:cs="宋体"/>
                <w:lang w:val="en-US"/>
              </w:rPr>
            </w:pPr>
            <w:r>
              <w:rPr>
                <w:rFonts w:hint="default" w:ascii="宋体" w:hAnsi="宋体" w:cs="宋体"/>
                <w:lang w:val="en-US"/>
              </w:rPr>
              <w:t>3.</w:t>
            </w:r>
            <w:r>
              <w:rPr>
                <w:rFonts w:hint="default"/>
                <w:lang w:val="en-US"/>
              </w:rPr>
              <w:t>其他评分因素：</w:t>
            </w:r>
            <w:r>
              <w:rPr>
                <w:rFonts w:hint="eastAsia" w:ascii="宋体" w:hAnsi="宋体" w:cs="宋体"/>
                <w:lang w:val="en-US" w:eastAsia="zh-CN"/>
              </w:rPr>
              <w:t>3</w:t>
            </w:r>
            <w:r>
              <w:rPr>
                <w:rFonts w:hint="default" w:ascii="宋体" w:hAnsi="宋体" w:cs="宋体"/>
                <w:lang w:val="en-US" w:eastAsia="zh-CN"/>
              </w:rPr>
              <w:t>5</w:t>
            </w:r>
            <w:r>
              <w:rPr>
                <w:rFonts w:hint="default"/>
                <w:lang w:val="en-US"/>
              </w:rPr>
              <w:t>分，其中：</w:t>
            </w:r>
          </w:p>
          <w:p w14:paraId="01B947AF">
            <w:pPr>
              <w:spacing w:line="360" w:lineRule="atLeast"/>
              <w:rPr>
                <w:rFonts w:hint="default" w:ascii="宋体" w:hAnsi="宋体" w:eastAsia="宋体" w:cs="宋体"/>
                <w:lang w:val="en-US" w:eastAsia="zh-CN"/>
              </w:rPr>
            </w:pPr>
            <w:r>
              <w:rPr>
                <w:rFonts w:hint="default" w:ascii="宋体" w:hAnsi="宋体" w:eastAsia="宋体" w:cs="宋体"/>
                <w:lang w:val="en-US" w:eastAsia="zh-CN"/>
              </w:rPr>
              <w:t>（1）履约信誉：5分；</w:t>
            </w:r>
          </w:p>
          <w:p w14:paraId="625F4D70">
            <w:pPr>
              <w:spacing w:line="360" w:lineRule="atLeast"/>
              <w:rPr>
                <w:rFonts w:hint="default" w:ascii="宋体" w:hAnsi="宋体" w:eastAsia="宋体" w:cs="宋体"/>
                <w:lang w:val="en-US" w:eastAsia="zh-CN"/>
              </w:rPr>
            </w:pPr>
            <w:r>
              <w:rPr>
                <w:rFonts w:hint="default" w:ascii="宋体" w:hAnsi="宋体" w:eastAsia="宋体" w:cs="宋体"/>
                <w:lang w:val="en-US" w:eastAsia="zh-CN"/>
              </w:rPr>
              <w:t>（2）</w:t>
            </w:r>
            <w:r>
              <w:rPr>
                <w:rFonts w:hint="eastAsia" w:ascii="宋体" w:hAnsi="宋体" w:eastAsia="宋体" w:cs="宋体"/>
                <w:lang w:val="en-US" w:eastAsia="zh-CN"/>
              </w:rPr>
              <w:t>技术能力：10分；</w:t>
            </w:r>
          </w:p>
          <w:p w14:paraId="0CFE298F">
            <w:pPr>
              <w:spacing w:line="360" w:lineRule="atLeast"/>
              <w:rPr>
                <w:rFonts w:hint="default" w:ascii="Times New Roman" w:hAnsi="Times New Roman" w:cs="Times New Roman"/>
                <w:lang w:val="en-US"/>
              </w:rPr>
            </w:pPr>
            <w:r>
              <w:rPr>
                <w:rFonts w:hint="eastAsia" w:ascii="宋体" w:hAnsi="宋体" w:eastAsia="宋体" w:cs="宋体"/>
                <w:lang w:val="en-US" w:eastAsia="zh-CN"/>
              </w:rPr>
              <w:t>（3）</w:t>
            </w:r>
            <w:r>
              <w:rPr>
                <w:rFonts w:hint="default" w:ascii="宋体" w:hAnsi="宋体" w:eastAsia="宋体" w:cs="宋体"/>
                <w:lang w:val="en-US" w:eastAsia="zh-CN"/>
              </w:rPr>
              <w:t>企业业绩：20分</w:t>
            </w:r>
            <w:r>
              <w:rPr>
                <w:rFonts w:hint="default"/>
                <w:lang w:val="en-US"/>
              </w:rPr>
              <w:t>。</w:t>
            </w:r>
          </w:p>
        </w:tc>
      </w:tr>
      <w:tr w14:paraId="1A7DA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948" w:type="dxa"/>
            <w:tcBorders>
              <w:top w:val="single" w:color="000000" w:sz="2" w:space="0"/>
              <w:left w:val="single" w:color="000000" w:sz="2" w:space="0"/>
              <w:bottom w:val="single" w:color="000000" w:sz="2" w:space="0"/>
              <w:right w:val="single" w:color="000000" w:sz="2" w:space="0"/>
            </w:tcBorders>
          </w:tcPr>
          <w:p w14:paraId="63AF7AAA">
            <w:pPr>
              <w:spacing w:line="326" w:lineRule="auto"/>
              <w:rPr>
                <w:rFonts w:hint="default"/>
                <w:lang w:val="en-US"/>
              </w:rPr>
            </w:pPr>
          </w:p>
          <w:p w14:paraId="6862D76C">
            <w:pPr>
              <w:spacing w:line="326" w:lineRule="auto"/>
              <w:rPr>
                <w:rFonts w:hint="default"/>
                <w:lang w:val="en-US"/>
              </w:rPr>
            </w:pPr>
          </w:p>
          <w:p w14:paraId="27EE9604">
            <w:pPr>
              <w:spacing w:before="60"/>
              <w:ind w:left="287"/>
              <w:rPr>
                <w:rFonts w:hint="default" w:ascii="Times New Roman" w:hAnsi="Times New Roman" w:cs="Times New Roman"/>
                <w:lang w:val="en-US"/>
              </w:rPr>
            </w:pPr>
            <w:r>
              <w:rPr>
                <w:rFonts w:hint="default" w:ascii="Times New Roman" w:hAnsi="Times New Roman" w:cs="Times New Roman"/>
                <w:spacing w:val="-1"/>
                <w:lang w:val="en-US"/>
              </w:rPr>
              <w:t>2.2</w:t>
            </w:r>
            <w:r>
              <w:rPr>
                <w:rFonts w:hint="default" w:ascii="Times New Roman" w:hAnsi="Times New Roman" w:cs="Times New Roman"/>
                <w:lang w:val="en-US"/>
              </w:rPr>
              <w:t>.3</w:t>
            </w:r>
          </w:p>
        </w:tc>
        <w:tc>
          <w:tcPr>
            <w:tcW w:w="1223" w:type="dxa"/>
            <w:gridSpan w:val="3"/>
            <w:tcBorders>
              <w:top w:val="single" w:color="000000" w:sz="2" w:space="0"/>
              <w:left w:val="single" w:color="000000" w:sz="2" w:space="0"/>
              <w:bottom w:val="single" w:color="000000" w:sz="2" w:space="0"/>
              <w:right w:val="single" w:color="000000" w:sz="4" w:space="0"/>
            </w:tcBorders>
          </w:tcPr>
          <w:p w14:paraId="33B4C1BC">
            <w:pPr>
              <w:spacing w:before="290"/>
              <w:ind w:left="116"/>
              <w:jc w:val="center"/>
              <w:rPr>
                <w:rFonts w:hint="default" w:ascii="宋体" w:hAnsi="宋体"/>
                <w:lang w:val="en-US"/>
              </w:rPr>
            </w:pPr>
            <w:r>
              <w:rPr>
                <w:rFonts w:hint="default" w:ascii="宋体" w:hAnsi="宋体"/>
                <w:spacing w:val="-1"/>
                <w:lang w:val="en-US"/>
              </w:rPr>
              <w:t>第二个信封</w:t>
            </w:r>
          </w:p>
          <w:p w14:paraId="3CB8194F">
            <w:pPr>
              <w:spacing w:before="131"/>
              <w:ind w:left="119"/>
              <w:jc w:val="center"/>
              <w:rPr>
                <w:rFonts w:hint="default" w:ascii="宋体" w:hAnsi="宋体"/>
                <w:spacing w:val="-1"/>
                <w:lang w:val="en-US"/>
              </w:rPr>
            </w:pPr>
            <w:r>
              <w:rPr>
                <w:rFonts w:hint="default" w:ascii="宋体" w:hAnsi="宋体"/>
                <w:spacing w:val="-2"/>
                <w:lang w:val="en-US"/>
              </w:rPr>
              <w:t>详细评</w:t>
            </w:r>
            <w:r>
              <w:rPr>
                <w:rFonts w:hint="default" w:ascii="宋体" w:hAnsi="宋体"/>
                <w:spacing w:val="-1"/>
                <w:lang w:val="en-US"/>
              </w:rPr>
              <w:t>审</w:t>
            </w:r>
          </w:p>
          <w:p w14:paraId="50AD9349">
            <w:pPr>
              <w:spacing w:before="131"/>
              <w:ind w:left="119"/>
              <w:jc w:val="center"/>
              <w:rPr>
                <w:rFonts w:hint="default" w:ascii="宋体" w:hAnsi="宋体"/>
                <w:lang w:val="en-US"/>
              </w:rPr>
            </w:pPr>
            <w:r>
              <w:rPr>
                <w:rFonts w:hint="default" w:ascii="宋体" w:hAnsi="宋体"/>
                <w:spacing w:val="-1"/>
                <w:lang w:val="en-US"/>
              </w:rPr>
              <w:t>标</w:t>
            </w:r>
            <w:r>
              <w:rPr>
                <w:rFonts w:hint="default" w:ascii="宋体" w:hAnsi="宋体"/>
                <w:lang w:val="en-US"/>
              </w:rPr>
              <w:t>准</w:t>
            </w:r>
          </w:p>
        </w:tc>
        <w:tc>
          <w:tcPr>
            <w:tcW w:w="6669" w:type="dxa"/>
            <w:gridSpan w:val="3"/>
            <w:tcBorders>
              <w:top w:val="single" w:color="000000" w:sz="2" w:space="0"/>
              <w:left w:val="nil"/>
              <w:bottom w:val="single" w:color="000000" w:sz="2" w:space="0"/>
              <w:right w:val="single" w:color="000000" w:sz="2" w:space="0"/>
            </w:tcBorders>
            <w:vAlign w:val="center"/>
          </w:tcPr>
          <w:p w14:paraId="3FE64FE8">
            <w:pPr>
              <w:spacing w:line="360" w:lineRule="atLeast"/>
              <w:ind w:firstLine="420" w:firstLineChars="200"/>
              <w:jc w:val="both"/>
              <w:rPr>
                <w:rFonts w:hint="default" w:ascii="宋体" w:hAnsi="宋体" w:cs="宋体"/>
                <w:lang w:val="en-US"/>
              </w:rPr>
            </w:pPr>
            <w:r>
              <w:rPr>
                <w:rFonts w:hint="default"/>
                <w:lang w:val="en-US"/>
              </w:rPr>
              <w:t>评标价计算公式：</w:t>
            </w:r>
          </w:p>
          <w:p w14:paraId="4C6EE872">
            <w:pPr>
              <w:spacing w:before="160" w:line="65" w:lineRule="exact"/>
              <w:ind w:left="545"/>
              <w:jc w:val="both"/>
              <w:rPr>
                <w:rFonts w:hint="default" w:ascii="Times New Roman" w:hAnsi="Times New Roman" w:cs="Times New Roman"/>
                <w:lang w:val="en-US"/>
              </w:rPr>
            </w:pPr>
            <w:r>
              <w:rPr>
                <w:rFonts w:hint="default"/>
                <w:lang w:val="en-US"/>
              </w:rPr>
              <w:t>评标价</w:t>
            </w:r>
            <w:r>
              <w:rPr>
                <w:rFonts w:hint="default" w:ascii="宋体" w:hAnsi="宋体" w:cs="宋体"/>
                <w:lang w:val="en-US"/>
              </w:rPr>
              <w:t>=</w:t>
            </w:r>
            <w:r>
              <w:rPr>
                <w:rFonts w:hint="default"/>
                <w:lang w:val="en-US"/>
              </w:rPr>
              <w:t>投标函文字报价</w:t>
            </w:r>
          </w:p>
        </w:tc>
      </w:tr>
      <w:tr w14:paraId="4C97E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jc w:val="center"/>
        </w:trPr>
        <w:tc>
          <w:tcPr>
            <w:tcW w:w="948" w:type="dxa"/>
            <w:tcBorders>
              <w:top w:val="single" w:color="000000" w:sz="2" w:space="0"/>
              <w:left w:val="single" w:color="000000" w:sz="2" w:space="0"/>
              <w:bottom w:val="single" w:color="000000" w:sz="2" w:space="0"/>
              <w:right w:val="single" w:color="000000" w:sz="2" w:space="0"/>
            </w:tcBorders>
          </w:tcPr>
          <w:p w14:paraId="16E701B0">
            <w:pPr>
              <w:spacing w:line="316" w:lineRule="auto"/>
              <w:rPr>
                <w:rFonts w:hint="default"/>
                <w:lang w:val="en-US"/>
              </w:rPr>
            </w:pPr>
          </w:p>
          <w:p w14:paraId="1B11FCE0">
            <w:pPr>
              <w:spacing w:before="60"/>
              <w:ind w:left="291"/>
              <w:rPr>
                <w:rFonts w:hint="default" w:ascii="Times New Roman" w:hAnsi="Times New Roman" w:cs="Times New Roman"/>
                <w:spacing w:val="-1"/>
                <w:lang w:val="en-US"/>
              </w:rPr>
            </w:pPr>
            <w:r>
              <w:rPr>
                <w:rFonts w:hint="default" w:ascii="Times New Roman" w:hAnsi="Times New Roman" w:cs="Times New Roman"/>
                <w:spacing w:val="-1"/>
                <w:lang w:val="en-US"/>
              </w:rPr>
              <w:t>3.2.4</w:t>
            </w:r>
          </w:p>
          <w:p w14:paraId="4A17C5A6">
            <w:pPr>
              <w:rPr>
                <w:rFonts w:hint="default"/>
                <w:lang w:val="en-US"/>
              </w:rPr>
            </w:pPr>
          </w:p>
        </w:tc>
        <w:tc>
          <w:tcPr>
            <w:tcW w:w="1223" w:type="dxa"/>
            <w:gridSpan w:val="3"/>
            <w:tcBorders>
              <w:top w:val="single" w:color="000000" w:sz="2" w:space="0"/>
              <w:left w:val="single" w:color="000000" w:sz="2" w:space="0"/>
              <w:bottom w:val="single" w:color="000000" w:sz="2" w:space="0"/>
              <w:right w:val="single" w:color="000000" w:sz="4" w:space="0"/>
            </w:tcBorders>
          </w:tcPr>
          <w:p w14:paraId="57EE8808">
            <w:pPr>
              <w:spacing w:before="142" w:line="380" w:lineRule="exact"/>
              <w:ind w:left="116"/>
              <w:jc w:val="center"/>
              <w:rPr>
                <w:rFonts w:hint="default" w:ascii="宋体" w:hAnsi="宋体"/>
                <w:lang w:val="en-US"/>
              </w:rPr>
            </w:pPr>
            <w:r>
              <w:rPr>
                <w:rFonts w:hint="default" w:ascii="宋体" w:hAnsi="宋体"/>
                <w:spacing w:val="-1"/>
                <w:position w:val="12"/>
                <w:lang w:val="en-US"/>
              </w:rPr>
              <w:t>通过第一个</w:t>
            </w:r>
          </w:p>
          <w:p w14:paraId="79A8058A">
            <w:pPr>
              <w:ind w:left="116"/>
              <w:jc w:val="center"/>
              <w:rPr>
                <w:rFonts w:hint="default" w:ascii="宋体" w:hAnsi="宋体"/>
                <w:spacing w:val="-1"/>
                <w:lang w:val="en-US"/>
              </w:rPr>
            </w:pPr>
            <w:r>
              <w:rPr>
                <w:rFonts w:hint="default" w:ascii="宋体" w:hAnsi="宋体"/>
                <w:spacing w:val="-1"/>
                <w:lang w:val="en-US"/>
              </w:rPr>
              <w:t>信封详细评</w:t>
            </w:r>
          </w:p>
          <w:p w14:paraId="06CBF2FA">
            <w:pPr>
              <w:spacing w:before="142" w:line="379" w:lineRule="exact"/>
              <w:ind w:left="127"/>
              <w:jc w:val="center"/>
              <w:rPr>
                <w:rFonts w:hint="default" w:ascii="宋体" w:hAnsi="宋体"/>
                <w:lang w:val="en-US"/>
              </w:rPr>
            </w:pPr>
            <w:r>
              <w:rPr>
                <w:rFonts w:hint="default" w:ascii="宋体" w:hAnsi="宋体"/>
                <w:spacing w:val="-4"/>
                <w:position w:val="12"/>
                <w:lang w:val="en-US"/>
              </w:rPr>
              <w:t>审</w:t>
            </w:r>
            <w:r>
              <w:rPr>
                <w:rFonts w:hint="default" w:ascii="宋体" w:hAnsi="宋体"/>
                <w:spacing w:val="-3"/>
                <w:position w:val="12"/>
                <w:lang w:val="en-US"/>
              </w:rPr>
              <w:t>的投标人</w:t>
            </w:r>
          </w:p>
          <w:p w14:paraId="292AD2E9">
            <w:pPr>
              <w:ind w:left="435"/>
              <w:jc w:val="center"/>
              <w:rPr>
                <w:rFonts w:hint="default" w:ascii="宋体" w:hAnsi="宋体"/>
                <w:lang w:val="en-US"/>
              </w:rPr>
            </w:pPr>
            <w:r>
              <w:rPr>
                <w:rFonts w:hint="default" w:ascii="宋体" w:hAnsi="宋体"/>
                <w:spacing w:val="-2"/>
                <w:lang w:val="en-US"/>
              </w:rPr>
              <w:t>数量</w:t>
            </w:r>
          </w:p>
        </w:tc>
        <w:tc>
          <w:tcPr>
            <w:tcW w:w="6669" w:type="dxa"/>
            <w:gridSpan w:val="3"/>
            <w:tcBorders>
              <w:top w:val="single" w:color="000000" w:sz="2" w:space="0"/>
              <w:left w:val="nil"/>
              <w:bottom w:val="single" w:color="000000" w:sz="2" w:space="0"/>
              <w:right w:val="single" w:color="000000" w:sz="2" w:space="0"/>
            </w:tcBorders>
            <w:vAlign w:val="center"/>
          </w:tcPr>
          <w:p w14:paraId="3002D922">
            <w:pPr>
              <w:spacing w:before="129" w:line="273" w:lineRule="auto"/>
              <w:ind w:left="110" w:right="105" w:firstLine="420"/>
              <w:jc w:val="both"/>
              <w:rPr>
                <w:rFonts w:hint="default" w:ascii="宋体" w:hAnsi="宋体"/>
                <w:lang w:val="en-US"/>
              </w:rPr>
            </w:pPr>
            <w:r>
              <w:rPr>
                <w:rFonts w:hint="default"/>
                <w:lang w:val="en-US"/>
              </w:rPr>
              <w:t>按照投标人的商务和技术得分由高到低排序，选择前</w:t>
            </w:r>
            <w:r>
              <w:rPr>
                <w:rFonts w:hint="default" w:ascii="宋体" w:hAnsi="宋体" w:cs="宋体"/>
                <w:u w:val="single"/>
                <w:lang w:val="en-US"/>
              </w:rPr>
              <w:t xml:space="preserve"> 3 </w:t>
            </w:r>
            <w:r>
              <w:rPr>
                <w:rFonts w:hint="default"/>
                <w:lang w:val="en-US"/>
              </w:rPr>
              <w:t>名通过详细评审</w:t>
            </w:r>
          </w:p>
        </w:tc>
      </w:tr>
      <w:tr w14:paraId="3EEFD3C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65" w:hRule="atLeast"/>
          <w:jc w:val="center"/>
        </w:trPr>
        <w:tc>
          <w:tcPr>
            <w:tcW w:w="948" w:type="dxa"/>
            <w:vMerge w:val="restart"/>
            <w:tcBorders>
              <w:top w:val="single" w:color="auto" w:sz="12" w:space="0"/>
              <w:left w:val="single" w:color="auto" w:sz="12" w:space="0"/>
              <w:bottom w:val="inset" w:color="auto" w:sz="6" w:space="0"/>
              <w:right w:val="inset" w:color="auto" w:sz="6" w:space="0"/>
            </w:tcBorders>
            <w:vAlign w:val="center"/>
          </w:tcPr>
          <w:p w14:paraId="50472E16">
            <w:pPr>
              <w:spacing w:before="100" w:beforeAutospacing="1" w:after="100" w:afterAutospacing="1"/>
              <w:jc w:val="center"/>
              <w:rPr>
                <w:rFonts w:hint="default" w:ascii="宋体" w:hAnsi="宋体" w:cs="宋体"/>
                <w:lang w:val="en-US"/>
              </w:rPr>
            </w:pPr>
            <w:r>
              <w:rPr>
                <w:rFonts w:hint="default"/>
                <w:lang w:val="en-US"/>
              </w:rPr>
              <w:t>条</w:t>
            </w:r>
          </w:p>
          <w:p w14:paraId="67315F0F">
            <w:pPr>
              <w:wordWrap w:val="0"/>
              <w:spacing w:before="100" w:beforeAutospacing="1" w:after="100" w:afterAutospacing="1"/>
              <w:jc w:val="center"/>
              <w:rPr>
                <w:rFonts w:hint="default" w:ascii="宋体" w:hAnsi="宋体" w:cs="宋体"/>
                <w:lang w:val="en-US"/>
              </w:rPr>
            </w:pPr>
            <w:r>
              <w:rPr>
                <w:rFonts w:hint="default"/>
                <w:lang w:val="en-US"/>
              </w:rPr>
              <w:t>款</w:t>
            </w:r>
          </w:p>
          <w:p w14:paraId="310E898D">
            <w:pPr>
              <w:wordWrap w:val="0"/>
              <w:spacing w:before="100" w:beforeAutospacing="1" w:after="100" w:afterAutospacing="1"/>
              <w:jc w:val="center"/>
              <w:rPr>
                <w:rFonts w:hint="default" w:ascii="宋体" w:hAnsi="宋体" w:cs="宋体"/>
                <w:lang w:val="en-US"/>
              </w:rPr>
            </w:pPr>
            <w:r>
              <w:rPr>
                <w:rFonts w:hint="default"/>
                <w:lang w:val="en-US"/>
              </w:rPr>
              <w:t>号</w:t>
            </w:r>
          </w:p>
        </w:tc>
        <w:tc>
          <w:tcPr>
            <w:tcW w:w="2904" w:type="dxa"/>
            <w:gridSpan w:val="5"/>
            <w:tcBorders>
              <w:top w:val="single" w:color="auto" w:sz="12" w:space="0"/>
              <w:left w:val="inset" w:color="auto" w:sz="6" w:space="0"/>
              <w:bottom w:val="inset" w:color="auto" w:sz="6" w:space="0"/>
              <w:right w:val="inset" w:color="auto" w:sz="6" w:space="0"/>
            </w:tcBorders>
            <w:vAlign w:val="center"/>
          </w:tcPr>
          <w:p w14:paraId="175378E4">
            <w:pPr>
              <w:wordWrap w:val="0"/>
              <w:spacing w:before="100" w:beforeAutospacing="1" w:after="100" w:afterAutospacing="1"/>
              <w:jc w:val="center"/>
              <w:rPr>
                <w:rFonts w:hint="default" w:ascii="宋体" w:hAnsi="宋体" w:cs="宋体"/>
                <w:lang w:val="en-US"/>
              </w:rPr>
            </w:pPr>
            <w:r>
              <w:rPr>
                <w:rFonts w:hint="default"/>
                <w:lang w:val="en-US"/>
              </w:rPr>
              <w:t>评分因素与权重分值</w:t>
            </w:r>
          </w:p>
        </w:tc>
        <w:tc>
          <w:tcPr>
            <w:tcW w:w="4988" w:type="dxa"/>
            <w:vMerge w:val="restart"/>
            <w:tcBorders>
              <w:top w:val="single" w:color="auto" w:sz="12" w:space="0"/>
              <w:left w:val="inset" w:color="auto" w:sz="6" w:space="0"/>
              <w:bottom w:val="inset" w:color="auto" w:sz="6" w:space="0"/>
              <w:right w:val="single" w:color="auto" w:sz="12" w:space="0"/>
            </w:tcBorders>
            <w:vAlign w:val="center"/>
          </w:tcPr>
          <w:p w14:paraId="1D53D491">
            <w:pPr>
              <w:wordWrap w:val="0"/>
              <w:spacing w:before="100" w:beforeAutospacing="1" w:after="100" w:afterAutospacing="1"/>
              <w:jc w:val="center"/>
              <w:rPr>
                <w:rFonts w:hint="default" w:ascii="宋体" w:hAnsi="宋体" w:cs="宋体"/>
                <w:lang w:val="en-US"/>
              </w:rPr>
            </w:pPr>
            <w:r>
              <w:rPr>
                <w:rFonts w:hint="default"/>
                <w:lang w:val="en-US"/>
              </w:rPr>
              <w:t>评分标准</w:t>
            </w:r>
          </w:p>
        </w:tc>
      </w:tr>
      <w:tr w14:paraId="2283842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332" w:hRule="atLeast"/>
          <w:jc w:val="center"/>
        </w:trPr>
        <w:tc>
          <w:tcPr>
            <w:tcW w:w="948" w:type="dxa"/>
            <w:vMerge w:val="continue"/>
            <w:tcBorders>
              <w:top w:val="single" w:color="auto" w:sz="12" w:space="0"/>
              <w:left w:val="single" w:color="auto" w:sz="12" w:space="0"/>
              <w:bottom w:val="inset" w:color="auto" w:sz="6" w:space="0"/>
              <w:right w:val="inset" w:color="auto" w:sz="6" w:space="0"/>
            </w:tcBorders>
            <w:vAlign w:val="center"/>
          </w:tcPr>
          <w:p w14:paraId="31251BDD">
            <w:pPr>
              <w:kinsoku/>
              <w:autoSpaceDE/>
              <w:autoSpaceDN/>
              <w:adjustRightInd/>
              <w:snapToGrid/>
              <w:textAlignment w:val="auto"/>
              <w:rPr>
                <w:rFonts w:hint="default" w:ascii="宋体" w:hAnsi="宋体" w:cs="宋体"/>
                <w:lang w:val="en-US"/>
              </w:rPr>
            </w:pPr>
          </w:p>
        </w:tc>
        <w:tc>
          <w:tcPr>
            <w:tcW w:w="701" w:type="dxa"/>
            <w:tcBorders>
              <w:top w:val="inset" w:color="auto" w:sz="6" w:space="0"/>
              <w:left w:val="inset" w:color="auto" w:sz="6" w:space="0"/>
              <w:bottom w:val="inset" w:color="auto" w:sz="6" w:space="0"/>
              <w:right w:val="inset" w:color="auto" w:sz="6" w:space="0"/>
            </w:tcBorders>
            <w:vAlign w:val="center"/>
          </w:tcPr>
          <w:p w14:paraId="556A2D0A">
            <w:pPr>
              <w:wordWrap w:val="0"/>
              <w:spacing w:before="100" w:beforeAutospacing="1" w:after="100" w:afterAutospacing="1"/>
              <w:jc w:val="center"/>
              <w:rPr>
                <w:rFonts w:hint="default" w:ascii="宋体" w:hAnsi="宋体" w:cs="宋体"/>
                <w:lang w:val="en-US"/>
              </w:rPr>
            </w:pPr>
            <w:r>
              <w:rPr>
                <w:rFonts w:hint="default"/>
                <w:lang w:val="en-US"/>
              </w:rPr>
              <w:t>评分</w:t>
            </w:r>
          </w:p>
          <w:p w14:paraId="7142974D">
            <w:pPr>
              <w:wordWrap w:val="0"/>
              <w:spacing w:before="100" w:beforeAutospacing="1" w:after="100" w:afterAutospacing="1"/>
              <w:jc w:val="center"/>
              <w:rPr>
                <w:rFonts w:hint="default" w:ascii="宋体" w:hAnsi="宋体" w:cs="宋体"/>
                <w:lang w:val="en-US"/>
              </w:rPr>
            </w:pPr>
            <w:r>
              <w:rPr>
                <w:rFonts w:hint="default"/>
                <w:lang w:val="en-US"/>
              </w:rPr>
              <w:t>因素</w:t>
            </w:r>
          </w:p>
        </w:tc>
        <w:tc>
          <w:tcPr>
            <w:tcW w:w="488" w:type="dxa"/>
            <w:tcBorders>
              <w:top w:val="inset" w:color="auto" w:sz="6" w:space="0"/>
              <w:left w:val="inset" w:color="auto" w:sz="6" w:space="0"/>
              <w:bottom w:val="inset" w:color="auto" w:sz="6" w:space="0"/>
              <w:right w:val="inset" w:color="auto" w:sz="6" w:space="0"/>
            </w:tcBorders>
            <w:vAlign w:val="center"/>
          </w:tcPr>
          <w:p w14:paraId="68D53D51">
            <w:pPr>
              <w:wordWrap w:val="0"/>
              <w:spacing w:before="100" w:beforeAutospacing="1" w:after="100" w:afterAutospacing="1"/>
              <w:jc w:val="center"/>
              <w:rPr>
                <w:rFonts w:hint="default" w:ascii="宋体" w:hAnsi="宋体" w:cs="宋体"/>
                <w:lang w:val="en-US"/>
              </w:rPr>
            </w:pPr>
            <w:r>
              <w:rPr>
                <w:rFonts w:hint="default"/>
                <w:lang w:val="en-US"/>
              </w:rPr>
              <w:t>评分因素权重分值</w:t>
            </w:r>
          </w:p>
        </w:tc>
        <w:tc>
          <w:tcPr>
            <w:tcW w:w="984" w:type="dxa"/>
            <w:gridSpan w:val="2"/>
            <w:tcBorders>
              <w:top w:val="inset" w:color="auto" w:sz="6" w:space="0"/>
              <w:left w:val="inset" w:color="auto" w:sz="6" w:space="0"/>
              <w:bottom w:val="inset" w:color="auto" w:sz="6" w:space="0"/>
              <w:right w:val="inset" w:color="auto" w:sz="6" w:space="0"/>
            </w:tcBorders>
            <w:vAlign w:val="center"/>
          </w:tcPr>
          <w:p w14:paraId="4724124D">
            <w:pPr>
              <w:wordWrap w:val="0"/>
              <w:spacing w:before="100" w:beforeAutospacing="1" w:after="100" w:afterAutospacing="1"/>
              <w:jc w:val="center"/>
              <w:rPr>
                <w:rFonts w:hint="default" w:ascii="宋体" w:hAnsi="宋体" w:cs="宋体"/>
                <w:lang w:val="en-US"/>
              </w:rPr>
            </w:pPr>
            <w:r>
              <w:rPr>
                <w:rFonts w:hint="default"/>
                <w:lang w:val="en-US"/>
              </w:rPr>
              <w:t>各评分因素细分项</w:t>
            </w:r>
          </w:p>
        </w:tc>
        <w:tc>
          <w:tcPr>
            <w:tcW w:w="731" w:type="dxa"/>
            <w:tcBorders>
              <w:top w:val="inset" w:color="auto" w:sz="6" w:space="0"/>
              <w:left w:val="inset" w:color="auto" w:sz="6" w:space="0"/>
              <w:bottom w:val="inset" w:color="auto" w:sz="6" w:space="0"/>
              <w:right w:val="inset" w:color="auto" w:sz="6" w:space="0"/>
            </w:tcBorders>
            <w:vAlign w:val="center"/>
          </w:tcPr>
          <w:p w14:paraId="1407233F">
            <w:pPr>
              <w:wordWrap w:val="0"/>
              <w:spacing w:before="100" w:beforeAutospacing="1" w:after="100" w:afterAutospacing="1"/>
              <w:jc w:val="center"/>
              <w:rPr>
                <w:rFonts w:hint="default" w:ascii="宋体" w:hAnsi="宋体" w:cs="宋体"/>
                <w:lang w:val="en-US"/>
              </w:rPr>
            </w:pPr>
            <w:r>
              <w:rPr>
                <w:rFonts w:hint="default"/>
                <w:lang w:val="en-US"/>
              </w:rPr>
              <w:t>分值</w:t>
            </w:r>
          </w:p>
        </w:tc>
        <w:tc>
          <w:tcPr>
            <w:tcW w:w="4988" w:type="dxa"/>
            <w:vMerge w:val="continue"/>
            <w:tcBorders>
              <w:top w:val="single" w:color="auto" w:sz="12" w:space="0"/>
              <w:left w:val="inset" w:color="auto" w:sz="6" w:space="0"/>
              <w:bottom w:val="inset" w:color="auto" w:sz="6" w:space="0"/>
              <w:right w:val="single" w:color="auto" w:sz="12" w:space="0"/>
            </w:tcBorders>
            <w:vAlign w:val="center"/>
          </w:tcPr>
          <w:p w14:paraId="68B514F4">
            <w:pPr>
              <w:kinsoku/>
              <w:autoSpaceDE/>
              <w:autoSpaceDN/>
              <w:adjustRightInd/>
              <w:snapToGrid/>
              <w:textAlignment w:val="auto"/>
              <w:rPr>
                <w:rFonts w:hint="default" w:ascii="宋体" w:hAnsi="宋体" w:cs="宋体"/>
                <w:lang w:val="en-US"/>
              </w:rPr>
            </w:pPr>
          </w:p>
        </w:tc>
      </w:tr>
      <w:tr w14:paraId="5AC014F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979" w:hRule="atLeast"/>
          <w:jc w:val="center"/>
        </w:trPr>
        <w:tc>
          <w:tcPr>
            <w:tcW w:w="948" w:type="dxa"/>
            <w:vMerge w:val="restart"/>
            <w:tcBorders>
              <w:top w:val="inset" w:color="auto" w:sz="6" w:space="0"/>
              <w:left w:val="single" w:color="auto" w:sz="12" w:space="0"/>
              <w:bottom w:val="inset" w:color="auto" w:sz="6" w:space="0"/>
              <w:right w:val="inset" w:color="auto" w:sz="6" w:space="0"/>
            </w:tcBorders>
            <w:vAlign w:val="center"/>
          </w:tcPr>
          <w:p w14:paraId="366250D8">
            <w:pPr>
              <w:wordWrap w:val="0"/>
              <w:spacing w:before="100" w:beforeAutospacing="1" w:after="100" w:afterAutospacing="1"/>
              <w:jc w:val="center"/>
              <w:rPr>
                <w:rFonts w:hint="default" w:ascii="宋体" w:hAnsi="宋体" w:cs="宋体"/>
                <w:lang w:val="en-US"/>
              </w:rPr>
            </w:pPr>
            <w:r>
              <w:rPr>
                <w:rFonts w:hint="default" w:ascii="宋体" w:hAnsi="宋体" w:cs="宋体"/>
                <w:lang w:val="en-US"/>
              </w:rPr>
              <w:t>2.2.2</w:t>
            </w:r>
          </w:p>
          <w:p w14:paraId="6C551025">
            <w:pPr>
              <w:wordWrap w:val="0"/>
              <w:spacing w:before="100" w:beforeAutospacing="1" w:after="100" w:afterAutospacing="1"/>
              <w:jc w:val="center"/>
              <w:rPr>
                <w:rFonts w:hint="default" w:ascii="宋体" w:hAnsi="宋体" w:cs="宋体"/>
                <w:lang w:val="en-US"/>
              </w:rPr>
            </w:pPr>
            <w:r>
              <w:rPr>
                <w:rFonts w:hint="default"/>
                <w:lang w:val="en-US"/>
              </w:rPr>
              <w:t>（</w:t>
            </w:r>
            <w:r>
              <w:rPr>
                <w:rFonts w:hint="default" w:ascii="宋体" w:hAnsi="宋体" w:cs="宋体"/>
                <w:lang w:val="en-US"/>
              </w:rPr>
              <w:t>1</w:t>
            </w:r>
            <w:r>
              <w:rPr>
                <w:rFonts w:hint="default"/>
                <w:lang w:val="en-US"/>
              </w:rPr>
              <w:t>）</w:t>
            </w:r>
          </w:p>
        </w:tc>
        <w:tc>
          <w:tcPr>
            <w:tcW w:w="701" w:type="dxa"/>
            <w:vMerge w:val="restart"/>
            <w:tcBorders>
              <w:top w:val="inset" w:color="auto" w:sz="6" w:space="0"/>
              <w:left w:val="inset" w:color="auto" w:sz="6" w:space="0"/>
              <w:bottom w:val="inset" w:color="auto" w:sz="6" w:space="0"/>
              <w:right w:val="inset" w:color="auto" w:sz="6" w:space="0"/>
            </w:tcBorders>
            <w:vAlign w:val="center"/>
          </w:tcPr>
          <w:p w14:paraId="06BA6EC1">
            <w:pPr>
              <w:wordWrap w:val="0"/>
              <w:spacing w:before="100" w:beforeAutospacing="1" w:after="100" w:afterAutospacing="1"/>
              <w:jc w:val="center"/>
              <w:rPr>
                <w:rFonts w:hint="default" w:ascii="宋体" w:hAnsi="宋体" w:cs="宋体"/>
                <w:lang w:val="en-US"/>
              </w:rPr>
            </w:pPr>
            <w:r>
              <w:rPr>
                <w:rFonts w:hint="default"/>
                <w:lang w:val="en-US"/>
              </w:rPr>
              <w:t>施工</w:t>
            </w:r>
          </w:p>
          <w:p w14:paraId="64129147">
            <w:pPr>
              <w:wordWrap w:val="0"/>
              <w:spacing w:before="100" w:beforeAutospacing="1" w:after="100" w:afterAutospacing="1"/>
              <w:jc w:val="center"/>
              <w:rPr>
                <w:rFonts w:hint="default" w:ascii="宋体" w:hAnsi="宋体" w:cs="宋体"/>
                <w:lang w:val="en-US"/>
              </w:rPr>
            </w:pPr>
            <w:r>
              <w:rPr>
                <w:rFonts w:hint="default"/>
                <w:lang w:val="en-US"/>
              </w:rPr>
              <w:t>组织</w:t>
            </w:r>
          </w:p>
          <w:p w14:paraId="22D98120">
            <w:pPr>
              <w:wordWrap w:val="0"/>
              <w:spacing w:before="100" w:beforeAutospacing="1" w:after="100" w:afterAutospacing="1"/>
              <w:jc w:val="center"/>
              <w:rPr>
                <w:rFonts w:hint="default" w:ascii="宋体" w:hAnsi="宋体" w:cs="宋体"/>
                <w:lang w:val="en-US"/>
              </w:rPr>
            </w:pPr>
            <w:r>
              <w:rPr>
                <w:rFonts w:hint="default"/>
                <w:lang w:val="en-US"/>
              </w:rPr>
              <w:t>设计</w:t>
            </w:r>
          </w:p>
        </w:tc>
        <w:tc>
          <w:tcPr>
            <w:tcW w:w="488" w:type="dxa"/>
            <w:vMerge w:val="restart"/>
            <w:tcBorders>
              <w:top w:val="inset" w:color="auto" w:sz="6" w:space="0"/>
              <w:left w:val="inset" w:color="auto" w:sz="6" w:space="0"/>
              <w:bottom w:val="inset" w:color="auto" w:sz="6" w:space="0"/>
              <w:right w:val="inset" w:color="auto" w:sz="6" w:space="0"/>
            </w:tcBorders>
            <w:vAlign w:val="center"/>
          </w:tcPr>
          <w:p w14:paraId="149218D1">
            <w:pPr>
              <w:wordWrap w:val="0"/>
              <w:spacing w:before="100" w:beforeAutospacing="1" w:after="100" w:afterAutospacing="1"/>
              <w:jc w:val="center"/>
              <w:rPr>
                <w:rFonts w:hint="default" w:ascii="宋体" w:hAnsi="宋体" w:cs="宋体"/>
                <w:lang w:val="en-US"/>
              </w:rPr>
            </w:pPr>
            <w:r>
              <w:rPr>
                <w:rFonts w:hint="default" w:ascii="宋体" w:hAnsi="宋体" w:cs="宋体"/>
                <w:lang w:val="en-US" w:eastAsia="zh-CN"/>
              </w:rPr>
              <w:t>35</w:t>
            </w:r>
            <w:r>
              <w:rPr>
                <w:rFonts w:hint="default"/>
                <w:lang w:val="en-US"/>
              </w:rPr>
              <w:t>分</w:t>
            </w:r>
          </w:p>
        </w:tc>
        <w:tc>
          <w:tcPr>
            <w:tcW w:w="984" w:type="dxa"/>
            <w:gridSpan w:val="2"/>
            <w:tcBorders>
              <w:top w:val="inset" w:color="auto" w:sz="6" w:space="0"/>
              <w:left w:val="inset" w:color="auto" w:sz="6" w:space="0"/>
              <w:bottom w:val="single" w:color="auto" w:sz="4" w:space="0"/>
              <w:right w:val="inset" w:color="auto" w:sz="6" w:space="0"/>
            </w:tcBorders>
            <w:vAlign w:val="center"/>
          </w:tcPr>
          <w:p w14:paraId="5FB4CC7A">
            <w:pPr>
              <w:wordWrap w:val="0"/>
              <w:spacing w:before="100" w:beforeAutospacing="1" w:after="100" w:afterAutospacing="1"/>
              <w:jc w:val="center"/>
              <w:rPr>
                <w:rFonts w:hint="default" w:ascii="宋体" w:hAnsi="宋体" w:cs="宋体"/>
                <w:lang w:val="en-US"/>
              </w:rPr>
            </w:pPr>
            <w:r>
              <w:rPr>
                <w:rFonts w:hint="default" w:ascii="宋体" w:hAnsi="宋体" w:eastAsia="宋体" w:cs="宋体"/>
                <w:i w:val="0"/>
                <w:iCs w:val="0"/>
                <w:caps w:val="0"/>
                <w:color w:val="000000"/>
                <w:spacing w:val="0"/>
                <w:sz w:val="21"/>
                <w:szCs w:val="21"/>
                <w:shd w:val="clear" w:color="auto" w:fill="FFFFFF"/>
                <w:lang w:val="en-US"/>
              </w:rPr>
              <w:t>针对本标段的总体施工组织布置及规划</w:t>
            </w:r>
          </w:p>
        </w:tc>
        <w:tc>
          <w:tcPr>
            <w:tcW w:w="731" w:type="dxa"/>
            <w:tcBorders>
              <w:top w:val="inset" w:color="auto" w:sz="6" w:space="0"/>
              <w:left w:val="inset" w:color="auto" w:sz="6" w:space="0"/>
              <w:bottom w:val="single" w:color="auto" w:sz="4" w:space="0"/>
              <w:right w:val="inset" w:color="auto" w:sz="6" w:space="0"/>
            </w:tcBorders>
            <w:vAlign w:val="center"/>
          </w:tcPr>
          <w:p w14:paraId="3771DA02">
            <w:pPr>
              <w:wordWrap w:val="0"/>
              <w:spacing w:before="100" w:beforeAutospacing="1" w:after="100" w:afterAutospacing="1"/>
              <w:jc w:val="center"/>
              <w:rPr>
                <w:rFonts w:hint="default" w:ascii="宋体" w:hAnsi="宋体" w:cs="宋体"/>
                <w:lang w:val="en-US"/>
              </w:rPr>
            </w:pPr>
            <w:r>
              <w:rPr>
                <w:rFonts w:hint="default" w:ascii="宋体" w:hAnsi="宋体" w:cs="宋体"/>
                <w:lang w:val="en-US" w:eastAsia="zh-CN"/>
              </w:rPr>
              <w:t>5</w:t>
            </w:r>
            <w:r>
              <w:rPr>
                <w:rFonts w:hint="default"/>
                <w:lang w:val="en-US"/>
              </w:rPr>
              <w:t>分</w:t>
            </w:r>
          </w:p>
        </w:tc>
        <w:tc>
          <w:tcPr>
            <w:tcW w:w="4988" w:type="dxa"/>
            <w:tcBorders>
              <w:top w:val="inset" w:color="auto" w:sz="6" w:space="0"/>
              <w:left w:val="inset" w:color="auto" w:sz="6" w:space="0"/>
              <w:bottom w:val="single" w:color="auto" w:sz="4" w:space="0"/>
              <w:right w:val="single" w:color="auto" w:sz="12" w:space="0"/>
            </w:tcBorders>
            <w:vAlign w:val="center"/>
          </w:tcPr>
          <w:p w14:paraId="2CD530E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Times New Roman" w:hAnsi="Times New Roman" w:cs="Times New Roman"/>
                <w:i w:val="0"/>
                <w:iCs w:val="0"/>
                <w:caps w:val="0"/>
                <w:color w:val="000000"/>
                <w:spacing w:val="0"/>
                <w:sz w:val="21"/>
                <w:szCs w:val="21"/>
                <w:lang w:val="en-US"/>
              </w:rPr>
            </w:pPr>
            <w:r>
              <w:rPr>
                <w:rFonts w:hint="default" w:ascii="宋体" w:hAnsi="宋体" w:eastAsia="宋体" w:cs="宋体"/>
                <w:i w:val="0"/>
                <w:iCs w:val="0"/>
                <w:caps w:val="0"/>
                <w:color w:val="000000"/>
                <w:spacing w:val="0"/>
                <w:sz w:val="21"/>
                <w:szCs w:val="21"/>
                <w:shd w:val="clear" w:color="auto" w:fill="FFFFFF"/>
                <w:lang w:val="en-US"/>
              </w:rPr>
              <w:t>①总体施工组织布置及规划的合理性、针对性、科学性、可操作性以及各生产要素的配备一般的，得</w:t>
            </w:r>
            <w:r>
              <w:rPr>
                <w:rFonts w:hint="default" w:ascii="Times New Roman" w:hAnsi="Times New Roman" w:cs="Times New Roman"/>
                <w:i w:val="0"/>
                <w:iCs w:val="0"/>
                <w:caps w:val="0"/>
                <w:color w:val="000000"/>
                <w:spacing w:val="0"/>
                <w:sz w:val="21"/>
                <w:szCs w:val="21"/>
                <w:shd w:val="clear" w:color="auto" w:fill="FFFFFF"/>
                <w:lang w:val="en-US"/>
              </w:rPr>
              <w:t>3</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3</w:t>
            </w:r>
            <w:r>
              <w:rPr>
                <w:rFonts w:hint="default" w:ascii="宋体" w:hAnsi="宋体" w:eastAsia="宋体" w:cs="宋体"/>
                <w:i w:val="0"/>
                <w:iCs w:val="0"/>
                <w:caps w:val="0"/>
                <w:color w:val="000000"/>
                <w:spacing w:val="0"/>
                <w:sz w:val="21"/>
                <w:szCs w:val="21"/>
                <w:shd w:val="clear" w:color="auto" w:fill="FFFFFF"/>
                <w:lang w:val="en-US"/>
              </w:rPr>
              <w:t>分）；</w:t>
            </w:r>
          </w:p>
          <w:p w14:paraId="172A86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Times New Roman" w:hAnsi="Times New Roman" w:cs="Times New Roman"/>
                <w:i w:val="0"/>
                <w:iCs w:val="0"/>
                <w:caps w:val="0"/>
                <w:color w:val="000000"/>
                <w:spacing w:val="0"/>
                <w:sz w:val="21"/>
                <w:szCs w:val="21"/>
                <w:lang w:val="en-US"/>
              </w:rPr>
            </w:pPr>
            <w:r>
              <w:rPr>
                <w:rFonts w:hint="default" w:ascii="宋体" w:hAnsi="宋体" w:eastAsia="宋体" w:cs="宋体"/>
                <w:i w:val="0"/>
                <w:iCs w:val="0"/>
                <w:caps w:val="0"/>
                <w:color w:val="000000"/>
                <w:spacing w:val="0"/>
                <w:sz w:val="21"/>
                <w:szCs w:val="21"/>
                <w:shd w:val="clear" w:color="auto" w:fill="FFFFFF"/>
                <w:lang w:val="en-US"/>
              </w:rPr>
              <w:t>②总体施工组织布置及规划的合理性、针对性、科学性、可操作性以及各生产要素的配备较好的，得</w:t>
            </w:r>
            <w:r>
              <w:rPr>
                <w:rFonts w:hint="default" w:ascii="Times New Roman" w:hAnsi="Times New Roman" w:cs="Times New Roman"/>
                <w:i w:val="0"/>
                <w:iCs w:val="0"/>
                <w:caps w:val="0"/>
                <w:color w:val="000000"/>
                <w:spacing w:val="0"/>
                <w:sz w:val="21"/>
                <w:szCs w:val="21"/>
                <w:shd w:val="clear" w:color="auto" w:fill="FFFFFF"/>
                <w:lang w:val="en-US"/>
              </w:rPr>
              <w:t>3</w:t>
            </w:r>
            <w:r>
              <w:rPr>
                <w:rFonts w:hint="default" w:ascii="宋体" w:hAnsi="宋体" w:eastAsia="宋体" w:cs="宋体"/>
                <w:i w:val="0"/>
                <w:iCs w:val="0"/>
                <w:caps w:val="0"/>
                <w:color w:val="000000"/>
                <w:spacing w:val="0"/>
                <w:sz w:val="21"/>
                <w:szCs w:val="21"/>
                <w:shd w:val="clear" w:color="auto" w:fill="FFFFFF"/>
                <w:lang w:val="en-US"/>
              </w:rPr>
              <w:t>～</w:t>
            </w:r>
            <w:r>
              <w:rPr>
                <w:rFonts w:hint="default" w:ascii="Times New Roman" w:hAnsi="Times New Roman" w:cs="Times New Roman"/>
                <w:i w:val="0"/>
                <w:iCs w:val="0"/>
                <w:caps w:val="0"/>
                <w:color w:val="000000"/>
                <w:spacing w:val="0"/>
                <w:sz w:val="21"/>
                <w:szCs w:val="21"/>
                <w:shd w:val="clear" w:color="auto" w:fill="FFFFFF"/>
                <w:lang w:val="en-US"/>
              </w:rPr>
              <w:t>4</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4</w:t>
            </w:r>
            <w:r>
              <w:rPr>
                <w:rFonts w:hint="default" w:ascii="宋体" w:hAnsi="宋体" w:eastAsia="宋体" w:cs="宋体"/>
                <w:i w:val="0"/>
                <w:iCs w:val="0"/>
                <w:caps w:val="0"/>
                <w:color w:val="000000"/>
                <w:spacing w:val="0"/>
                <w:sz w:val="21"/>
                <w:szCs w:val="21"/>
                <w:shd w:val="clear" w:color="auto" w:fill="FFFFFF"/>
                <w:lang w:val="en-US"/>
              </w:rPr>
              <w:t>分）；</w:t>
            </w:r>
          </w:p>
          <w:p w14:paraId="656C521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rPr>
            </w:pPr>
            <w:r>
              <w:rPr>
                <w:rFonts w:hint="default" w:ascii="宋体" w:hAnsi="宋体" w:eastAsia="宋体" w:cs="宋体"/>
                <w:i w:val="0"/>
                <w:iCs w:val="0"/>
                <w:caps w:val="0"/>
                <w:color w:val="000000"/>
                <w:spacing w:val="0"/>
                <w:sz w:val="21"/>
                <w:szCs w:val="21"/>
                <w:shd w:val="clear" w:color="auto" w:fill="FFFFFF"/>
                <w:lang w:val="en-US"/>
              </w:rPr>
              <w:t>③总体施工组织布置及规划的合理性、针对性、科学性、可操作性以及各生产要素的配备好的，得</w:t>
            </w:r>
            <w:r>
              <w:rPr>
                <w:rFonts w:hint="default" w:ascii="Times New Roman" w:hAnsi="Times New Roman" w:cs="Times New Roman"/>
                <w:i w:val="0"/>
                <w:iCs w:val="0"/>
                <w:caps w:val="0"/>
                <w:color w:val="000000"/>
                <w:spacing w:val="0"/>
                <w:sz w:val="21"/>
                <w:szCs w:val="21"/>
                <w:shd w:val="clear" w:color="auto" w:fill="FFFFFF"/>
                <w:lang w:val="en-US"/>
              </w:rPr>
              <w:t>4</w:t>
            </w:r>
            <w:r>
              <w:rPr>
                <w:rFonts w:hint="default" w:ascii="宋体" w:hAnsi="宋体" w:eastAsia="宋体" w:cs="宋体"/>
                <w:i w:val="0"/>
                <w:iCs w:val="0"/>
                <w:caps w:val="0"/>
                <w:color w:val="000000"/>
                <w:spacing w:val="0"/>
                <w:sz w:val="21"/>
                <w:szCs w:val="21"/>
                <w:shd w:val="clear" w:color="auto" w:fill="FFFFFF"/>
                <w:lang w:val="en-US"/>
              </w:rPr>
              <w:t>～</w:t>
            </w:r>
            <w:r>
              <w:rPr>
                <w:rFonts w:hint="default" w:ascii="Times New Roman" w:hAnsi="Times New Roman" w:cs="Times New Roman"/>
                <w:i w:val="0"/>
                <w:iCs w:val="0"/>
                <w:caps w:val="0"/>
                <w:color w:val="000000"/>
                <w:spacing w:val="0"/>
                <w:sz w:val="21"/>
                <w:szCs w:val="21"/>
                <w:shd w:val="clear" w:color="auto" w:fill="FFFFFF"/>
                <w:lang w:val="en-US"/>
              </w:rPr>
              <w:t>5</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5</w:t>
            </w:r>
            <w:r>
              <w:rPr>
                <w:rFonts w:hint="default" w:ascii="宋体" w:hAnsi="宋体" w:eastAsia="宋体" w:cs="宋体"/>
                <w:i w:val="0"/>
                <w:iCs w:val="0"/>
                <w:caps w:val="0"/>
                <w:color w:val="000000"/>
                <w:spacing w:val="0"/>
                <w:sz w:val="21"/>
                <w:szCs w:val="21"/>
                <w:shd w:val="clear" w:color="auto" w:fill="FFFFFF"/>
                <w:lang w:val="en-US"/>
              </w:rPr>
              <w:t>分）。</w:t>
            </w:r>
          </w:p>
          <w:p w14:paraId="70CB39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宋体" w:hAnsi="宋体" w:cs="宋体"/>
                <w:b/>
                <w:lang w:val="en-US"/>
              </w:rPr>
            </w:pPr>
            <w:r>
              <w:rPr>
                <w:rFonts w:hint="default" w:ascii="宋体" w:hAnsi="宋体" w:eastAsia="宋体" w:cs="宋体"/>
                <w:i w:val="0"/>
                <w:iCs w:val="0"/>
                <w:caps w:val="0"/>
                <w:color w:val="000000"/>
                <w:spacing w:val="0"/>
                <w:sz w:val="21"/>
                <w:szCs w:val="21"/>
                <w:shd w:val="clear" w:color="auto" w:fill="FFFFFF"/>
                <w:lang w:val="en-US" w:eastAsia="zh-CN"/>
              </w:rPr>
              <w:t>没有不得分。</w:t>
            </w:r>
          </w:p>
        </w:tc>
      </w:tr>
      <w:tr w14:paraId="18E33CB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948" w:type="dxa"/>
            <w:vMerge w:val="continue"/>
            <w:tcBorders>
              <w:top w:val="inset" w:color="auto" w:sz="6" w:space="0"/>
              <w:left w:val="single" w:color="auto" w:sz="12" w:space="0"/>
              <w:bottom w:val="inset" w:color="auto" w:sz="6" w:space="0"/>
              <w:right w:val="inset" w:color="auto" w:sz="6" w:space="0"/>
            </w:tcBorders>
            <w:vAlign w:val="center"/>
          </w:tcPr>
          <w:p w14:paraId="3A928C20">
            <w:pPr>
              <w:kinsoku/>
              <w:autoSpaceDE/>
              <w:autoSpaceDN/>
              <w:adjustRightInd/>
              <w:snapToGrid/>
              <w:textAlignment w:val="auto"/>
              <w:rPr>
                <w:rFonts w:hint="default" w:ascii="宋体" w:hAnsi="宋体" w:cs="宋体"/>
                <w:lang w:val="en-US"/>
              </w:rPr>
            </w:pPr>
          </w:p>
        </w:tc>
        <w:tc>
          <w:tcPr>
            <w:tcW w:w="701" w:type="dxa"/>
            <w:vMerge w:val="continue"/>
            <w:tcBorders>
              <w:top w:val="inset" w:color="auto" w:sz="6" w:space="0"/>
              <w:left w:val="inset" w:color="auto" w:sz="6" w:space="0"/>
              <w:bottom w:val="inset" w:color="auto" w:sz="6" w:space="0"/>
              <w:right w:val="inset" w:color="auto" w:sz="6" w:space="0"/>
            </w:tcBorders>
            <w:vAlign w:val="center"/>
          </w:tcPr>
          <w:p w14:paraId="522D82D1">
            <w:pPr>
              <w:kinsoku/>
              <w:autoSpaceDE/>
              <w:autoSpaceDN/>
              <w:adjustRightInd/>
              <w:snapToGrid/>
              <w:textAlignment w:val="auto"/>
              <w:rPr>
                <w:rFonts w:hint="default" w:ascii="宋体" w:hAnsi="宋体" w:cs="宋体"/>
                <w:lang w:val="en-US"/>
              </w:rPr>
            </w:pPr>
          </w:p>
        </w:tc>
        <w:tc>
          <w:tcPr>
            <w:tcW w:w="488" w:type="dxa"/>
            <w:vMerge w:val="continue"/>
            <w:tcBorders>
              <w:top w:val="inset" w:color="auto" w:sz="6" w:space="0"/>
              <w:left w:val="inset" w:color="auto" w:sz="6" w:space="0"/>
              <w:bottom w:val="inset" w:color="auto" w:sz="6" w:space="0"/>
              <w:right w:val="inset" w:color="auto" w:sz="6" w:space="0"/>
            </w:tcBorders>
            <w:vAlign w:val="center"/>
          </w:tcPr>
          <w:p w14:paraId="393A0A4A">
            <w:pPr>
              <w:kinsoku/>
              <w:autoSpaceDE/>
              <w:autoSpaceDN/>
              <w:adjustRightInd/>
              <w:snapToGrid/>
              <w:textAlignment w:val="auto"/>
              <w:rPr>
                <w:rFonts w:hint="default" w:ascii="宋体" w:hAnsi="宋体" w:cs="宋体"/>
                <w:lang w:val="en-US"/>
              </w:rPr>
            </w:pPr>
          </w:p>
        </w:tc>
        <w:tc>
          <w:tcPr>
            <w:tcW w:w="984" w:type="dxa"/>
            <w:gridSpan w:val="2"/>
            <w:tcBorders>
              <w:top w:val="single" w:color="auto" w:sz="4" w:space="0"/>
              <w:left w:val="inset" w:color="auto" w:sz="6" w:space="0"/>
              <w:bottom w:val="single" w:color="auto" w:sz="4" w:space="0"/>
              <w:right w:val="inset" w:color="auto" w:sz="6" w:space="0"/>
            </w:tcBorders>
            <w:vAlign w:val="center"/>
          </w:tcPr>
          <w:p w14:paraId="1331F6B0">
            <w:pPr>
              <w:wordWrap w:val="0"/>
              <w:spacing w:before="100" w:beforeAutospacing="1" w:after="100" w:afterAutospacing="1"/>
              <w:jc w:val="center"/>
              <w:rPr>
                <w:rFonts w:hint="default" w:ascii="宋体" w:hAnsi="宋体" w:cs="宋体"/>
                <w:color w:val="auto"/>
                <w:highlight w:val="none"/>
                <w:lang w:val="en-US"/>
              </w:rPr>
            </w:pPr>
            <w:r>
              <w:rPr>
                <w:rFonts w:hint="default" w:ascii="宋体" w:hAnsi="宋体" w:eastAsia="宋体" w:cs="宋体"/>
                <w:i w:val="0"/>
                <w:iCs w:val="0"/>
                <w:caps w:val="0"/>
                <w:color w:val="000000"/>
                <w:spacing w:val="0"/>
                <w:sz w:val="21"/>
                <w:szCs w:val="21"/>
                <w:shd w:val="clear" w:color="auto" w:fill="FFFFFF"/>
                <w:lang w:val="en-US"/>
              </w:rPr>
              <w:t>针对本标段的主要工程项目的施工方案、方法与技术措施（尤其对重点、关键和难点工程的施工方案、方法及措施）</w:t>
            </w:r>
          </w:p>
        </w:tc>
        <w:tc>
          <w:tcPr>
            <w:tcW w:w="731" w:type="dxa"/>
            <w:tcBorders>
              <w:top w:val="single" w:color="auto" w:sz="4" w:space="0"/>
              <w:left w:val="inset" w:color="auto" w:sz="6" w:space="0"/>
              <w:bottom w:val="single" w:color="auto" w:sz="4" w:space="0"/>
              <w:right w:val="inset" w:color="auto" w:sz="6" w:space="0"/>
            </w:tcBorders>
            <w:vAlign w:val="center"/>
          </w:tcPr>
          <w:p w14:paraId="56CD803D">
            <w:pPr>
              <w:wordWrap w:val="0"/>
              <w:spacing w:before="100" w:beforeAutospacing="1" w:after="100" w:afterAutospacing="1"/>
              <w:jc w:val="center"/>
              <w:rPr>
                <w:rFonts w:hint="default" w:ascii="宋体" w:hAnsi="宋体" w:cs="宋体"/>
                <w:color w:val="auto"/>
                <w:highlight w:val="none"/>
                <w:lang w:val="en-US"/>
              </w:rPr>
            </w:pPr>
            <w:r>
              <w:rPr>
                <w:rFonts w:hint="default" w:ascii="Times New Roman" w:hAnsi="Times New Roman" w:eastAsia="宋体" w:cs="Times New Roman"/>
                <w:i w:val="0"/>
                <w:iCs w:val="0"/>
                <w:caps w:val="0"/>
                <w:color w:val="000000"/>
                <w:spacing w:val="0"/>
                <w:sz w:val="21"/>
                <w:szCs w:val="21"/>
                <w:shd w:val="clear" w:color="auto" w:fill="FFFFFF"/>
                <w:lang w:val="en-US"/>
              </w:rPr>
              <w:t>15</w:t>
            </w:r>
            <w:r>
              <w:rPr>
                <w:rFonts w:hint="default" w:ascii="宋体" w:hAnsi="宋体" w:eastAsia="宋体" w:cs="宋体"/>
                <w:i w:val="0"/>
                <w:iCs w:val="0"/>
                <w:caps w:val="0"/>
                <w:color w:val="000000"/>
                <w:spacing w:val="0"/>
                <w:sz w:val="21"/>
                <w:szCs w:val="21"/>
                <w:shd w:val="clear" w:color="auto" w:fill="FFFFFF"/>
                <w:lang w:val="en-US"/>
              </w:rPr>
              <w:t>分</w:t>
            </w:r>
          </w:p>
        </w:tc>
        <w:tc>
          <w:tcPr>
            <w:tcW w:w="4988" w:type="dxa"/>
            <w:tcBorders>
              <w:top w:val="single" w:color="auto" w:sz="4" w:space="0"/>
              <w:left w:val="inset" w:color="auto" w:sz="6" w:space="0"/>
              <w:bottom w:val="single" w:color="auto" w:sz="4" w:space="0"/>
              <w:right w:val="single" w:color="auto" w:sz="12" w:space="0"/>
            </w:tcBorders>
            <w:vAlign w:val="center"/>
          </w:tcPr>
          <w:p w14:paraId="675442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Times New Roman" w:hAnsi="Times New Roman" w:cs="Times New Roman"/>
                <w:i w:val="0"/>
                <w:iCs w:val="0"/>
                <w:caps w:val="0"/>
                <w:color w:val="000000"/>
                <w:spacing w:val="0"/>
                <w:sz w:val="21"/>
                <w:szCs w:val="21"/>
                <w:lang w:val="en-US"/>
              </w:rPr>
            </w:pPr>
            <w:r>
              <w:rPr>
                <w:rFonts w:hint="default" w:ascii="宋体" w:hAnsi="宋体" w:eastAsia="宋体" w:cs="宋体"/>
                <w:i w:val="0"/>
                <w:iCs w:val="0"/>
                <w:caps w:val="0"/>
                <w:color w:val="000000"/>
                <w:spacing w:val="0"/>
                <w:sz w:val="21"/>
                <w:szCs w:val="21"/>
                <w:shd w:val="clear" w:color="auto" w:fill="FFFFFF"/>
                <w:lang w:val="en-US"/>
              </w:rPr>
              <w:t>①施工方案、方法与技术措施内容详细程度、合理性、针对性一般的，得</w:t>
            </w:r>
            <w:r>
              <w:rPr>
                <w:rFonts w:hint="default" w:ascii="Times New Roman" w:hAnsi="Times New Roman" w:cs="Times New Roman"/>
                <w:i w:val="0"/>
                <w:iCs w:val="0"/>
                <w:caps w:val="0"/>
                <w:color w:val="000000"/>
                <w:spacing w:val="0"/>
                <w:sz w:val="21"/>
                <w:szCs w:val="21"/>
                <w:shd w:val="clear" w:color="auto" w:fill="FFFFFF"/>
                <w:lang w:val="en-US"/>
              </w:rPr>
              <w:t>9</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9</w:t>
            </w:r>
            <w:r>
              <w:rPr>
                <w:rFonts w:hint="default" w:ascii="宋体" w:hAnsi="宋体" w:eastAsia="宋体" w:cs="宋体"/>
                <w:i w:val="0"/>
                <w:iCs w:val="0"/>
                <w:caps w:val="0"/>
                <w:color w:val="000000"/>
                <w:spacing w:val="0"/>
                <w:sz w:val="21"/>
                <w:szCs w:val="21"/>
                <w:shd w:val="clear" w:color="auto" w:fill="FFFFFF"/>
                <w:lang w:val="en-US"/>
              </w:rPr>
              <w:t>分）；</w:t>
            </w:r>
          </w:p>
          <w:p w14:paraId="7CDE07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Times New Roman" w:hAnsi="Times New Roman" w:cs="Times New Roman"/>
                <w:i w:val="0"/>
                <w:iCs w:val="0"/>
                <w:caps w:val="0"/>
                <w:color w:val="000000"/>
                <w:spacing w:val="0"/>
                <w:sz w:val="21"/>
                <w:szCs w:val="21"/>
                <w:lang w:val="en-US"/>
              </w:rPr>
            </w:pPr>
            <w:r>
              <w:rPr>
                <w:rFonts w:hint="default" w:ascii="宋体" w:hAnsi="宋体" w:eastAsia="宋体" w:cs="宋体"/>
                <w:i w:val="0"/>
                <w:iCs w:val="0"/>
                <w:caps w:val="0"/>
                <w:color w:val="000000"/>
                <w:spacing w:val="0"/>
                <w:sz w:val="21"/>
                <w:szCs w:val="21"/>
                <w:shd w:val="clear" w:color="auto" w:fill="FFFFFF"/>
                <w:lang w:val="en-US"/>
              </w:rPr>
              <w:t>②施工方案、方法与技术措施内容详细程度、合理性、针对性较好的，得</w:t>
            </w:r>
            <w:r>
              <w:rPr>
                <w:rFonts w:hint="default" w:ascii="Times New Roman" w:hAnsi="Times New Roman" w:cs="Times New Roman"/>
                <w:i w:val="0"/>
                <w:iCs w:val="0"/>
                <w:caps w:val="0"/>
                <w:color w:val="000000"/>
                <w:spacing w:val="0"/>
                <w:sz w:val="21"/>
                <w:szCs w:val="21"/>
                <w:shd w:val="clear" w:color="auto" w:fill="FFFFFF"/>
                <w:lang w:val="en-US"/>
              </w:rPr>
              <w:t>9</w:t>
            </w:r>
            <w:r>
              <w:rPr>
                <w:rFonts w:hint="default" w:ascii="宋体" w:hAnsi="宋体" w:eastAsia="宋体" w:cs="宋体"/>
                <w:i w:val="0"/>
                <w:iCs w:val="0"/>
                <w:caps w:val="0"/>
                <w:color w:val="000000"/>
                <w:spacing w:val="0"/>
                <w:sz w:val="21"/>
                <w:szCs w:val="21"/>
                <w:shd w:val="clear" w:color="auto" w:fill="FFFFFF"/>
                <w:lang w:val="en-US"/>
              </w:rPr>
              <w:t>～</w:t>
            </w:r>
            <w:r>
              <w:rPr>
                <w:rFonts w:hint="default" w:ascii="Times New Roman" w:hAnsi="Times New Roman" w:cs="Times New Roman"/>
                <w:i w:val="0"/>
                <w:iCs w:val="0"/>
                <w:caps w:val="0"/>
                <w:color w:val="000000"/>
                <w:spacing w:val="0"/>
                <w:sz w:val="21"/>
                <w:szCs w:val="21"/>
                <w:shd w:val="clear" w:color="auto" w:fill="FFFFFF"/>
                <w:lang w:val="en-US"/>
              </w:rPr>
              <w:t>12</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12</w:t>
            </w:r>
            <w:r>
              <w:rPr>
                <w:rFonts w:hint="default" w:ascii="宋体" w:hAnsi="宋体" w:eastAsia="宋体" w:cs="宋体"/>
                <w:i w:val="0"/>
                <w:iCs w:val="0"/>
                <w:caps w:val="0"/>
                <w:color w:val="000000"/>
                <w:spacing w:val="0"/>
                <w:sz w:val="21"/>
                <w:szCs w:val="21"/>
                <w:shd w:val="clear" w:color="auto" w:fill="FFFFFF"/>
                <w:lang w:val="en-US"/>
              </w:rPr>
              <w:t>分）；</w:t>
            </w:r>
          </w:p>
          <w:p w14:paraId="411CA2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rPr>
            </w:pPr>
            <w:r>
              <w:rPr>
                <w:rFonts w:hint="default" w:ascii="宋体" w:hAnsi="宋体" w:eastAsia="宋体" w:cs="宋体"/>
                <w:i w:val="0"/>
                <w:iCs w:val="0"/>
                <w:caps w:val="0"/>
                <w:color w:val="000000"/>
                <w:spacing w:val="0"/>
                <w:sz w:val="21"/>
                <w:szCs w:val="21"/>
                <w:shd w:val="clear" w:color="auto" w:fill="FFFFFF"/>
                <w:lang w:val="en-US"/>
              </w:rPr>
              <w:t>③施工方案、方法与技术措施内容详细程度、合理性、针对性好的，得</w:t>
            </w:r>
            <w:r>
              <w:rPr>
                <w:rFonts w:hint="default" w:ascii="Times New Roman" w:hAnsi="Times New Roman" w:cs="Times New Roman"/>
                <w:i w:val="0"/>
                <w:iCs w:val="0"/>
                <w:caps w:val="0"/>
                <w:color w:val="000000"/>
                <w:spacing w:val="0"/>
                <w:sz w:val="21"/>
                <w:szCs w:val="21"/>
                <w:shd w:val="clear" w:color="auto" w:fill="FFFFFF"/>
                <w:lang w:val="en-US"/>
              </w:rPr>
              <w:t>12</w:t>
            </w:r>
            <w:r>
              <w:rPr>
                <w:rFonts w:hint="default" w:ascii="宋体" w:hAnsi="宋体" w:eastAsia="宋体" w:cs="宋体"/>
                <w:i w:val="0"/>
                <w:iCs w:val="0"/>
                <w:caps w:val="0"/>
                <w:color w:val="000000"/>
                <w:spacing w:val="0"/>
                <w:sz w:val="21"/>
                <w:szCs w:val="21"/>
                <w:shd w:val="clear" w:color="auto" w:fill="FFFFFF"/>
                <w:lang w:val="en-US"/>
              </w:rPr>
              <w:t>～</w:t>
            </w:r>
            <w:r>
              <w:rPr>
                <w:rFonts w:hint="default" w:ascii="Times New Roman" w:hAnsi="Times New Roman" w:cs="Times New Roman"/>
                <w:i w:val="0"/>
                <w:iCs w:val="0"/>
                <w:caps w:val="0"/>
                <w:color w:val="000000"/>
                <w:spacing w:val="0"/>
                <w:sz w:val="21"/>
                <w:szCs w:val="21"/>
                <w:shd w:val="clear" w:color="auto" w:fill="FFFFFF"/>
                <w:lang w:val="en-US"/>
              </w:rPr>
              <w:t>15</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15</w:t>
            </w:r>
            <w:r>
              <w:rPr>
                <w:rFonts w:hint="default" w:ascii="宋体" w:hAnsi="宋体" w:eastAsia="宋体" w:cs="宋体"/>
                <w:i w:val="0"/>
                <w:iCs w:val="0"/>
                <w:caps w:val="0"/>
                <w:color w:val="000000"/>
                <w:spacing w:val="0"/>
                <w:sz w:val="21"/>
                <w:szCs w:val="21"/>
                <w:shd w:val="clear" w:color="auto" w:fill="FFFFFF"/>
                <w:lang w:val="en-US"/>
              </w:rPr>
              <w:t>分）。</w:t>
            </w:r>
          </w:p>
          <w:p w14:paraId="51D2A6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eastAsia="zh-CN"/>
              </w:rPr>
            </w:pPr>
            <w:r>
              <w:rPr>
                <w:rFonts w:hint="default" w:ascii="宋体" w:hAnsi="宋体" w:eastAsia="宋体" w:cs="宋体"/>
                <w:i w:val="0"/>
                <w:iCs w:val="0"/>
                <w:caps w:val="0"/>
                <w:color w:val="000000"/>
                <w:spacing w:val="0"/>
                <w:sz w:val="21"/>
                <w:szCs w:val="21"/>
                <w:shd w:val="clear" w:color="auto" w:fill="FFFFFF"/>
                <w:lang w:val="en-US" w:eastAsia="zh-CN"/>
              </w:rPr>
              <w:t>没有不得分。</w:t>
            </w:r>
          </w:p>
        </w:tc>
      </w:tr>
      <w:tr w14:paraId="07B3B6D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948" w:type="dxa"/>
            <w:vMerge w:val="continue"/>
            <w:tcBorders>
              <w:top w:val="inset" w:color="auto" w:sz="6" w:space="0"/>
              <w:left w:val="single" w:color="auto" w:sz="12" w:space="0"/>
              <w:bottom w:val="inset" w:color="auto" w:sz="6" w:space="0"/>
              <w:right w:val="inset" w:color="auto" w:sz="6" w:space="0"/>
            </w:tcBorders>
            <w:vAlign w:val="center"/>
          </w:tcPr>
          <w:p w14:paraId="177850E2">
            <w:pPr>
              <w:kinsoku/>
              <w:autoSpaceDE/>
              <w:autoSpaceDN/>
              <w:adjustRightInd/>
              <w:snapToGrid/>
              <w:textAlignment w:val="auto"/>
              <w:rPr>
                <w:rFonts w:hint="default" w:ascii="宋体" w:hAnsi="宋体" w:cs="宋体"/>
                <w:lang w:val="en-US"/>
              </w:rPr>
            </w:pPr>
          </w:p>
        </w:tc>
        <w:tc>
          <w:tcPr>
            <w:tcW w:w="701" w:type="dxa"/>
            <w:vMerge w:val="continue"/>
            <w:tcBorders>
              <w:top w:val="inset" w:color="auto" w:sz="6" w:space="0"/>
              <w:left w:val="inset" w:color="auto" w:sz="6" w:space="0"/>
              <w:bottom w:val="inset" w:color="auto" w:sz="6" w:space="0"/>
              <w:right w:val="inset" w:color="auto" w:sz="6" w:space="0"/>
            </w:tcBorders>
            <w:vAlign w:val="center"/>
          </w:tcPr>
          <w:p w14:paraId="44AA0BB7">
            <w:pPr>
              <w:kinsoku/>
              <w:autoSpaceDE/>
              <w:autoSpaceDN/>
              <w:adjustRightInd/>
              <w:snapToGrid/>
              <w:textAlignment w:val="auto"/>
              <w:rPr>
                <w:rFonts w:hint="default" w:ascii="宋体" w:hAnsi="宋体" w:cs="宋体"/>
                <w:lang w:val="en-US"/>
              </w:rPr>
            </w:pPr>
          </w:p>
        </w:tc>
        <w:tc>
          <w:tcPr>
            <w:tcW w:w="488" w:type="dxa"/>
            <w:vMerge w:val="continue"/>
            <w:tcBorders>
              <w:top w:val="inset" w:color="auto" w:sz="6" w:space="0"/>
              <w:left w:val="inset" w:color="auto" w:sz="6" w:space="0"/>
              <w:bottom w:val="inset" w:color="auto" w:sz="6" w:space="0"/>
              <w:right w:val="inset" w:color="auto" w:sz="6" w:space="0"/>
            </w:tcBorders>
            <w:vAlign w:val="center"/>
          </w:tcPr>
          <w:p w14:paraId="7EB81094">
            <w:pPr>
              <w:kinsoku/>
              <w:autoSpaceDE/>
              <w:autoSpaceDN/>
              <w:adjustRightInd/>
              <w:snapToGrid/>
              <w:textAlignment w:val="auto"/>
              <w:rPr>
                <w:rFonts w:hint="default" w:ascii="宋体" w:hAnsi="宋体" w:cs="宋体"/>
                <w:lang w:val="en-US"/>
              </w:rPr>
            </w:pPr>
          </w:p>
        </w:tc>
        <w:tc>
          <w:tcPr>
            <w:tcW w:w="984" w:type="dxa"/>
            <w:gridSpan w:val="2"/>
            <w:tcBorders>
              <w:top w:val="single" w:color="auto" w:sz="4" w:space="0"/>
              <w:left w:val="inset" w:color="auto" w:sz="6" w:space="0"/>
              <w:bottom w:val="single" w:color="auto" w:sz="4" w:space="0"/>
              <w:right w:val="inset" w:color="auto" w:sz="6" w:space="0"/>
            </w:tcBorders>
            <w:vAlign w:val="center"/>
          </w:tcPr>
          <w:p w14:paraId="2DF288B7">
            <w:pPr>
              <w:jc w:val="center"/>
              <w:rPr>
                <w:rFonts w:hint="default" w:ascii="宋体" w:hAnsi="宋体" w:cs="宋体"/>
                <w:lang w:val="en-US"/>
              </w:rPr>
            </w:pPr>
            <w:r>
              <w:rPr>
                <w:rFonts w:hint="default" w:ascii="宋体" w:hAnsi="宋体" w:eastAsia="宋体" w:cs="宋体"/>
                <w:i w:val="0"/>
                <w:iCs w:val="0"/>
                <w:caps w:val="0"/>
                <w:color w:val="000000"/>
                <w:spacing w:val="0"/>
                <w:sz w:val="21"/>
                <w:szCs w:val="21"/>
                <w:shd w:val="clear" w:color="auto" w:fill="FFFFFF"/>
                <w:lang w:val="en-US"/>
              </w:rPr>
              <w:t>工期、质量、安全、环境保护、水土保持、文明施工、文物保护等各项保证体系及保证措施，项目风险预测与防范，事故应急预案</w:t>
            </w:r>
          </w:p>
        </w:tc>
        <w:tc>
          <w:tcPr>
            <w:tcW w:w="731" w:type="dxa"/>
            <w:tcBorders>
              <w:top w:val="single" w:color="auto" w:sz="4" w:space="0"/>
              <w:left w:val="inset" w:color="auto" w:sz="6" w:space="0"/>
              <w:bottom w:val="single" w:color="auto" w:sz="4" w:space="0"/>
              <w:right w:val="inset" w:color="auto" w:sz="6" w:space="0"/>
            </w:tcBorders>
            <w:vAlign w:val="center"/>
          </w:tcPr>
          <w:p w14:paraId="39D42FF6">
            <w:pPr>
              <w:wordWrap w:val="0"/>
              <w:spacing w:before="100" w:beforeAutospacing="1" w:after="100" w:afterAutospacing="1"/>
              <w:jc w:val="center"/>
              <w:rPr>
                <w:rFonts w:hint="default" w:ascii="宋体" w:hAnsi="宋体" w:eastAsia="宋体" w:cs="宋体"/>
                <w:lang w:val="en-US" w:eastAsia="zh-CN"/>
              </w:rPr>
            </w:pPr>
            <w:r>
              <w:rPr>
                <w:rFonts w:hint="default" w:ascii="宋体" w:hAnsi="宋体" w:cs="宋体"/>
                <w:lang w:val="en-US" w:eastAsia="zh-CN"/>
              </w:rPr>
              <w:t>15分</w:t>
            </w:r>
          </w:p>
        </w:tc>
        <w:tc>
          <w:tcPr>
            <w:tcW w:w="4988" w:type="dxa"/>
            <w:tcBorders>
              <w:top w:val="single" w:color="auto" w:sz="4" w:space="0"/>
              <w:left w:val="inset" w:color="auto" w:sz="6" w:space="0"/>
              <w:bottom w:val="single" w:color="auto" w:sz="4" w:space="0"/>
              <w:right w:val="single" w:color="auto" w:sz="12" w:space="0"/>
            </w:tcBorders>
            <w:vAlign w:val="center"/>
          </w:tcPr>
          <w:p w14:paraId="6BF784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Times New Roman" w:hAnsi="Times New Roman" w:cs="Times New Roman"/>
                <w:i w:val="0"/>
                <w:iCs w:val="0"/>
                <w:caps w:val="0"/>
                <w:color w:val="000000"/>
                <w:spacing w:val="0"/>
                <w:sz w:val="21"/>
                <w:szCs w:val="21"/>
                <w:lang w:val="en-US"/>
              </w:rPr>
            </w:pPr>
            <w:r>
              <w:rPr>
                <w:rFonts w:hint="default" w:ascii="宋体" w:hAnsi="宋体" w:eastAsia="宋体" w:cs="宋体"/>
                <w:i w:val="0"/>
                <w:iCs w:val="0"/>
                <w:caps w:val="0"/>
                <w:color w:val="000000"/>
                <w:spacing w:val="0"/>
                <w:sz w:val="21"/>
                <w:szCs w:val="21"/>
                <w:shd w:val="clear" w:color="auto" w:fill="FFFFFF"/>
                <w:lang w:val="en-US"/>
              </w:rPr>
              <w:t>①各项保证体系及保证措施、项目风险预测与防范、事故应急预案等，详细程度、合理性、针对性一般的，得</w:t>
            </w:r>
            <w:r>
              <w:rPr>
                <w:rFonts w:hint="default" w:ascii="Times New Roman" w:hAnsi="Times New Roman" w:cs="Times New Roman"/>
                <w:i w:val="0"/>
                <w:iCs w:val="0"/>
                <w:caps w:val="0"/>
                <w:color w:val="000000"/>
                <w:spacing w:val="0"/>
                <w:sz w:val="21"/>
                <w:szCs w:val="21"/>
                <w:shd w:val="clear" w:color="auto" w:fill="FFFFFF"/>
                <w:lang w:val="en-US"/>
              </w:rPr>
              <w:t>9</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9</w:t>
            </w:r>
            <w:r>
              <w:rPr>
                <w:rFonts w:hint="default" w:ascii="宋体" w:hAnsi="宋体" w:eastAsia="宋体" w:cs="宋体"/>
                <w:i w:val="0"/>
                <w:iCs w:val="0"/>
                <w:caps w:val="0"/>
                <w:color w:val="000000"/>
                <w:spacing w:val="0"/>
                <w:sz w:val="21"/>
                <w:szCs w:val="21"/>
                <w:shd w:val="clear" w:color="auto" w:fill="FFFFFF"/>
                <w:lang w:val="en-US"/>
              </w:rPr>
              <w:t>分）；</w:t>
            </w:r>
          </w:p>
          <w:p w14:paraId="1528AC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Times New Roman" w:hAnsi="Times New Roman" w:cs="Times New Roman"/>
                <w:i w:val="0"/>
                <w:iCs w:val="0"/>
                <w:caps w:val="0"/>
                <w:color w:val="000000"/>
                <w:spacing w:val="0"/>
                <w:sz w:val="21"/>
                <w:szCs w:val="21"/>
                <w:lang w:val="en-US"/>
              </w:rPr>
            </w:pPr>
            <w:r>
              <w:rPr>
                <w:rFonts w:hint="default" w:ascii="宋体" w:hAnsi="宋体" w:eastAsia="宋体" w:cs="宋体"/>
                <w:i w:val="0"/>
                <w:iCs w:val="0"/>
                <w:caps w:val="0"/>
                <w:color w:val="000000"/>
                <w:spacing w:val="0"/>
                <w:sz w:val="21"/>
                <w:szCs w:val="21"/>
                <w:shd w:val="clear" w:color="auto" w:fill="FFFFFF"/>
                <w:lang w:val="en-US"/>
              </w:rPr>
              <w:t>②各项保证体系及保证措施、项目风险预测与防范、事故应急预案等，详细程度、合理性、针对性较好的，得</w:t>
            </w:r>
            <w:r>
              <w:rPr>
                <w:rFonts w:hint="default" w:ascii="Times New Roman" w:hAnsi="Times New Roman" w:cs="Times New Roman"/>
                <w:i w:val="0"/>
                <w:iCs w:val="0"/>
                <w:caps w:val="0"/>
                <w:color w:val="000000"/>
                <w:spacing w:val="0"/>
                <w:sz w:val="21"/>
                <w:szCs w:val="21"/>
                <w:shd w:val="clear" w:color="auto" w:fill="FFFFFF"/>
                <w:lang w:val="en-US"/>
              </w:rPr>
              <w:t>9</w:t>
            </w:r>
            <w:r>
              <w:rPr>
                <w:rFonts w:hint="default" w:ascii="宋体" w:hAnsi="宋体" w:eastAsia="宋体" w:cs="宋体"/>
                <w:i w:val="0"/>
                <w:iCs w:val="0"/>
                <w:caps w:val="0"/>
                <w:color w:val="000000"/>
                <w:spacing w:val="0"/>
                <w:sz w:val="21"/>
                <w:szCs w:val="21"/>
                <w:shd w:val="clear" w:color="auto" w:fill="FFFFFF"/>
                <w:lang w:val="en-US"/>
              </w:rPr>
              <w:t>～</w:t>
            </w:r>
            <w:r>
              <w:rPr>
                <w:rFonts w:hint="default" w:ascii="Times New Roman" w:hAnsi="Times New Roman" w:cs="Times New Roman"/>
                <w:i w:val="0"/>
                <w:iCs w:val="0"/>
                <w:caps w:val="0"/>
                <w:color w:val="000000"/>
                <w:spacing w:val="0"/>
                <w:sz w:val="21"/>
                <w:szCs w:val="21"/>
                <w:shd w:val="clear" w:color="auto" w:fill="FFFFFF"/>
                <w:lang w:val="en-US"/>
              </w:rPr>
              <w:t>12</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12</w:t>
            </w:r>
            <w:r>
              <w:rPr>
                <w:rFonts w:hint="default" w:ascii="宋体" w:hAnsi="宋体" w:eastAsia="宋体" w:cs="宋体"/>
                <w:i w:val="0"/>
                <w:iCs w:val="0"/>
                <w:caps w:val="0"/>
                <w:color w:val="000000"/>
                <w:spacing w:val="0"/>
                <w:sz w:val="21"/>
                <w:szCs w:val="21"/>
                <w:shd w:val="clear" w:color="auto" w:fill="FFFFFF"/>
                <w:lang w:val="en-US"/>
              </w:rPr>
              <w:t>分）；</w:t>
            </w:r>
          </w:p>
          <w:p w14:paraId="253438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rPr>
            </w:pPr>
            <w:r>
              <w:rPr>
                <w:rFonts w:hint="default" w:ascii="宋体" w:hAnsi="宋体" w:eastAsia="宋体" w:cs="宋体"/>
                <w:i w:val="0"/>
                <w:iCs w:val="0"/>
                <w:caps w:val="0"/>
                <w:color w:val="000000"/>
                <w:spacing w:val="0"/>
                <w:sz w:val="21"/>
                <w:szCs w:val="21"/>
                <w:shd w:val="clear" w:color="auto" w:fill="FFFFFF"/>
                <w:lang w:val="en-US"/>
              </w:rPr>
              <w:t>③各项保证体系及保证措施、项目风险预测与防范、事故应急预案等，详细程度、合理性、针对性好的，得</w:t>
            </w:r>
            <w:r>
              <w:rPr>
                <w:rFonts w:hint="default" w:ascii="Times New Roman" w:hAnsi="Times New Roman" w:cs="Times New Roman"/>
                <w:i w:val="0"/>
                <w:iCs w:val="0"/>
                <w:caps w:val="0"/>
                <w:color w:val="000000"/>
                <w:spacing w:val="0"/>
                <w:sz w:val="21"/>
                <w:szCs w:val="21"/>
                <w:shd w:val="clear" w:color="auto" w:fill="FFFFFF"/>
                <w:lang w:val="en-US"/>
              </w:rPr>
              <w:t>12</w:t>
            </w:r>
            <w:r>
              <w:rPr>
                <w:rFonts w:hint="default" w:ascii="宋体" w:hAnsi="宋体" w:eastAsia="宋体" w:cs="宋体"/>
                <w:i w:val="0"/>
                <w:iCs w:val="0"/>
                <w:caps w:val="0"/>
                <w:color w:val="000000"/>
                <w:spacing w:val="0"/>
                <w:sz w:val="21"/>
                <w:szCs w:val="21"/>
                <w:shd w:val="clear" w:color="auto" w:fill="FFFFFF"/>
                <w:lang w:val="en-US"/>
              </w:rPr>
              <w:t>～</w:t>
            </w:r>
            <w:r>
              <w:rPr>
                <w:rFonts w:hint="default" w:ascii="Times New Roman" w:hAnsi="Times New Roman" w:cs="Times New Roman"/>
                <w:i w:val="0"/>
                <w:iCs w:val="0"/>
                <w:caps w:val="0"/>
                <w:color w:val="000000"/>
                <w:spacing w:val="0"/>
                <w:sz w:val="21"/>
                <w:szCs w:val="21"/>
                <w:shd w:val="clear" w:color="auto" w:fill="FFFFFF"/>
                <w:lang w:val="en-US"/>
              </w:rPr>
              <w:t>15</w:t>
            </w:r>
            <w:r>
              <w:rPr>
                <w:rFonts w:hint="default" w:ascii="宋体" w:hAnsi="宋体" w:eastAsia="宋体" w:cs="宋体"/>
                <w:i w:val="0"/>
                <w:iCs w:val="0"/>
                <w:caps w:val="0"/>
                <w:color w:val="000000"/>
                <w:spacing w:val="0"/>
                <w:sz w:val="21"/>
                <w:szCs w:val="21"/>
                <w:shd w:val="clear" w:color="auto" w:fill="FFFFFF"/>
                <w:lang w:val="en-US"/>
              </w:rPr>
              <w:t>分（含</w:t>
            </w:r>
            <w:r>
              <w:rPr>
                <w:rFonts w:hint="default" w:ascii="Times New Roman" w:hAnsi="Times New Roman" w:cs="Times New Roman"/>
                <w:i w:val="0"/>
                <w:iCs w:val="0"/>
                <w:caps w:val="0"/>
                <w:color w:val="000000"/>
                <w:spacing w:val="0"/>
                <w:sz w:val="21"/>
                <w:szCs w:val="21"/>
                <w:shd w:val="clear" w:color="auto" w:fill="FFFFFF"/>
                <w:lang w:val="en-US"/>
              </w:rPr>
              <w:t>15</w:t>
            </w:r>
            <w:r>
              <w:rPr>
                <w:rFonts w:hint="default" w:ascii="宋体" w:hAnsi="宋体" w:eastAsia="宋体" w:cs="宋体"/>
                <w:i w:val="0"/>
                <w:iCs w:val="0"/>
                <w:caps w:val="0"/>
                <w:color w:val="000000"/>
                <w:spacing w:val="0"/>
                <w:sz w:val="21"/>
                <w:szCs w:val="21"/>
                <w:shd w:val="clear" w:color="auto" w:fill="FFFFFF"/>
                <w:lang w:val="en-US"/>
              </w:rPr>
              <w:t>分）。</w:t>
            </w:r>
          </w:p>
          <w:p w14:paraId="5A5EF0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0"/>
              <w:jc w:val="both"/>
              <w:rPr>
                <w:rFonts w:hint="default" w:ascii="Times New Roman" w:hAnsi="Times New Roman" w:cs="Times New Roman"/>
                <w:i w:val="0"/>
                <w:iCs w:val="0"/>
                <w:caps w:val="0"/>
                <w:color w:val="000000"/>
                <w:spacing w:val="0"/>
                <w:sz w:val="21"/>
                <w:szCs w:val="21"/>
                <w:lang w:val="en-US"/>
              </w:rPr>
            </w:pPr>
            <w:r>
              <w:rPr>
                <w:rFonts w:hint="default" w:ascii="宋体" w:hAnsi="宋体" w:eastAsia="宋体" w:cs="宋体"/>
                <w:i w:val="0"/>
                <w:iCs w:val="0"/>
                <w:caps w:val="0"/>
                <w:color w:val="000000"/>
                <w:spacing w:val="0"/>
                <w:sz w:val="21"/>
                <w:szCs w:val="21"/>
                <w:shd w:val="clear" w:color="auto" w:fill="FFFFFF"/>
                <w:lang w:val="en-US" w:eastAsia="zh-CN"/>
              </w:rPr>
              <w:t>没有不得分。</w:t>
            </w:r>
          </w:p>
          <w:p w14:paraId="29B4A6BE">
            <w:pPr>
              <w:rPr>
                <w:rFonts w:hint="default" w:ascii="宋体" w:hAnsi="宋体" w:cs="宋体"/>
                <w:lang w:val="en-US"/>
              </w:rPr>
            </w:pPr>
          </w:p>
        </w:tc>
      </w:tr>
      <w:tr w14:paraId="09FF5F1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702" w:hRule="atLeast"/>
          <w:jc w:val="center"/>
        </w:trPr>
        <w:tc>
          <w:tcPr>
            <w:tcW w:w="948" w:type="dxa"/>
            <w:vMerge w:val="restart"/>
            <w:tcBorders>
              <w:top w:val="inset" w:color="auto" w:sz="6" w:space="0"/>
              <w:left w:val="single" w:color="auto" w:sz="12" w:space="0"/>
              <w:bottom w:val="inset" w:color="auto" w:sz="6" w:space="0"/>
              <w:right w:val="inset" w:color="auto" w:sz="6" w:space="0"/>
            </w:tcBorders>
            <w:vAlign w:val="center"/>
          </w:tcPr>
          <w:p w14:paraId="3C16F09A">
            <w:pPr>
              <w:wordWrap w:val="0"/>
              <w:spacing w:before="100" w:beforeAutospacing="1" w:after="100" w:afterAutospacing="1"/>
              <w:jc w:val="center"/>
              <w:rPr>
                <w:rFonts w:hint="default" w:ascii="宋体" w:hAnsi="宋体" w:cs="宋体"/>
                <w:lang w:val="en-US"/>
              </w:rPr>
            </w:pPr>
            <w:r>
              <w:rPr>
                <w:rFonts w:hint="default" w:ascii="宋体" w:hAnsi="宋体" w:cs="宋体"/>
                <w:lang w:val="en-US"/>
              </w:rPr>
              <w:t>2.2.2</w:t>
            </w:r>
          </w:p>
          <w:p w14:paraId="51DD21FF">
            <w:pPr>
              <w:wordWrap w:val="0"/>
              <w:spacing w:before="100" w:beforeAutospacing="1" w:after="100" w:afterAutospacing="1"/>
              <w:jc w:val="center"/>
              <w:rPr>
                <w:rFonts w:hint="default" w:ascii="宋体" w:hAnsi="宋体" w:cs="宋体"/>
                <w:lang w:val="en-US"/>
              </w:rPr>
            </w:pPr>
            <w:r>
              <w:rPr>
                <w:rFonts w:hint="default"/>
                <w:lang w:val="en-US"/>
              </w:rPr>
              <w:t>（</w:t>
            </w:r>
            <w:r>
              <w:rPr>
                <w:rFonts w:hint="default" w:ascii="宋体" w:hAnsi="宋体" w:cs="宋体"/>
                <w:lang w:val="en-US"/>
              </w:rPr>
              <w:t>2</w:t>
            </w:r>
            <w:r>
              <w:rPr>
                <w:rFonts w:hint="default"/>
                <w:lang w:val="en-US"/>
              </w:rPr>
              <w:t>）</w:t>
            </w:r>
          </w:p>
        </w:tc>
        <w:tc>
          <w:tcPr>
            <w:tcW w:w="701" w:type="dxa"/>
            <w:vMerge w:val="restart"/>
            <w:tcBorders>
              <w:top w:val="inset" w:color="auto" w:sz="6" w:space="0"/>
              <w:left w:val="inset" w:color="auto" w:sz="6" w:space="0"/>
              <w:bottom w:val="inset" w:color="auto" w:sz="6" w:space="0"/>
              <w:right w:val="inset" w:color="auto" w:sz="6" w:space="0"/>
            </w:tcBorders>
            <w:vAlign w:val="center"/>
          </w:tcPr>
          <w:p w14:paraId="28F9167A">
            <w:pPr>
              <w:wordWrap w:val="0"/>
              <w:spacing w:before="100" w:beforeAutospacing="1" w:after="100" w:afterAutospacing="1"/>
              <w:jc w:val="center"/>
              <w:rPr>
                <w:rFonts w:hint="default" w:ascii="宋体" w:hAnsi="宋体" w:cs="宋体"/>
                <w:lang w:val="en-US"/>
              </w:rPr>
            </w:pPr>
            <w:r>
              <w:rPr>
                <w:rFonts w:hint="default"/>
                <w:lang w:val="en-US"/>
              </w:rPr>
              <w:t>主要</w:t>
            </w:r>
          </w:p>
          <w:p w14:paraId="4BC26105">
            <w:pPr>
              <w:wordWrap w:val="0"/>
              <w:spacing w:before="100" w:beforeAutospacing="1" w:after="100" w:afterAutospacing="1"/>
              <w:jc w:val="center"/>
              <w:rPr>
                <w:rFonts w:hint="default" w:ascii="宋体" w:hAnsi="宋体" w:cs="宋体"/>
                <w:lang w:val="en-US"/>
              </w:rPr>
            </w:pPr>
            <w:r>
              <w:rPr>
                <w:rFonts w:hint="default"/>
                <w:lang w:val="en-US"/>
              </w:rPr>
              <w:t>人员</w:t>
            </w:r>
          </w:p>
        </w:tc>
        <w:tc>
          <w:tcPr>
            <w:tcW w:w="488" w:type="dxa"/>
            <w:vMerge w:val="restart"/>
            <w:tcBorders>
              <w:top w:val="inset" w:color="auto" w:sz="6" w:space="0"/>
              <w:left w:val="inset" w:color="auto" w:sz="6" w:space="0"/>
              <w:bottom w:val="inset" w:color="auto" w:sz="6" w:space="0"/>
              <w:right w:val="inset" w:color="auto" w:sz="6" w:space="0"/>
            </w:tcBorders>
            <w:vAlign w:val="center"/>
          </w:tcPr>
          <w:p w14:paraId="49561271">
            <w:pPr>
              <w:wordWrap w:val="0"/>
              <w:spacing w:before="100" w:beforeAutospacing="1" w:after="100" w:afterAutospacing="1"/>
              <w:jc w:val="center"/>
              <w:rPr>
                <w:rFonts w:hint="default" w:ascii="宋体" w:hAnsi="宋体" w:cs="宋体"/>
                <w:lang w:val="en-US"/>
              </w:rPr>
            </w:pPr>
            <w:r>
              <w:rPr>
                <w:rFonts w:hint="default" w:ascii="宋体" w:hAnsi="宋体" w:cs="宋体"/>
                <w:lang w:val="en-US"/>
              </w:rPr>
              <w:t>30</w:t>
            </w:r>
            <w:r>
              <w:rPr>
                <w:rFonts w:hint="default"/>
                <w:lang w:val="en-US"/>
              </w:rPr>
              <w:t>分</w:t>
            </w:r>
          </w:p>
        </w:tc>
        <w:tc>
          <w:tcPr>
            <w:tcW w:w="984" w:type="dxa"/>
            <w:gridSpan w:val="2"/>
            <w:tcBorders>
              <w:top w:val="inset" w:color="auto" w:sz="6" w:space="0"/>
              <w:left w:val="inset" w:color="auto" w:sz="6" w:space="0"/>
              <w:bottom w:val="inset" w:color="auto" w:sz="6" w:space="0"/>
              <w:right w:val="inset" w:color="auto" w:sz="6" w:space="0"/>
            </w:tcBorders>
            <w:vAlign w:val="center"/>
          </w:tcPr>
          <w:p w14:paraId="431D574D">
            <w:pPr>
              <w:wordWrap w:val="0"/>
              <w:spacing w:before="100" w:beforeAutospacing="1" w:after="100" w:afterAutospacing="1"/>
              <w:jc w:val="center"/>
              <w:rPr>
                <w:rFonts w:hint="default" w:ascii="宋体" w:hAnsi="宋体" w:eastAsia="宋体" w:cs="宋体"/>
                <w:highlight w:val="none"/>
                <w:lang w:val="en-US" w:eastAsia="zh-CN"/>
              </w:rPr>
            </w:pPr>
            <w:r>
              <w:rPr>
                <w:rFonts w:hint="default"/>
                <w:highlight w:val="none"/>
                <w:lang w:val="en-US"/>
              </w:rPr>
              <w:t>项目经理任职资格</w:t>
            </w:r>
            <w:r>
              <w:rPr>
                <w:rFonts w:hint="eastAsia"/>
                <w:highlight w:val="none"/>
                <w:lang w:val="en-US" w:eastAsia="zh-CN"/>
              </w:rPr>
              <w:t>与业绩</w:t>
            </w:r>
          </w:p>
        </w:tc>
        <w:tc>
          <w:tcPr>
            <w:tcW w:w="731" w:type="dxa"/>
            <w:tcBorders>
              <w:top w:val="inset" w:color="auto" w:sz="6" w:space="0"/>
              <w:left w:val="inset" w:color="auto" w:sz="6" w:space="0"/>
              <w:bottom w:val="inset" w:color="auto" w:sz="6" w:space="0"/>
              <w:right w:val="inset" w:color="auto" w:sz="6" w:space="0"/>
            </w:tcBorders>
            <w:vAlign w:val="center"/>
          </w:tcPr>
          <w:p w14:paraId="4036E7E0">
            <w:pPr>
              <w:wordWrap w:val="0"/>
              <w:spacing w:before="100" w:beforeAutospacing="1" w:after="100" w:afterAutospacing="1"/>
              <w:jc w:val="center"/>
              <w:rPr>
                <w:rFonts w:hint="default" w:ascii="宋体" w:hAnsi="宋体" w:cs="宋体"/>
                <w:highlight w:val="none"/>
                <w:lang w:val="en-US"/>
              </w:rPr>
            </w:pPr>
            <w:r>
              <w:rPr>
                <w:rFonts w:hint="eastAsia" w:ascii="宋体" w:hAnsi="宋体" w:cs="宋体"/>
                <w:highlight w:val="none"/>
                <w:lang w:val="en-US" w:eastAsia="zh-CN"/>
              </w:rPr>
              <w:t>20</w:t>
            </w:r>
            <w:r>
              <w:rPr>
                <w:rFonts w:hint="default"/>
                <w:highlight w:val="none"/>
                <w:lang w:val="en-US"/>
              </w:rPr>
              <w:t>分</w:t>
            </w:r>
          </w:p>
        </w:tc>
        <w:tc>
          <w:tcPr>
            <w:tcW w:w="4988" w:type="dxa"/>
            <w:tcBorders>
              <w:top w:val="inset" w:color="auto" w:sz="6" w:space="0"/>
              <w:left w:val="inset" w:color="auto" w:sz="6" w:space="0"/>
              <w:bottom w:val="inset" w:color="auto" w:sz="6" w:space="0"/>
              <w:right w:val="single" w:color="auto" w:sz="12" w:space="0"/>
            </w:tcBorders>
            <w:vAlign w:val="center"/>
          </w:tcPr>
          <w:p w14:paraId="166E773B">
            <w:pPr>
              <w:spacing w:line="360" w:lineRule="exac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满足招标文件基本要求得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val="en-US"/>
              </w:rPr>
              <w:t>分；</w:t>
            </w:r>
          </w:p>
          <w:p w14:paraId="37FCDA5F">
            <w:pPr>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加分条</w:t>
            </w:r>
            <w:r>
              <w:rPr>
                <w:rFonts w:hint="eastAsia" w:ascii="宋体" w:hAnsi="宋体" w:eastAsia="宋体" w:cs="宋体"/>
                <w:color w:val="auto"/>
                <w:sz w:val="21"/>
                <w:szCs w:val="21"/>
                <w:highlight w:val="none"/>
                <w:lang w:val="en-US" w:eastAsia="zh-CN"/>
              </w:rPr>
              <w:t>件如下：</w:t>
            </w:r>
          </w:p>
          <w:p w14:paraId="72D2A065">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①具备公路工程相关专业高级工程师及以上职称，加</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分；</w:t>
            </w:r>
          </w:p>
          <w:p w14:paraId="5A4F93F0">
            <w:pPr>
              <w:spacing w:line="360" w:lineRule="exact"/>
              <w:rPr>
                <w:rFonts w:hint="eastAsia" w:ascii="宋体" w:hAnsi="宋体" w:eastAsia="宋体" w:cs="宋体"/>
                <w:sz w:val="21"/>
                <w:szCs w:val="21"/>
                <w:highlight w:val="none"/>
                <w:lang w:val="en-US"/>
              </w:rPr>
            </w:pPr>
            <w:r>
              <w:rPr>
                <w:rFonts w:hint="default" w:ascii="宋体" w:hAnsi="宋体" w:eastAsia="宋体" w:cs="宋体"/>
                <w:color w:val="auto"/>
                <w:sz w:val="21"/>
                <w:szCs w:val="21"/>
                <w:highlight w:val="none"/>
                <w:lang w:val="en-US" w:eastAsia="en-US"/>
              </w:rPr>
              <w:t>②</w:t>
            </w:r>
            <w:r>
              <w:rPr>
                <w:rFonts w:hint="eastAsia" w:ascii="宋体" w:hAnsi="宋体" w:eastAsia="宋体" w:cs="宋体"/>
                <w:color w:val="auto"/>
                <w:sz w:val="21"/>
                <w:szCs w:val="21"/>
                <w:highlight w:val="none"/>
                <w:lang w:val="en-US" w:eastAsia="en-US"/>
              </w:rPr>
              <w:t>在所有已交工业绩中，具有1个二级及以上公路桥梁项目主体工程施工的项目经理业绩，加</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en-US"/>
              </w:rPr>
              <w:t>分</w:t>
            </w:r>
            <w:r>
              <w:rPr>
                <w:rFonts w:hint="eastAsia" w:ascii="宋体" w:hAnsi="宋体" w:cs="宋体"/>
                <w:color w:val="auto"/>
                <w:sz w:val="21"/>
                <w:szCs w:val="21"/>
                <w:highlight w:val="none"/>
                <w:lang w:val="en-US" w:eastAsia="zh-CN"/>
              </w:rPr>
              <w:t>，最多加4分</w:t>
            </w:r>
            <w:r>
              <w:rPr>
                <w:rFonts w:hint="eastAsia" w:ascii="宋体" w:hAnsi="宋体" w:eastAsia="宋体" w:cs="宋体"/>
                <w:color w:val="auto"/>
                <w:sz w:val="21"/>
                <w:szCs w:val="21"/>
                <w:highlight w:val="none"/>
                <w:lang w:val="en-US"/>
              </w:rPr>
              <w:t>。</w:t>
            </w:r>
          </w:p>
        </w:tc>
      </w:tr>
      <w:tr w14:paraId="7B1E72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157" w:hRule="atLeast"/>
          <w:jc w:val="center"/>
        </w:trPr>
        <w:tc>
          <w:tcPr>
            <w:tcW w:w="948" w:type="dxa"/>
            <w:vMerge w:val="continue"/>
            <w:tcBorders>
              <w:top w:val="inset" w:color="auto" w:sz="6" w:space="0"/>
              <w:left w:val="single" w:color="auto" w:sz="12" w:space="0"/>
              <w:bottom w:val="inset" w:color="auto" w:sz="6" w:space="0"/>
              <w:right w:val="inset" w:color="auto" w:sz="6" w:space="0"/>
            </w:tcBorders>
            <w:vAlign w:val="center"/>
          </w:tcPr>
          <w:p w14:paraId="3CD24F1C">
            <w:pPr>
              <w:kinsoku/>
              <w:autoSpaceDE/>
              <w:autoSpaceDN/>
              <w:adjustRightInd/>
              <w:snapToGrid/>
              <w:textAlignment w:val="auto"/>
              <w:rPr>
                <w:rFonts w:hint="default" w:ascii="宋体" w:hAnsi="宋体" w:cs="宋体"/>
                <w:lang w:val="en-US"/>
              </w:rPr>
            </w:pPr>
          </w:p>
        </w:tc>
        <w:tc>
          <w:tcPr>
            <w:tcW w:w="701" w:type="dxa"/>
            <w:vMerge w:val="continue"/>
            <w:tcBorders>
              <w:top w:val="inset" w:color="auto" w:sz="6" w:space="0"/>
              <w:left w:val="inset" w:color="auto" w:sz="6" w:space="0"/>
              <w:bottom w:val="inset" w:color="auto" w:sz="6" w:space="0"/>
              <w:right w:val="inset" w:color="auto" w:sz="6" w:space="0"/>
            </w:tcBorders>
            <w:vAlign w:val="center"/>
          </w:tcPr>
          <w:p w14:paraId="694AB2E6">
            <w:pPr>
              <w:kinsoku/>
              <w:autoSpaceDE/>
              <w:autoSpaceDN/>
              <w:adjustRightInd/>
              <w:snapToGrid/>
              <w:textAlignment w:val="auto"/>
              <w:rPr>
                <w:rFonts w:hint="default" w:ascii="宋体" w:hAnsi="宋体" w:cs="宋体"/>
                <w:lang w:val="en-US"/>
              </w:rPr>
            </w:pPr>
          </w:p>
        </w:tc>
        <w:tc>
          <w:tcPr>
            <w:tcW w:w="488" w:type="dxa"/>
            <w:vMerge w:val="continue"/>
            <w:tcBorders>
              <w:top w:val="inset" w:color="auto" w:sz="6" w:space="0"/>
              <w:left w:val="inset" w:color="auto" w:sz="6" w:space="0"/>
              <w:bottom w:val="inset" w:color="auto" w:sz="6" w:space="0"/>
              <w:right w:val="inset" w:color="auto" w:sz="6" w:space="0"/>
            </w:tcBorders>
            <w:vAlign w:val="center"/>
          </w:tcPr>
          <w:p w14:paraId="16B31BAD">
            <w:pPr>
              <w:kinsoku/>
              <w:autoSpaceDE/>
              <w:autoSpaceDN/>
              <w:adjustRightInd/>
              <w:snapToGrid/>
              <w:textAlignment w:val="auto"/>
              <w:rPr>
                <w:rFonts w:hint="default" w:ascii="宋体" w:hAnsi="宋体" w:cs="宋体"/>
                <w:lang w:val="en-US"/>
              </w:rPr>
            </w:pPr>
          </w:p>
        </w:tc>
        <w:tc>
          <w:tcPr>
            <w:tcW w:w="984" w:type="dxa"/>
            <w:gridSpan w:val="2"/>
            <w:tcBorders>
              <w:top w:val="inset" w:color="auto" w:sz="6" w:space="0"/>
              <w:left w:val="inset" w:color="auto" w:sz="6" w:space="0"/>
              <w:bottom w:val="inset" w:color="auto" w:sz="6" w:space="0"/>
              <w:right w:val="inset" w:color="auto" w:sz="6" w:space="0"/>
            </w:tcBorders>
            <w:vAlign w:val="center"/>
          </w:tcPr>
          <w:p w14:paraId="211FE3B0">
            <w:pPr>
              <w:jc w:val="center"/>
              <w:rPr>
                <w:rFonts w:hint="default" w:ascii="宋体" w:hAnsi="宋体" w:eastAsia="宋体" w:cs="宋体"/>
                <w:highlight w:val="none"/>
                <w:lang w:val="en-US" w:eastAsia="zh-CN"/>
              </w:rPr>
            </w:pPr>
            <w:r>
              <w:rPr>
                <w:rFonts w:hint="default"/>
                <w:highlight w:val="none"/>
                <w:lang w:val="en-US"/>
              </w:rPr>
              <w:t>项目总工任职资格</w:t>
            </w:r>
            <w:r>
              <w:rPr>
                <w:rFonts w:hint="eastAsia"/>
                <w:highlight w:val="none"/>
                <w:lang w:val="en-US" w:eastAsia="zh-CN"/>
              </w:rPr>
              <w:t>与业绩</w:t>
            </w:r>
          </w:p>
        </w:tc>
        <w:tc>
          <w:tcPr>
            <w:tcW w:w="731" w:type="dxa"/>
            <w:tcBorders>
              <w:top w:val="inset" w:color="auto" w:sz="6" w:space="0"/>
              <w:left w:val="inset" w:color="auto" w:sz="6" w:space="0"/>
              <w:bottom w:val="inset" w:color="auto" w:sz="6" w:space="0"/>
              <w:right w:val="inset" w:color="auto" w:sz="6" w:space="0"/>
            </w:tcBorders>
            <w:vAlign w:val="center"/>
          </w:tcPr>
          <w:p w14:paraId="4673DAD4">
            <w:pPr>
              <w:jc w:val="center"/>
              <w:rPr>
                <w:rFonts w:hint="default" w:ascii="宋体" w:hAnsi="宋体" w:cs="宋体"/>
                <w:highlight w:val="none"/>
                <w:lang w:val="en-US"/>
              </w:rPr>
            </w:pPr>
            <w:r>
              <w:rPr>
                <w:rFonts w:hint="default" w:ascii="宋体" w:hAnsi="宋体" w:cs="宋体"/>
                <w:highlight w:val="none"/>
                <w:lang w:val="en-US"/>
              </w:rPr>
              <w:t>1</w:t>
            </w:r>
            <w:r>
              <w:rPr>
                <w:rFonts w:hint="eastAsia" w:ascii="宋体" w:hAnsi="宋体" w:cs="宋体"/>
                <w:highlight w:val="none"/>
                <w:lang w:val="en-US" w:eastAsia="zh-CN"/>
              </w:rPr>
              <w:t>0</w:t>
            </w:r>
            <w:r>
              <w:rPr>
                <w:rFonts w:hint="default"/>
                <w:highlight w:val="none"/>
                <w:lang w:val="en-US"/>
              </w:rPr>
              <w:t>分</w:t>
            </w:r>
          </w:p>
        </w:tc>
        <w:tc>
          <w:tcPr>
            <w:tcW w:w="4988" w:type="dxa"/>
            <w:tcBorders>
              <w:top w:val="inset" w:color="auto" w:sz="6" w:space="0"/>
              <w:left w:val="inset" w:color="auto" w:sz="6" w:space="0"/>
              <w:bottom w:val="inset" w:color="auto" w:sz="6" w:space="0"/>
              <w:right w:val="single" w:color="auto" w:sz="12" w:space="0"/>
            </w:tcBorders>
            <w:vAlign w:val="center"/>
          </w:tcPr>
          <w:p w14:paraId="54A15716">
            <w:pP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满足招标文件基本要求得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rPr>
              <w:t>分；</w:t>
            </w:r>
          </w:p>
          <w:p w14:paraId="57728DD3">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加分条件如下：</w:t>
            </w:r>
          </w:p>
          <w:p w14:paraId="04F6A36B">
            <w:pP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lang w:val="en-US" w:eastAsia="en-US"/>
              </w:rPr>
              <w:t>在所有已交工业绩中，具有1个二级及以上公路桥梁项目主体工程施工的项目总工业绩，加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en-US"/>
              </w:rPr>
              <w:t>分，最多加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en-US"/>
              </w:rPr>
              <w:t>分</w:t>
            </w:r>
            <w:r>
              <w:rPr>
                <w:rFonts w:hint="eastAsia" w:ascii="宋体" w:hAnsi="宋体" w:eastAsia="宋体" w:cs="宋体"/>
                <w:sz w:val="21"/>
                <w:szCs w:val="21"/>
                <w:highlight w:val="none"/>
                <w:lang w:val="en-US"/>
              </w:rPr>
              <w:t>。</w:t>
            </w:r>
          </w:p>
        </w:tc>
      </w:tr>
      <w:tr w14:paraId="045D84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775" w:hRule="atLeast"/>
          <w:jc w:val="center"/>
        </w:trPr>
        <w:tc>
          <w:tcPr>
            <w:tcW w:w="948" w:type="dxa"/>
            <w:vMerge w:val="restart"/>
            <w:tcBorders>
              <w:top w:val="inset" w:color="auto" w:sz="6" w:space="0"/>
              <w:left w:val="single" w:color="auto" w:sz="12" w:space="0"/>
              <w:bottom w:val="inset" w:color="auto" w:sz="6" w:space="0"/>
              <w:right w:val="inset" w:color="auto" w:sz="6" w:space="0"/>
            </w:tcBorders>
            <w:vAlign w:val="center"/>
          </w:tcPr>
          <w:p w14:paraId="173C95DA">
            <w:pPr>
              <w:wordWrap w:val="0"/>
              <w:spacing w:before="100" w:beforeAutospacing="1" w:after="100" w:afterAutospacing="1"/>
              <w:jc w:val="center"/>
              <w:rPr>
                <w:rFonts w:hint="default" w:ascii="宋体" w:hAnsi="宋体" w:cs="宋体"/>
                <w:lang w:val="en-US"/>
              </w:rPr>
            </w:pPr>
            <w:r>
              <w:rPr>
                <w:rFonts w:hint="default" w:ascii="宋体" w:hAnsi="宋体" w:cs="宋体"/>
                <w:lang w:val="en-US"/>
              </w:rPr>
              <w:t>2.2.2</w:t>
            </w:r>
          </w:p>
          <w:p w14:paraId="78B84E95">
            <w:pPr>
              <w:wordWrap w:val="0"/>
              <w:spacing w:before="100" w:beforeAutospacing="1" w:after="100" w:afterAutospacing="1"/>
              <w:jc w:val="center"/>
              <w:rPr>
                <w:rFonts w:hint="default" w:ascii="宋体" w:hAnsi="宋体" w:cs="宋体"/>
                <w:lang w:val="en-US"/>
              </w:rPr>
            </w:pPr>
            <w:r>
              <w:rPr>
                <w:rFonts w:hint="default"/>
                <w:lang w:val="en-US"/>
              </w:rPr>
              <w:t>（</w:t>
            </w:r>
            <w:r>
              <w:rPr>
                <w:rFonts w:hint="default" w:ascii="宋体" w:hAnsi="宋体" w:cs="宋体"/>
                <w:lang w:val="en-US"/>
              </w:rPr>
              <w:t>3</w:t>
            </w:r>
            <w:r>
              <w:rPr>
                <w:rFonts w:hint="default"/>
                <w:lang w:val="en-US"/>
              </w:rPr>
              <w:t>）</w:t>
            </w:r>
          </w:p>
        </w:tc>
        <w:tc>
          <w:tcPr>
            <w:tcW w:w="701" w:type="dxa"/>
            <w:vMerge w:val="restart"/>
            <w:tcBorders>
              <w:top w:val="inset" w:color="auto" w:sz="6" w:space="0"/>
              <w:left w:val="inset" w:color="auto" w:sz="6" w:space="0"/>
              <w:bottom w:val="inset" w:color="auto" w:sz="6" w:space="0"/>
              <w:right w:val="inset" w:color="auto" w:sz="6" w:space="0"/>
            </w:tcBorders>
            <w:vAlign w:val="center"/>
          </w:tcPr>
          <w:p w14:paraId="02866DEC">
            <w:pPr>
              <w:wordWrap w:val="0"/>
              <w:spacing w:before="100" w:beforeAutospacing="1" w:after="100" w:afterAutospacing="1"/>
              <w:jc w:val="center"/>
              <w:rPr>
                <w:rFonts w:hint="default" w:ascii="宋体" w:hAnsi="宋体" w:cs="宋体"/>
                <w:lang w:val="en-US"/>
              </w:rPr>
            </w:pPr>
          </w:p>
          <w:p w14:paraId="1672E629">
            <w:pPr>
              <w:wordWrap w:val="0"/>
              <w:spacing w:before="100" w:beforeAutospacing="1" w:after="100" w:afterAutospacing="1"/>
              <w:jc w:val="center"/>
              <w:rPr>
                <w:rFonts w:hint="default" w:ascii="宋体" w:hAnsi="宋体" w:cs="宋体"/>
                <w:lang w:val="en-US"/>
              </w:rPr>
            </w:pPr>
            <w:r>
              <w:rPr>
                <w:rFonts w:hint="default"/>
                <w:lang w:val="en-US"/>
              </w:rPr>
              <w:t>其他</w:t>
            </w:r>
          </w:p>
          <w:p w14:paraId="3D40C4A5">
            <w:pPr>
              <w:wordWrap w:val="0"/>
              <w:spacing w:before="100" w:beforeAutospacing="1" w:after="100" w:afterAutospacing="1"/>
              <w:jc w:val="center"/>
              <w:rPr>
                <w:rFonts w:hint="default" w:ascii="宋体" w:hAnsi="宋体" w:cs="宋体"/>
                <w:lang w:val="en-US"/>
              </w:rPr>
            </w:pPr>
            <w:r>
              <w:rPr>
                <w:rFonts w:hint="default"/>
                <w:lang w:val="en-US"/>
              </w:rPr>
              <w:t>因素</w:t>
            </w:r>
          </w:p>
        </w:tc>
        <w:tc>
          <w:tcPr>
            <w:tcW w:w="488" w:type="dxa"/>
            <w:vMerge w:val="restart"/>
            <w:tcBorders>
              <w:top w:val="inset" w:color="auto" w:sz="6" w:space="0"/>
              <w:left w:val="inset" w:color="auto" w:sz="6" w:space="0"/>
              <w:bottom w:val="inset" w:color="auto" w:sz="6" w:space="0"/>
              <w:right w:val="inset" w:color="auto" w:sz="6" w:space="0"/>
            </w:tcBorders>
            <w:vAlign w:val="center"/>
          </w:tcPr>
          <w:p w14:paraId="32A3E3C3">
            <w:pPr>
              <w:wordWrap w:val="0"/>
              <w:spacing w:before="100" w:beforeAutospacing="1" w:after="100" w:afterAutospacing="1"/>
              <w:jc w:val="center"/>
              <w:rPr>
                <w:rFonts w:hint="default" w:ascii="宋体" w:hAnsi="宋体" w:cs="宋体"/>
                <w:lang w:val="en-US"/>
              </w:rPr>
            </w:pPr>
            <w:r>
              <w:rPr>
                <w:rFonts w:hint="default" w:ascii="宋体" w:hAnsi="宋体" w:cs="宋体"/>
                <w:lang w:val="en-US" w:eastAsia="zh-CN"/>
              </w:rPr>
              <w:t>35</w:t>
            </w:r>
            <w:r>
              <w:rPr>
                <w:rFonts w:hint="default"/>
                <w:lang w:val="en-US"/>
              </w:rPr>
              <w:t>分</w:t>
            </w:r>
          </w:p>
        </w:tc>
        <w:tc>
          <w:tcPr>
            <w:tcW w:w="984" w:type="dxa"/>
            <w:gridSpan w:val="2"/>
            <w:tcBorders>
              <w:top w:val="inset" w:color="auto" w:sz="6" w:space="0"/>
              <w:left w:val="inset" w:color="auto" w:sz="6" w:space="0"/>
              <w:bottom w:val="inset" w:color="auto" w:sz="6" w:space="0"/>
              <w:right w:val="inset" w:color="auto" w:sz="6" w:space="0"/>
            </w:tcBorders>
            <w:vAlign w:val="center"/>
          </w:tcPr>
          <w:p w14:paraId="509DA947">
            <w:pPr>
              <w:wordWrap w:val="0"/>
              <w:spacing w:before="100" w:beforeAutospacing="1" w:after="100" w:afterAutospacing="1"/>
              <w:jc w:val="center"/>
              <w:rPr>
                <w:rFonts w:hint="default" w:ascii="宋体" w:hAnsi="宋体" w:cs="宋体"/>
                <w:color w:val="auto"/>
                <w:lang w:val="en-US"/>
              </w:rPr>
            </w:pPr>
            <w:r>
              <w:rPr>
                <w:rFonts w:hint="default"/>
                <w:color w:val="auto"/>
                <w:lang w:val="en-US"/>
              </w:rPr>
              <w:t>履约信誉</w:t>
            </w:r>
          </w:p>
        </w:tc>
        <w:tc>
          <w:tcPr>
            <w:tcW w:w="731" w:type="dxa"/>
            <w:tcBorders>
              <w:top w:val="inset" w:color="auto" w:sz="6" w:space="0"/>
              <w:left w:val="inset" w:color="auto" w:sz="6" w:space="0"/>
              <w:bottom w:val="inset" w:color="auto" w:sz="6" w:space="0"/>
              <w:right w:val="inset" w:color="auto" w:sz="6" w:space="0"/>
            </w:tcBorders>
            <w:vAlign w:val="center"/>
          </w:tcPr>
          <w:p w14:paraId="2DF4044E">
            <w:pPr>
              <w:wordWrap w:val="0"/>
              <w:spacing w:before="100" w:beforeAutospacing="1" w:after="100" w:afterAutospacing="1"/>
              <w:jc w:val="center"/>
              <w:rPr>
                <w:rFonts w:hint="default" w:ascii="宋体" w:hAnsi="宋体" w:cs="宋体"/>
                <w:color w:val="auto"/>
                <w:lang w:val="en-US"/>
              </w:rPr>
            </w:pPr>
            <w:r>
              <w:rPr>
                <w:rFonts w:hint="default" w:ascii="宋体" w:hAnsi="宋体" w:cs="宋体"/>
                <w:color w:val="auto"/>
                <w:lang w:val="en-US" w:eastAsia="zh-CN"/>
              </w:rPr>
              <w:t>5</w:t>
            </w:r>
            <w:r>
              <w:rPr>
                <w:rFonts w:hint="default"/>
                <w:color w:val="auto"/>
                <w:lang w:val="en-US"/>
              </w:rPr>
              <w:t>分</w:t>
            </w:r>
          </w:p>
        </w:tc>
        <w:tc>
          <w:tcPr>
            <w:tcW w:w="4988" w:type="dxa"/>
            <w:tcBorders>
              <w:top w:val="inset" w:color="auto" w:sz="6" w:space="0"/>
              <w:left w:val="inset" w:color="auto" w:sz="6" w:space="0"/>
              <w:bottom w:val="inset" w:color="auto" w:sz="6" w:space="0"/>
              <w:right w:val="single" w:color="auto" w:sz="12" w:space="0"/>
            </w:tcBorders>
            <w:vAlign w:val="center"/>
          </w:tcPr>
          <w:p w14:paraId="57ED6C55">
            <w:pP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满足招标文件基本要求得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en-US"/>
              </w:rPr>
              <w:t>分；</w:t>
            </w:r>
          </w:p>
          <w:p w14:paraId="5E6EF618">
            <w:pP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加分条件如下：</w:t>
            </w:r>
          </w:p>
          <w:p w14:paraId="65213654">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①202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en-US"/>
              </w:rPr>
              <w:t>年度被黑龙江省交通运输厅或</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年度被交通运输部</w:t>
            </w:r>
            <w:r>
              <w:rPr>
                <w:rFonts w:hint="eastAsia" w:ascii="宋体" w:hAnsi="宋体" w:eastAsia="宋体" w:cs="宋体"/>
                <w:color w:val="auto"/>
                <w:sz w:val="21"/>
                <w:szCs w:val="21"/>
                <w:lang w:val="en-US" w:eastAsia="en-US"/>
              </w:rPr>
              <w:t>认定为施工企业A级信用评价等级的，</w:t>
            </w:r>
            <w:r>
              <w:rPr>
                <w:rFonts w:hint="eastAsia" w:ascii="宋体" w:hAnsi="宋体" w:eastAsia="宋体" w:cs="宋体"/>
                <w:color w:val="auto"/>
                <w:sz w:val="21"/>
                <w:szCs w:val="21"/>
                <w:lang w:val="en-US" w:eastAsia="zh-CN"/>
              </w:rPr>
              <w:t>加1</w:t>
            </w:r>
            <w:r>
              <w:rPr>
                <w:rFonts w:hint="eastAsia" w:ascii="宋体" w:hAnsi="宋体" w:eastAsia="宋体" w:cs="宋体"/>
                <w:color w:val="auto"/>
                <w:sz w:val="21"/>
                <w:szCs w:val="21"/>
                <w:lang w:val="en-US" w:eastAsia="en-US"/>
              </w:rPr>
              <w:t>分</w:t>
            </w:r>
            <w:r>
              <w:rPr>
                <w:rFonts w:hint="eastAsia" w:ascii="宋体" w:hAnsi="宋体" w:eastAsia="宋体" w:cs="宋体"/>
                <w:color w:val="auto"/>
                <w:sz w:val="21"/>
                <w:szCs w:val="21"/>
                <w:lang w:val="en-US" w:eastAsia="zh-CN"/>
              </w:rPr>
              <w:t>；</w:t>
            </w:r>
          </w:p>
          <w:p w14:paraId="7E142BF8">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②20</w:t>
            </w: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val="en-US" w:eastAsia="en-US"/>
              </w:rPr>
              <w:t>年度被黑龙江省交通运输厅或</w:t>
            </w: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val="en-US" w:eastAsia="zh-CN"/>
              </w:rPr>
              <w:t>年度被交通运输部</w:t>
            </w:r>
            <w:r>
              <w:rPr>
                <w:rFonts w:hint="eastAsia" w:ascii="宋体" w:hAnsi="宋体" w:eastAsia="宋体" w:cs="宋体"/>
                <w:color w:val="auto"/>
                <w:sz w:val="21"/>
                <w:szCs w:val="21"/>
                <w:lang w:val="en-US" w:eastAsia="en-US"/>
              </w:rPr>
              <w:t>认定为施工企业AA级信用评价等级的，</w:t>
            </w:r>
            <w:r>
              <w:rPr>
                <w:rFonts w:hint="eastAsia" w:ascii="宋体" w:hAnsi="宋体" w:eastAsia="宋体" w:cs="宋体"/>
                <w:color w:val="auto"/>
                <w:sz w:val="21"/>
                <w:szCs w:val="21"/>
                <w:lang w:val="en-US" w:eastAsia="zh-CN"/>
              </w:rPr>
              <w:t>加</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en-US"/>
              </w:rPr>
              <w:t>分</w:t>
            </w:r>
            <w:r>
              <w:rPr>
                <w:rFonts w:hint="eastAsia" w:ascii="宋体" w:hAnsi="宋体" w:eastAsia="宋体" w:cs="宋体"/>
                <w:color w:val="auto"/>
                <w:sz w:val="21"/>
                <w:szCs w:val="21"/>
                <w:lang w:val="en-US" w:eastAsia="zh-CN"/>
              </w:rPr>
              <w:t>。</w:t>
            </w:r>
          </w:p>
          <w:p w14:paraId="3DB7E3A2">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注：加分项不累计，只计一次最高分，本项最高加分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en-US"/>
              </w:rPr>
              <w:t>分。</w:t>
            </w:r>
          </w:p>
        </w:tc>
      </w:tr>
      <w:tr w14:paraId="46D9DDB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775" w:hRule="atLeast"/>
          <w:jc w:val="center"/>
        </w:trPr>
        <w:tc>
          <w:tcPr>
            <w:tcW w:w="948" w:type="dxa"/>
            <w:vMerge w:val="continue"/>
            <w:tcBorders>
              <w:left w:val="single" w:color="auto" w:sz="12" w:space="0"/>
              <w:right w:val="inset" w:color="auto" w:sz="6" w:space="0"/>
            </w:tcBorders>
            <w:vAlign w:val="center"/>
          </w:tcPr>
          <w:p w14:paraId="7130B0C8">
            <w:pPr>
              <w:wordWrap w:val="0"/>
              <w:spacing w:before="100" w:beforeAutospacing="1" w:after="100" w:afterAutospacing="1"/>
              <w:jc w:val="center"/>
              <w:rPr>
                <w:rFonts w:hint="default" w:ascii="宋体" w:hAnsi="宋体" w:cs="宋体"/>
                <w:lang w:val="en-US"/>
              </w:rPr>
            </w:pPr>
          </w:p>
        </w:tc>
        <w:tc>
          <w:tcPr>
            <w:tcW w:w="701" w:type="dxa"/>
            <w:vMerge w:val="continue"/>
            <w:tcBorders>
              <w:left w:val="inset" w:color="auto" w:sz="6" w:space="0"/>
              <w:right w:val="inset" w:color="auto" w:sz="6" w:space="0"/>
            </w:tcBorders>
            <w:vAlign w:val="center"/>
          </w:tcPr>
          <w:p w14:paraId="5E8555B6">
            <w:pPr>
              <w:wordWrap w:val="0"/>
              <w:spacing w:before="100" w:beforeAutospacing="1" w:after="100" w:afterAutospacing="1"/>
              <w:jc w:val="center"/>
              <w:rPr>
                <w:rFonts w:hint="default"/>
                <w:lang w:val="en-US"/>
              </w:rPr>
            </w:pPr>
          </w:p>
        </w:tc>
        <w:tc>
          <w:tcPr>
            <w:tcW w:w="488" w:type="dxa"/>
            <w:vMerge w:val="continue"/>
            <w:tcBorders>
              <w:left w:val="inset" w:color="auto" w:sz="6" w:space="0"/>
              <w:right w:val="inset" w:color="auto" w:sz="6" w:space="0"/>
            </w:tcBorders>
            <w:vAlign w:val="center"/>
          </w:tcPr>
          <w:p w14:paraId="6600FDA8">
            <w:pPr>
              <w:wordWrap w:val="0"/>
              <w:spacing w:before="100" w:beforeAutospacing="1" w:after="100" w:afterAutospacing="1"/>
              <w:jc w:val="center"/>
              <w:rPr>
                <w:rFonts w:hint="default" w:ascii="宋体" w:hAnsi="宋体" w:cs="宋体"/>
                <w:lang w:val="en-US" w:eastAsia="zh-CN"/>
              </w:rPr>
            </w:pPr>
          </w:p>
        </w:tc>
        <w:tc>
          <w:tcPr>
            <w:tcW w:w="984" w:type="dxa"/>
            <w:gridSpan w:val="2"/>
            <w:tcBorders>
              <w:top w:val="inset" w:color="auto" w:sz="6" w:space="0"/>
              <w:left w:val="inset" w:color="auto" w:sz="6" w:space="0"/>
              <w:bottom w:val="inset" w:color="auto" w:sz="6" w:space="0"/>
              <w:right w:val="inset" w:color="auto" w:sz="6" w:space="0"/>
            </w:tcBorders>
            <w:vAlign w:val="center"/>
          </w:tcPr>
          <w:p w14:paraId="122BD36D">
            <w:pPr>
              <w:wordWrap w:val="0"/>
              <w:spacing w:before="100" w:beforeAutospacing="1" w:after="100" w:afterAutospacing="1"/>
              <w:jc w:val="center"/>
              <w:rPr>
                <w:rFonts w:hint="default" w:eastAsia="宋体"/>
                <w:color w:val="auto"/>
                <w:lang w:val="en-US" w:eastAsia="zh-CN"/>
              </w:rPr>
            </w:pPr>
            <w:r>
              <w:rPr>
                <w:rFonts w:hint="default"/>
                <w:color w:val="auto"/>
                <w:lang w:val="en-US" w:eastAsia="zh-CN"/>
              </w:rPr>
              <w:t>技术能力</w:t>
            </w:r>
          </w:p>
        </w:tc>
        <w:tc>
          <w:tcPr>
            <w:tcW w:w="731" w:type="dxa"/>
            <w:tcBorders>
              <w:top w:val="inset" w:color="auto" w:sz="6" w:space="0"/>
              <w:left w:val="inset" w:color="auto" w:sz="6" w:space="0"/>
              <w:bottom w:val="inset" w:color="auto" w:sz="6" w:space="0"/>
              <w:right w:val="inset" w:color="auto" w:sz="6" w:space="0"/>
            </w:tcBorders>
            <w:vAlign w:val="center"/>
          </w:tcPr>
          <w:p w14:paraId="17CAE9A7">
            <w:pPr>
              <w:wordWrap w:val="0"/>
              <w:spacing w:before="100" w:beforeAutospacing="1" w:after="100" w:afterAutospacing="1"/>
              <w:jc w:val="center"/>
              <w:rPr>
                <w:rFonts w:hint="default" w:ascii="宋体" w:hAnsi="宋体" w:cs="宋体"/>
                <w:color w:val="auto"/>
                <w:lang w:val="en-US" w:eastAsia="zh-CN"/>
              </w:rPr>
            </w:pPr>
            <w:r>
              <w:rPr>
                <w:rFonts w:hint="default" w:ascii="宋体" w:hAnsi="宋体" w:cs="宋体"/>
                <w:color w:val="auto"/>
                <w:lang w:val="en-US" w:eastAsia="zh-CN"/>
              </w:rPr>
              <w:t>10分</w:t>
            </w:r>
          </w:p>
        </w:tc>
        <w:tc>
          <w:tcPr>
            <w:tcW w:w="4988" w:type="dxa"/>
            <w:tcBorders>
              <w:top w:val="inset" w:color="auto" w:sz="6" w:space="0"/>
              <w:left w:val="inset" w:color="auto" w:sz="6" w:space="0"/>
              <w:bottom w:val="inset" w:color="auto" w:sz="6" w:space="0"/>
              <w:right w:val="single" w:color="auto" w:sz="12" w:space="0"/>
            </w:tcBorders>
            <w:vAlign w:val="center"/>
          </w:tcPr>
          <w:p w14:paraId="1C26BB39">
            <w:pPr>
              <w:pStyle w:val="3"/>
              <w:ind w:firstLine="210" w:firstLineChars="1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投标人有对单位自身的科研开发和技术创新能力的描述的，得10分。未对单位自身的科研开发和技术创新能力进行描述的扣4分，本项最低得6分。</w:t>
            </w:r>
          </w:p>
        </w:tc>
      </w:tr>
      <w:tr w14:paraId="065A43C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852" w:hRule="atLeast"/>
          <w:jc w:val="center"/>
        </w:trPr>
        <w:tc>
          <w:tcPr>
            <w:tcW w:w="948" w:type="dxa"/>
            <w:vMerge w:val="continue"/>
            <w:tcBorders>
              <w:top w:val="inset" w:color="auto" w:sz="6" w:space="0"/>
              <w:left w:val="single" w:color="auto" w:sz="12" w:space="0"/>
              <w:bottom w:val="inset" w:color="auto" w:sz="6" w:space="0"/>
              <w:right w:val="inset" w:color="auto" w:sz="6" w:space="0"/>
            </w:tcBorders>
            <w:vAlign w:val="center"/>
          </w:tcPr>
          <w:p w14:paraId="5A54640B">
            <w:pPr>
              <w:kinsoku/>
              <w:autoSpaceDE/>
              <w:autoSpaceDN/>
              <w:adjustRightInd/>
              <w:snapToGrid/>
              <w:textAlignment w:val="auto"/>
              <w:rPr>
                <w:rFonts w:hint="default" w:ascii="宋体" w:hAnsi="宋体" w:cs="宋体"/>
                <w:lang w:val="en-US"/>
              </w:rPr>
            </w:pPr>
          </w:p>
        </w:tc>
        <w:tc>
          <w:tcPr>
            <w:tcW w:w="701" w:type="dxa"/>
            <w:vMerge w:val="continue"/>
            <w:tcBorders>
              <w:top w:val="inset" w:color="auto" w:sz="6" w:space="0"/>
              <w:left w:val="inset" w:color="auto" w:sz="6" w:space="0"/>
              <w:bottom w:val="inset" w:color="auto" w:sz="6" w:space="0"/>
              <w:right w:val="inset" w:color="auto" w:sz="6" w:space="0"/>
            </w:tcBorders>
            <w:vAlign w:val="center"/>
          </w:tcPr>
          <w:p w14:paraId="2E160E92">
            <w:pPr>
              <w:kinsoku/>
              <w:autoSpaceDE/>
              <w:autoSpaceDN/>
              <w:adjustRightInd/>
              <w:snapToGrid/>
              <w:textAlignment w:val="auto"/>
              <w:rPr>
                <w:rFonts w:hint="default" w:ascii="宋体" w:hAnsi="宋体" w:cs="宋体"/>
                <w:lang w:val="en-US"/>
              </w:rPr>
            </w:pPr>
          </w:p>
        </w:tc>
        <w:tc>
          <w:tcPr>
            <w:tcW w:w="488" w:type="dxa"/>
            <w:vMerge w:val="continue"/>
            <w:tcBorders>
              <w:top w:val="inset" w:color="auto" w:sz="6" w:space="0"/>
              <w:left w:val="inset" w:color="auto" w:sz="6" w:space="0"/>
              <w:bottom w:val="inset" w:color="auto" w:sz="6" w:space="0"/>
              <w:right w:val="inset" w:color="auto" w:sz="6" w:space="0"/>
            </w:tcBorders>
            <w:vAlign w:val="center"/>
          </w:tcPr>
          <w:p w14:paraId="20312D98">
            <w:pPr>
              <w:kinsoku/>
              <w:autoSpaceDE/>
              <w:autoSpaceDN/>
              <w:adjustRightInd/>
              <w:snapToGrid/>
              <w:textAlignment w:val="auto"/>
              <w:rPr>
                <w:rFonts w:hint="default" w:ascii="宋体" w:hAnsi="宋体" w:cs="宋体"/>
                <w:lang w:val="en-US"/>
              </w:rPr>
            </w:pPr>
          </w:p>
        </w:tc>
        <w:tc>
          <w:tcPr>
            <w:tcW w:w="984" w:type="dxa"/>
            <w:gridSpan w:val="2"/>
            <w:tcBorders>
              <w:top w:val="inset" w:color="auto" w:sz="6" w:space="0"/>
              <w:left w:val="inset" w:color="auto" w:sz="6" w:space="0"/>
              <w:bottom w:val="inset" w:color="auto" w:sz="6" w:space="0"/>
              <w:right w:val="inset" w:color="auto" w:sz="6" w:space="0"/>
            </w:tcBorders>
            <w:vAlign w:val="center"/>
          </w:tcPr>
          <w:p w14:paraId="3FA2A474">
            <w:pPr>
              <w:wordWrap w:val="0"/>
              <w:jc w:val="center"/>
              <w:rPr>
                <w:rFonts w:hint="default" w:ascii="宋体" w:hAnsi="宋体" w:cs="宋体"/>
                <w:highlight w:val="none"/>
                <w:lang w:val="en-US"/>
              </w:rPr>
            </w:pPr>
            <w:r>
              <w:rPr>
                <w:rFonts w:hint="default"/>
                <w:highlight w:val="none"/>
                <w:lang w:val="en-US"/>
              </w:rPr>
              <w:t>企业业绩</w:t>
            </w:r>
          </w:p>
        </w:tc>
        <w:tc>
          <w:tcPr>
            <w:tcW w:w="731" w:type="dxa"/>
            <w:tcBorders>
              <w:top w:val="inset" w:color="auto" w:sz="6" w:space="0"/>
              <w:left w:val="inset" w:color="auto" w:sz="6" w:space="0"/>
              <w:bottom w:val="inset" w:color="auto" w:sz="6" w:space="0"/>
              <w:right w:val="inset" w:color="auto" w:sz="6" w:space="0"/>
            </w:tcBorders>
            <w:vAlign w:val="center"/>
          </w:tcPr>
          <w:p w14:paraId="3E6ACB84">
            <w:pPr>
              <w:wordWrap w:val="0"/>
              <w:jc w:val="center"/>
              <w:rPr>
                <w:rFonts w:hint="default" w:ascii="宋体" w:hAnsi="宋体" w:cs="宋体"/>
                <w:highlight w:val="none"/>
                <w:lang w:val="en-US"/>
              </w:rPr>
            </w:pPr>
            <w:r>
              <w:rPr>
                <w:rFonts w:hint="default" w:ascii="宋体" w:hAnsi="宋体" w:eastAsia="宋体" w:cs="宋体"/>
                <w:color w:val="auto"/>
                <w:lang w:val="en-US" w:eastAsia="zh-CN"/>
              </w:rPr>
              <w:t>20</w:t>
            </w:r>
            <w:r>
              <w:rPr>
                <w:rFonts w:hint="default"/>
                <w:highlight w:val="none"/>
                <w:lang w:val="en-US"/>
              </w:rPr>
              <w:t>分</w:t>
            </w:r>
          </w:p>
        </w:tc>
        <w:tc>
          <w:tcPr>
            <w:tcW w:w="4988" w:type="dxa"/>
            <w:tcBorders>
              <w:top w:val="inset" w:color="auto" w:sz="6" w:space="0"/>
              <w:left w:val="inset" w:color="auto" w:sz="6" w:space="0"/>
              <w:bottom w:val="inset" w:color="auto" w:sz="6" w:space="0"/>
              <w:right w:val="single" w:color="auto" w:sz="12" w:space="0"/>
            </w:tcBorders>
            <w:vAlign w:val="center"/>
          </w:tcPr>
          <w:p w14:paraId="29A8A2D7">
            <w:pPr>
              <w:wordWrap w:val="0"/>
              <w:spacing w:line="360" w:lineRule="exact"/>
              <w:rPr>
                <w:rFonts w:hint="default" w:ascii="宋体" w:hAnsi="宋体" w:cs="宋体"/>
                <w:highlight w:val="none"/>
                <w:lang w:val="en-US"/>
              </w:rPr>
            </w:pPr>
            <w:r>
              <w:rPr>
                <w:rFonts w:hint="default"/>
                <w:highlight w:val="none"/>
                <w:lang w:val="en-US"/>
              </w:rPr>
              <w:t>满足资格审查条件（业绩最低要求）得</w:t>
            </w:r>
            <w:r>
              <w:rPr>
                <w:rFonts w:hint="default" w:ascii="宋体" w:hAnsi="宋体" w:cs="宋体"/>
                <w:highlight w:val="none"/>
                <w:lang w:val="en-US" w:eastAsia="zh-CN"/>
              </w:rPr>
              <w:t>12</w:t>
            </w:r>
            <w:r>
              <w:rPr>
                <w:rFonts w:hint="default"/>
                <w:highlight w:val="none"/>
                <w:lang w:val="en-US"/>
              </w:rPr>
              <w:t>分；</w:t>
            </w:r>
          </w:p>
          <w:p w14:paraId="6E5A5353">
            <w:pPr>
              <w:wordWrap w:val="0"/>
              <w:spacing w:line="360" w:lineRule="exact"/>
              <w:rPr>
                <w:rFonts w:hint="default" w:ascii="宋体" w:hAnsi="宋体" w:cs="宋体"/>
                <w:highlight w:val="none"/>
                <w:lang w:val="en-US"/>
              </w:rPr>
            </w:pPr>
            <w:r>
              <w:rPr>
                <w:rFonts w:hint="default"/>
                <w:highlight w:val="none"/>
                <w:lang w:val="en-US"/>
              </w:rPr>
              <w:t>加分条件如下：</w:t>
            </w:r>
          </w:p>
          <w:p w14:paraId="451AAD83">
            <w:pPr>
              <w:pStyle w:val="3"/>
              <w:spacing w:line="360" w:lineRule="exact"/>
              <w:rPr>
                <w:rFonts w:hint="default" w:ascii="宋体" w:hAnsi="宋体"/>
                <w:highlight w:val="none"/>
                <w:lang w:val="en-US"/>
              </w:rPr>
            </w:pPr>
            <w:r>
              <w:rPr>
                <w:rFonts w:hint="default" w:ascii="宋体" w:hAnsi="宋体"/>
                <w:highlight w:val="none"/>
                <w:lang w:val="en-US"/>
              </w:rPr>
              <w:t>累计完成过的</w:t>
            </w:r>
            <w:r>
              <w:rPr>
                <w:rFonts w:hint="eastAsia" w:ascii="宋体" w:hAnsi="宋体"/>
                <w:highlight w:val="none"/>
                <w:lang w:val="en-US" w:eastAsia="zh-CN"/>
              </w:rPr>
              <w:t>二</w:t>
            </w:r>
            <w:r>
              <w:rPr>
                <w:rFonts w:hint="default" w:ascii="宋体" w:hAnsi="宋体"/>
                <w:highlight w:val="none"/>
                <w:lang w:val="en-US"/>
              </w:rPr>
              <w:t>级（含</w:t>
            </w:r>
            <w:r>
              <w:rPr>
                <w:rFonts w:hint="eastAsia" w:ascii="宋体" w:hAnsi="宋体"/>
                <w:highlight w:val="none"/>
                <w:lang w:val="en-US" w:eastAsia="zh-CN"/>
              </w:rPr>
              <w:t>二</w:t>
            </w:r>
            <w:r>
              <w:rPr>
                <w:rFonts w:hint="default" w:ascii="宋体" w:hAnsi="宋体"/>
                <w:highlight w:val="none"/>
                <w:lang w:val="en-US"/>
              </w:rPr>
              <w:t>级）及以上等级公路工程</w:t>
            </w:r>
            <w:r>
              <w:rPr>
                <w:rFonts w:hint="eastAsia" w:ascii="宋体" w:hAnsi="宋体"/>
                <w:highlight w:val="none"/>
                <w:lang w:val="en-US" w:eastAsia="zh-CN"/>
              </w:rPr>
              <w:t>桥梁</w:t>
            </w:r>
            <w:r>
              <w:rPr>
                <w:rFonts w:hint="default" w:ascii="宋体" w:hAnsi="宋体"/>
                <w:highlight w:val="none"/>
                <w:lang w:val="en-US"/>
              </w:rPr>
              <w:t>施工项目（以标段计），在满足资格审查条件的基础上，</w:t>
            </w:r>
            <w:r>
              <w:rPr>
                <w:rFonts w:hint="eastAsia" w:ascii="宋体" w:hAnsi="宋体"/>
                <w:highlight w:val="none"/>
                <w:lang w:val="en-US" w:eastAsia="zh-CN"/>
              </w:rPr>
              <w:t>每增加</w:t>
            </w:r>
            <w:r>
              <w:rPr>
                <w:rFonts w:hint="default" w:ascii="宋体" w:hAnsi="宋体"/>
                <w:highlight w:val="none"/>
                <w:lang w:val="en-US" w:eastAsia="zh-CN"/>
              </w:rPr>
              <w:t>1个</w:t>
            </w:r>
            <w:r>
              <w:rPr>
                <w:rFonts w:hint="default" w:ascii="宋体" w:hAnsi="宋体"/>
                <w:highlight w:val="none"/>
                <w:lang w:val="en-US"/>
              </w:rPr>
              <w:t>工程</w:t>
            </w:r>
            <w:r>
              <w:rPr>
                <w:rFonts w:hint="default" w:ascii="宋体" w:hAnsi="宋体"/>
                <w:highlight w:val="none"/>
                <w:lang w:val="en-US" w:eastAsia="zh-CN"/>
              </w:rPr>
              <w:t>业绩</w:t>
            </w:r>
            <w:r>
              <w:rPr>
                <w:rFonts w:hint="default" w:ascii="宋体" w:hAnsi="宋体"/>
                <w:highlight w:val="none"/>
                <w:lang w:val="en-US"/>
              </w:rPr>
              <w:t>，加</w:t>
            </w:r>
            <w:r>
              <w:rPr>
                <w:rFonts w:hint="default" w:ascii="宋体" w:hAnsi="宋体"/>
                <w:highlight w:val="none"/>
                <w:lang w:val="en-US" w:eastAsia="zh-CN"/>
              </w:rPr>
              <w:t>4</w:t>
            </w:r>
            <w:r>
              <w:rPr>
                <w:rFonts w:hint="default" w:ascii="宋体" w:hAnsi="宋体"/>
                <w:highlight w:val="none"/>
                <w:lang w:val="en-US"/>
              </w:rPr>
              <w:t>分，最多加</w:t>
            </w:r>
            <w:r>
              <w:rPr>
                <w:rFonts w:hint="default" w:ascii="宋体" w:hAnsi="宋体"/>
                <w:highlight w:val="none"/>
                <w:lang w:val="en-US" w:eastAsia="zh-CN"/>
              </w:rPr>
              <w:t>8</w:t>
            </w:r>
            <w:r>
              <w:rPr>
                <w:rFonts w:hint="default" w:ascii="宋体" w:hAnsi="宋体"/>
                <w:highlight w:val="none"/>
                <w:lang w:val="en-US"/>
              </w:rPr>
              <w:t>分。</w:t>
            </w:r>
            <w:r>
              <w:rPr>
                <w:rFonts w:hint="default"/>
                <w:b/>
                <w:bCs/>
                <w:color w:val="auto"/>
                <w:highlight w:val="none"/>
                <w:lang w:val="en-US"/>
              </w:rPr>
              <w:t>业绩要求中的施工项目是指新建或改扩建。</w:t>
            </w:r>
          </w:p>
        </w:tc>
      </w:tr>
      <w:tr w14:paraId="407575C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554" w:hRule="atLeast"/>
          <w:jc w:val="center"/>
        </w:trPr>
        <w:tc>
          <w:tcPr>
            <w:tcW w:w="8840" w:type="dxa"/>
            <w:gridSpan w:val="7"/>
            <w:tcBorders>
              <w:top w:val="inset" w:color="auto" w:sz="6" w:space="0"/>
              <w:left w:val="single" w:color="auto" w:sz="12" w:space="0"/>
              <w:bottom w:val="single" w:color="auto" w:sz="12" w:space="0"/>
              <w:right w:val="single" w:color="auto" w:sz="12" w:space="0"/>
            </w:tcBorders>
            <w:vAlign w:val="center"/>
          </w:tcPr>
          <w:p w14:paraId="59CEF949">
            <w:pPr>
              <w:wordWrap w:val="0"/>
              <w:spacing w:line="360" w:lineRule="auto"/>
              <w:rPr>
                <w:rFonts w:hint="default" w:ascii="宋体" w:hAnsi="宋体" w:cs="宋体"/>
                <w:lang w:val="en-US"/>
              </w:rPr>
            </w:pPr>
            <w:r>
              <w:rPr>
                <w:rFonts w:hint="default" w:ascii="宋体" w:hAnsi="宋体" w:cs="宋体"/>
                <w:lang w:val="en-US"/>
              </w:rPr>
              <w:t>3.5</w:t>
            </w:r>
            <w:r>
              <w:rPr>
                <w:rFonts w:hint="default"/>
                <w:lang w:val="en-US"/>
              </w:rPr>
              <w:t>需要补充的其他内容：</w:t>
            </w:r>
          </w:p>
          <w:p w14:paraId="2E0A2577">
            <w:pPr>
              <w:wordWrap w:val="0"/>
              <w:spacing w:line="360" w:lineRule="auto"/>
              <w:rPr>
                <w:rFonts w:hint="default" w:ascii="宋体" w:hAnsi="宋体" w:cs="宋体"/>
                <w:lang w:val="en-US"/>
              </w:rPr>
            </w:pPr>
            <w:r>
              <w:rPr>
                <w:rFonts w:hint="default"/>
                <w:lang w:val="en-US"/>
              </w:rPr>
              <w:t>增加</w:t>
            </w:r>
            <w:r>
              <w:rPr>
                <w:rFonts w:hint="default" w:ascii="宋体" w:hAnsi="宋体" w:cs="宋体"/>
                <w:lang w:val="en-US"/>
              </w:rPr>
              <w:t xml:space="preserve"> 3.5.3 </w:t>
            </w:r>
            <w:r>
              <w:rPr>
                <w:rFonts w:hint="default"/>
                <w:lang w:val="en-US"/>
              </w:rPr>
              <w:t>项：</w:t>
            </w:r>
          </w:p>
          <w:p w14:paraId="3BFF2AED">
            <w:pPr>
              <w:wordWrap w:val="0"/>
              <w:spacing w:line="360" w:lineRule="auto"/>
              <w:ind w:firstLine="420" w:firstLineChars="200"/>
              <w:rPr>
                <w:rFonts w:hint="default" w:ascii="宋体" w:hAnsi="宋体" w:cs="宋体"/>
                <w:lang w:val="en-US"/>
              </w:rPr>
            </w:pPr>
            <w:r>
              <w:rPr>
                <w:rFonts w:hint="default" w:ascii="宋体" w:hAnsi="宋体" w:cs="宋体"/>
                <w:lang w:val="en-US"/>
              </w:rPr>
              <w:t>3.5.3</w:t>
            </w:r>
            <w:r>
              <w:rPr>
                <w:rFonts w:hint="default"/>
                <w:lang w:val="en-US"/>
              </w:rPr>
              <w:t>招标人设置</w:t>
            </w:r>
            <w:r>
              <w:rPr>
                <w:rFonts w:hint="default"/>
                <w:b/>
                <w:lang w:val="en-US"/>
              </w:rPr>
              <w:t>成本价评估值</w:t>
            </w:r>
            <w:r>
              <w:rPr>
                <w:rFonts w:hint="default"/>
                <w:lang w:val="en-US"/>
              </w:rPr>
              <w:t>，</w:t>
            </w:r>
            <w:r>
              <w:rPr>
                <w:rFonts w:hint="default"/>
                <w:b/>
                <w:lang w:val="en-US"/>
              </w:rPr>
              <w:t>成本价评估值</w:t>
            </w:r>
            <w:r>
              <w:rPr>
                <w:rFonts w:hint="default"/>
                <w:lang w:val="en-US"/>
              </w:rPr>
              <w:t>作为投标人投标报价是否“明显低于其他投标人报价”的重要参考依据。投标人的投标报价低于</w:t>
            </w:r>
            <w:r>
              <w:rPr>
                <w:rFonts w:hint="default"/>
                <w:b/>
                <w:lang w:val="en-US"/>
              </w:rPr>
              <w:t>成本价评估值</w:t>
            </w:r>
            <w:r>
              <w:rPr>
                <w:rFonts w:hint="default"/>
                <w:lang w:val="en-US"/>
              </w:rPr>
              <w:t>的，该投标人</w:t>
            </w:r>
            <w:r>
              <w:rPr>
                <w:rFonts w:hint="default"/>
                <w:b/>
                <w:lang w:val="en-US"/>
              </w:rPr>
              <w:t>应在第九章（报价文件）二、已标价工程量清单后</w:t>
            </w:r>
            <w:r>
              <w:rPr>
                <w:rFonts w:hint="default"/>
                <w:lang w:val="en-US"/>
              </w:rPr>
              <w:t>对其投标报价作出书面说明，提供投标报价单价构成说明及相关证明材料（详细的清单预算、主要材料来源及价格证明材料以及评标委员会要求提供的其他材料等），并加盖投标人单位公章。</w:t>
            </w:r>
          </w:p>
          <w:p w14:paraId="2789A647">
            <w:pPr>
              <w:wordWrap w:val="0"/>
              <w:spacing w:line="360" w:lineRule="auto"/>
              <w:ind w:firstLine="422" w:firstLineChars="200"/>
              <w:rPr>
                <w:rFonts w:hint="default" w:ascii="宋体" w:hAnsi="宋体" w:cs="宋体"/>
                <w:lang w:val="en-US"/>
              </w:rPr>
            </w:pPr>
            <w:r>
              <w:rPr>
                <w:rFonts w:hint="default"/>
                <w:b/>
                <w:lang w:val="en-US"/>
              </w:rPr>
              <w:t>成本价评估值</w:t>
            </w:r>
            <w:r>
              <w:rPr>
                <w:rFonts w:hint="default" w:ascii="宋体" w:hAnsi="宋体" w:cs="宋体"/>
                <w:b/>
                <w:lang w:val="en-US"/>
              </w:rPr>
              <w:t>=</w:t>
            </w:r>
            <w:r>
              <w:rPr>
                <w:rFonts w:hint="default"/>
                <w:b/>
                <w:lang w:val="en-US"/>
              </w:rPr>
              <w:t>最高投标限价</w:t>
            </w:r>
            <w:r>
              <w:rPr>
                <w:rFonts w:hint="default" w:ascii="宋体" w:hAnsi="宋体" w:cs="宋体"/>
                <w:b/>
                <w:lang w:val="en-US"/>
              </w:rPr>
              <w:t>*0.85</w:t>
            </w:r>
          </w:p>
        </w:tc>
      </w:tr>
    </w:tbl>
    <w:p w14:paraId="6809E28A">
      <w:pPr>
        <w:spacing w:line="256" w:lineRule="auto"/>
        <w:rPr>
          <w:rFonts w:hint="default"/>
          <w:lang w:val="en-US"/>
        </w:rPr>
      </w:pPr>
      <w:r>
        <w:rPr>
          <w:rFonts w:hint="default"/>
          <w:lang w:val="en-US"/>
        </w:rPr>
        <w:t xml:space="preserve"> </w:t>
      </w:r>
    </w:p>
    <w:p w14:paraId="20BA8E1A">
      <w:pPr>
        <w:spacing w:line="360" w:lineRule="auto"/>
        <w:ind w:firstLine="420" w:firstLineChars="200"/>
        <w:rPr>
          <w:rFonts w:hint="default" w:ascii="宋体" w:hAnsi="宋体" w:cs="宋体"/>
          <w:lang w:val="en-US"/>
        </w:rPr>
      </w:pPr>
      <w:r>
        <w:rPr>
          <w:rFonts w:hint="default" w:ascii="宋体" w:hAnsi="宋体" w:cs="宋体"/>
          <w:lang w:val="en-US"/>
        </w:rPr>
        <w:t>1.</w:t>
      </w:r>
      <w:r>
        <w:rPr>
          <w:rFonts w:hint="default"/>
          <w:lang w:val="en-US"/>
        </w:rPr>
        <w:t>各评分因素得分以评标委员会各成员打分的算术平均值确定，评标委员会成员为7人以上时，该平均值以去掉一个最高分和一个最低分后计算</w:t>
      </w:r>
      <w:r>
        <w:rPr>
          <w:rFonts w:hint="eastAsia"/>
          <w:lang w:val="en-US" w:eastAsia="zh-CN"/>
        </w:rPr>
        <w:t>，</w:t>
      </w:r>
      <w:r>
        <w:rPr>
          <w:rFonts w:hint="default"/>
          <w:lang w:val="en-US"/>
        </w:rPr>
        <w:t>计算过程及计算结果小数点后保留两位小数，小数点后第三位“四舍五入”。</w:t>
      </w:r>
    </w:p>
    <w:p w14:paraId="1816D244">
      <w:pPr>
        <w:spacing w:line="360" w:lineRule="auto"/>
        <w:ind w:firstLine="420" w:firstLineChars="200"/>
        <w:rPr>
          <w:rFonts w:hint="default" w:ascii="宋体" w:hAnsi="宋体" w:cs="宋体"/>
          <w:lang w:val="en-US"/>
        </w:rPr>
      </w:pPr>
      <w:r>
        <w:rPr>
          <w:rFonts w:hint="default" w:ascii="宋体" w:hAnsi="宋体" w:cs="宋体"/>
          <w:lang w:val="en-US"/>
        </w:rPr>
        <w:t>2.</w:t>
      </w:r>
      <w:r>
        <w:rPr>
          <w:rFonts w:hint="default"/>
          <w:lang w:val="en-US"/>
        </w:rPr>
        <w:t>投标人所附企业加分业绩应为近五年（</w:t>
      </w:r>
      <w:r>
        <w:rPr>
          <w:rFonts w:hint="eastAsia" w:ascii="宋体" w:hAnsi="宋体" w:cs="宋体"/>
          <w:lang w:val="en-US" w:eastAsia="zh-CN"/>
        </w:rPr>
        <w:t>2019年11月1日</w:t>
      </w:r>
      <w:r>
        <w:rPr>
          <w:rFonts w:hint="default" w:ascii="宋体" w:hAnsi="宋体" w:cs="宋体"/>
          <w:lang w:val="en-US"/>
        </w:rPr>
        <w:t>~</w:t>
      </w:r>
      <w:r>
        <w:rPr>
          <w:rFonts w:hint="default"/>
          <w:lang w:val="en-US"/>
        </w:rPr>
        <w:t>递交投标文件截止时间）内完成的项目业绩（以实际交工日期为准），超出此时间范围的业绩不加分。</w:t>
      </w:r>
    </w:p>
    <w:p w14:paraId="235307C0">
      <w:pPr>
        <w:spacing w:line="360" w:lineRule="auto"/>
        <w:ind w:firstLine="420" w:firstLineChars="200"/>
        <w:rPr>
          <w:rFonts w:hint="default" w:ascii="宋体" w:hAnsi="宋体" w:cs="宋体"/>
          <w:lang w:val="en-US"/>
        </w:rPr>
      </w:pPr>
      <w:r>
        <w:rPr>
          <w:rFonts w:hint="default" w:ascii="宋体" w:hAnsi="宋体" w:cs="宋体"/>
          <w:lang w:val="en-US"/>
        </w:rPr>
        <w:t>3.</w:t>
      </w:r>
      <w:r>
        <w:rPr>
          <w:rFonts w:hint="default"/>
          <w:lang w:val="en-US"/>
        </w:rPr>
        <w:t>如单个业绩能同时满足</w:t>
      </w:r>
      <w:r>
        <w:rPr>
          <w:rFonts w:hint="default"/>
          <w:lang w:val="en-US" w:eastAsia="zh-CN"/>
        </w:rPr>
        <w:t>业绩最低要求及</w:t>
      </w:r>
      <w:r>
        <w:rPr>
          <w:rFonts w:hint="default"/>
          <w:lang w:val="en-US"/>
        </w:rPr>
        <w:t>加分条件要求的，则该业绩</w:t>
      </w:r>
      <w:r>
        <w:rPr>
          <w:rFonts w:hint="default"/>
          <w:lang w:val="en-US" w:eastAsia="zh-CN"/>
        </w:rPr>
        <w:t>在满足业绩最低要求的基础上</w:t>
      </w:r>
      <w:r>
        <w:rPr>
          <w:rFonts w:hint="default"/>
          <w:lang w:val="en-US"/>
        </w:rPr>
        <w:t>可分别按照加分条件的要求分别进行加分。</w:t>
      </w:r>
    </w:p>
    <w:p w14:paraId="04A43DCB">
      <w:pPr>
        <w:bidi w:val="0"/>
        <w:rPr>
          <w:rFonts w:hint="default"/>
          <w:lang w:val="en-US"/>
        </w:rPr>
      </w:pPr>
      <w:r>
        <w:rPr>
          <w:rFonts w:hint="default" w:ascii="宋体" w:hAnsi="宋体" w:cs="宋体"/>
          <w:lang w:val="en-US"/>
        </w:rPr>
        <w:t>4.</w:t>
      </w:r>
      <w:r>
        <w:rPr>
          <w:rFonts w:hint="default"/>
          <w:lang w:val="en-US"/>
        </w:rPr>
        <w:t>表中区间分值下限为不含，上限为包含。</w:t>
      </w:r>
    </w:p>
    <w:p w14:paraId="3FFD0704">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综艺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00000000000000000"/>
    <w:charset w:val="86"/>
    <w:family w:val="auto"/>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1A3B"/>
    <w:rsid w:val="110265A4"/>
    <w:rsid w:val="11162CD7"/>
    <w:rsid w:val="125E5F8C"/>
    <w:rsid w:val="19122F88"/>
    <w:rsid w:val="1BAD6444"/>
    <w:rsid w:val="1C56042C"/>
    <w:rsid w:val="38C37A8F"/>
    <w:rsid w:val="3AC214F7"/>
    <w:rsid w:val="55202DAA"/>
    <w:rsid w:val="70716758"/>
    <w:rsid w:val="765F75BE"/>
    <w:rsid w:val="7C4D62CB"/>
    <w:rsid w:val="7D913F95"/>
    <w:rsid w:val="7F95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szCs w:val="24"/>
    </w:rPr>
  </w:style>
  <w:style w:type="paragraph" w:styleId="3">
    <w:name w:val="Body Text"/>
    <w:basedOn w:val="1"/>
    <w:next w:val="4"/>
    <w:qFormat/>
    <w:uiPriority w:val="0"/>
    <w:pPr>
      <w:spacing w:before="100" w:beforeAutospacing="1"/>
    </w:pPr>
    <w:rPr>
      <w:rFonts w:ascii="仿宋_GB2312" w:hAnsi="仿宋_GB2312"/>
    </w:rPr>
  </w:style>
  <w:style w:type="paragraph" w:styleId="4">
    <w:name w:val="Body Text 2"/>
    <w:basedOn w:val="1"/>
    <w:qFormat/>
    <w:uiPriority w:val="0"/>
    <w:pPr>
      <w:jc w:val="center"/>
    </w:pPr>
    <w:rPr>
      <w:rFonts w:ascii="方正综艺简体" w:hAnsi="宋体" w:eastAsia="方正综艺简体"/>
      <w:spacing w:val="24"/>
      <w:sz w:val="32"/>
    </w:rPr>
  </w:style>
  <w:style w:type="paragraph" w:styleId="5">
    <w:name w:val="Body Text First Indent 2"/>
    <w:basedOn w:val="6"/>
    <w:next w:val="3"/>
    <w:qFormat/>
    <w:uiPriority w:val="0"/>
    <w:pPr>
      <w:keepNext/>
      <w:keepLines/>
      <w:spacing w:after="0" w:line="380" w:lineRule="exact"/>
      <w:ind w:left="0" w:leftChars="0" w:firstLine="480"/>
      <w:jc w:val="left"/>
      <w:outlineLvl w:val="3"/>
    </w:pPr>
    <w:rPr>
      <w:rFonts w:hint="default" w:eastAsia="方正书宋简体"/>
      <w:b/>
      <w:bCs/>
      <w:sz w:val="28"/>
      <w:szCs w:val="28"/>
    </w:rPr>
  </w:style>
  <w:style w:type="paragraph" w:styleId="6">
    <w:name w:val="Body Text Indent"/>
    <w:basedOn w:val="1"/>
    <w:qFormat/>
    <w:uiPriority w:val="0"/>
    <w:pPr>
      <w:spacing w:after="120"/>
      <w:ind w:left="420" w:leftChars="200"/>
    </w:p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7667</Words>
  <Characters>8418</Characters>
  <Lines>0</Lines>
  <Paragraphs>0</Paragraphs>
  <TotalTime>6</TotalTime>
  <ScaleCrop>false</ScaleCrop>
  <LinksUpToDate>false</LinksUpToDate>
  <CharactersWithSpaces>8558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2024-12-03T02:14:00Z</dcterms:created>
  <dc:creator>Administrator</dc:creator>
  <cp:lastModifiedBy>木子李@</cp:lastModifiedBy>
  <dcterms:modified xsi:type="dcterms:W3CDTF">2024-12-03T04:28:23Z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988948023D9C4907905F70E4886503CB_12</vt:lpwstr>
  </property>
</Properties>
</file>