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E7286">
      <w:pPr>
        <w:pStyle w:val="4"/>
        <w:rPr>
          <w:rFonts w:hint="eastAsia"/>
          <w:color w:val="000000"/>
          <w:highlight w:val="none"/>
          <w:lang w:eastAsia="zh-CN"/>
        </w:rPr>
      </w:pPr>
      <w:bookmarkStart w:id="0" w:name="_Toc3702"/>
      <w:bookmarkStart w:id="1" w:name="_Toc9764"/>
      <w:bookmarkStart w:id="2" w:name="_Toc5718"/>
      <w:bookmarkStart w:id="3" w:name="_Toc515813118"/>
      <w:bookmarkStart w:id="4" w:name="_Toc471395139"/>
      <w:r>
        <w:rPr>
          <w:rFonts w:hint="eastAsia" w:ascii="Arial" w:hAnsi="Arial" w:eastAsia="黑体" w:cs="Times New Roman"/>
          <w:b/>
          <w:bCs/>
          <w:color w:val="000000"/>
          <w:highlight w:val="none"/>
          <w:lang w:eastAsia="zh-CN"/>
        </w:rPr>
        <w:t>国道京漠公路加格达奇至瓦拉干段改建工程</w:t>
      </w:r>
      <w:r>
        <w:rPr>
          <w:rFonts w:hint="eastAsia"/>
          <w:color w:val="000000"/>
          <w:highlight w:val="none"/>
          <w:lang w:eastAsia="zh-CN"/>
        </w:rPr>
        <w:t>项目</w:t>
      </w:r>
      <w:bookmarkEnd w:id="0"/>
      <w:bookmarkEnd w:id="1"/>
      <w:bookmarkEnd w:id="2"/>
    </w:p>
    <w:p w14:paraId="25AFD4AC">
      <w:pPr>
        <w:pStyle w:val="4"/>
        <w:rPr>
          <w:rFonts w:hint="eastAsia"/>
          <w:color w:val="000000"/>
          <w:highlight w:val="none"/>
        </w:rPr>
      </w:pPr>
      <w:bookmarkStart w:id="5" w:name="_Toc31077"/>
      <w:bookmarkStart w:id="6" w:name="_Toc3466"/>
      <w:bookmarkStart w:id="7" w:name="_Toc481"/>
      <w:r>
        <w:rPr>
          <w:rFonts w:hint="eastAsia"/>
          <w:color w:val="000000"/>
          <w:highlight w:val="none"/>
          <w:lang w:eastAsia="zh-CN"/>
        </w:rPr>
        <w:t>勘察设计</w:t>
      </w:r>
      <w:r>
        <w:rPr>
          <w:rFonts w:hint="eastAsia"/>
          <w:color w:val="000000"/>
          <w:highlight w:val="none"/>
        </w:rPr>
        <w:t>招标公告</w:t>
      </w:r>
      <w:bookmarkEnd w:id="3"/>
      <w:bookmarkEnd w:id="4"/>
      <w:bookmarkEnd w:id="5"/>
      <w:bookmarkEnd w:id="6"/>
      <w:bookmarkEnd w:id="7"/>
    </w:p>
    <w:p w14:paraId="2B1B5869">
      <w:pPr>
        <w:jc w:val="center"/>
        <w:outlineLvl w:val="2"/>
        <w:rPr>
          <w:rFonts w:hint="default" w:eastAsia="宋体"/>
          <w:color w:val="000000"/>
          <w:highlight w:val="none"/>
          <w:lang w:val="en-US" w:eastAsia="zh-CN"/>
        </w:rPr>
      </w:pPr>
      <w:bookmarkStart w:id="8" w:name="_Toc9355"/>
      <w:bookmarkStart w:id="9" w:name="_Toc19180"/>
      <w:bookmarkStart w:id="10" w:name="_Toc12096"/>
      <w:r>
        <w:rPr>
          <w:rFonts w:hint="eastAsia"/>
          <w:color w:val="000000"/>
          <w:highlight w:val="none"/>
        </w:rPr>
        <w:t>招标编号：</w:t>
      </w:r>
      <w:bookmarkEnd w:id="8"/>
      <w:bookmarkEnd w:id="9"/>
      <w:bookmarkEnd w:id="10"/>
      <w:r>
        <w:rPr>
          <w:rFonts w:hint="eastAsia"/>
          <w:color w:val="000000"/>
          <w:highlight w:val="none"/>
          <w:lang w:val="en-US" w:eastAsia="zh-CN"/>
        </w:rPr>
        <w:t>JT0000G250304001001</w:t>
      </w:r>
    </w:p>
    <w:p w14:paraId="7A73651F">
      <w:pPr>
        <w:adjustRightInd w:val="0"/>
        <w:snapToGrid w:val="0"/>
        <w:spacing w:line="360" w:lineRule="auto"/>
        <w:ind w:firstLine="422" w:firstLineChars="200"/>
        <w:jc w:val="left"/>
        <w:rPr>
          <w:rFonts w:ascii="宋体" w:hAnsi="宋体"/>
          <w:b/>
          <w:color w:val="000000"/>
          <w:highlight w:val="none"/>
        </w:rPr>
      </w:pPr>
      <w:r>
        <w:rPr>
          <w:rFonts w:hint="eastAsia" w:ascii="宋体" w:hAnsi="宋体"/>
          <w:b/>
          <w:color w:val="000000"/>
          <w:highlight w:val="none"/>
        </w:rPr>
        <w:t>1．招标条件</w:t>
      </w:r>
    </w:p>
    <w:p w14:paraId="5E40C966">
      <w:pPr>
        <w:adjustRightInd w:val="0"/>
        <w:snapToGrid w:val="0"/>
        <w:spacing w:line="360" w:lineRule="auto"/>
        <w:ind w:firstLine="420" w:firstLineChars="200"/>
        <w:jc w:val="left"/>
        <w:rPr>
          <w:rStyle w:val="17"/>
          <w:rFonts w:hint="eastAsia" w:ascii="宋体" w:hAnsi="宋体" w:eastAsia="宋体" w:cs="宋体"/>
          <w:b w:val="0"/>
          <w:color w:val="000000"/>
          <w:sz w:val="21"/>
          <w:szCs w:val="21"/>
          <w:highlight w:val="none"/>
        </w:rPr>
      </w:pPr>
      <w:r>
        <w:rPr>
          <w:rStyle w:val="17"/>
          <w:rFonts w:hint="eastAsia" w:ascii="宋体" w:hAnsi="宋体" w:eastAsia="宋体" w:cs="宋体"/>
          <w:b w:val="0"/>
          <w:color w:val="000000"/>
          <w:sz w:val="21"/>
          <w:szCs w:val="21"/>
          <w:highlight w:val="none"/>
          <w:lang w:val="en-US" w:eastAsia="zh-CN"/>
        </w:rPr>
        <w:t>根据</w:t>
      </w:r>
      <w:r>
        <w:rPr>
          <w:rStyle w:val="17"/>
          <w:rFonts w:hint="eastAsia" w:ascii="宋体" w:hAnsi="宋体" w:eastAsia="宋体" w:cs="宋体"/>
          <w:b w:val="0"/>
          <w:color w:val="000000"/>
          <w:sz w:val="21"/>
          <w:szCs w:val="21"/>
          <w:highlight w:val="none"/>
        </w:rPr>
        <w:t>黑龙江省发展和改革委员会《关于同意</w:t>
      </w:r>
      <w:r>
        <w:rPr>
          <w:rStyle w:val="17"/>
          <w:rFonts w:hint="eastAsia" w:ascii="宋体" w:hAnsi="宋体" w:eastAsia="宋体" w:cs="宋体"/>
          <w:b w:val="0"/>
          <w:color w:val="000000"/>
          <w:sz w:val="21"/>
          <w:szCs w:val="21"/>
          <w:highlight w:val="none"/>
          <w:lang w:val="en-US" w:eastAsia="zh-CN"/>
        </w:rPr>
        <w:t>国道京漠公路加格达奇至瓦拉干段等</w:t>
      </w:r>
      <w:r>
        <w:rPr>
          <w:rStyle w:val="17"/>
          <w:rFonts w:hint="eastAsia" w:ascii="宋体" w:hAnsi="宋体" w:eastAsia="宋体" w:cs="宋体"/>
          <w:b w:val="0"/>
          <w:color w:val="000000"/>
          <w:sz w:val="21"/>
          <w:szCs w:val="21"/>
          <w:highlight w:val="none"/>
        </w:rPr>
        <w:t>项目先行开展勘察设计招标工作的函》开展项目勘察设计招标工作，项目业主为</w:t>
      </w:r>
      <w:r>
        <w:rPr>
          <w:rStyle w:val="17"/>
          <w:rFonts w:hint="eastAsia" w:ascii="宋体" w:hAnsi="宋体" w:eastAsia="宋体" w:cs="宋体"/>
          <w:b w:val="0"/>
          <w:color w:val="000000"/>
          <w:sz w:val="21"/>
          <w:szCs w:val="21"/>
          <w:highlight w:val="none"/>
          <w:u w:val="single"/>
        </w:rPr>
        <w:t xml:space="preserve"> 国道京漠公路加格达奇至瓦拉干段改建工程建设指挥部 </w:t>
      </w:r>
      <w:r>
        <w:rPr>
          <w:rStyle w:val="17"/>
          <w:rFonts w:hint="eastAsia" w:ascii="宋体" w:hAnsi="宋体" w:eastAsia="宋体" w:cs="宋体"/>
          <w:b w:val="0"/>
          <w:color w:val="000000"/>
          <w:sz w:val="21"/>
          <w:szCs w:val="21"/>
          <w:highlight w:val="none"/>
        </w:rPr>
        <w:t>，</w:t>
      </w:r>
      <w:r>
        <w:rPr>
          <w:rStyle w:val="17"/>
          <w:rFonts w:hint="eastAsia" w:ascii="宋体" w:hAnsi="宋体" w:eastAsia="宋体" w:cs="宋体"/>
          <w:b w:val="0"/>
          <w:color w:val="000000"/>
          <w:sz w:val="21"/>
          <w:szCs w:val="21"/>
          <w:highlight w:val="none"/>
          <w:lang w:val="en-US" w:eastAsia="zh-CN"/>
        </w:rPr>
        <w:t>本项</w:t>
      </w:r>
      <w:r>
        <w:rPr>
          <w:rStyle w:val="17"/>
          <w:rFonts w:hint="eastAsia" w:ascii="宋体" w:hAnsi="宋体" w:eastAsia="宋体" w:cs="宋体"/>
          <w:b w:val="0"/>
          <w:color w:val="000000"/>
          <w:sz w:val="21"/>
          <w:szCs w:val="21"/>
          <w:highlight w:val="none"/>
          <w:lang w:eastAsia="zh-CN"/>
        </w:rPr>
        <w:t>目总投资</w:t>
      </w:r>
      <w:r>
        <w:rPr>
          <w:rStyle w:val="17"/>
          <w:rFonts w:hint="eastAsia" w:ascii="宋体" w:hAnsi="宋体" w:eastAsia="宋体" w:cs="宋体"/>
          <w:b w:val="0"/>
          <w:color w:val="000000"/>
          <w:sz w:val="21"/>
          <w:szCs w:val="21"/>
          <w:highlight w:val="none"/>
          <w:u w:val="single"/>
          <w:lang w:eastAsia="zh-CN"/>
        </w:rPr>
        <w:t>2</w:t>
      </w:r>
      <w:r>
        <w:rPr>
          <w:rStyle w:val="17"/>
          <w:rFonts w:hint="eastAsia" w:ascii="宋体" w:hAnsi="宋体" w:eastAsia="宋体" w:cs="宋体"/>
          <w:b w:val="0"/>
          <w:color w:val="000000"/>
          <w:sz w:val="21"/>
          <w:szCs w:val="21"/>
          <w:highlight w:val="none"/>
          <w:u w:val="single"/>
          <w:lang w:val="en-US" w:eastAsia="zh-CN"/>
        </w:rPr>
        <w:t>00725万</w:t>
      </w:r>
      <w:r>
        <w:rPr>
          <w:rStyle w:val="17"/>
          <w:rFonts w:hint="eastAsia" w:ascii="宋体" w:hAnsi="宋体" w:eastAsia="宋体" w:cs="宋体"/>
          <w:b w:val="0"/>
          <w:color w:val="000000"/>
          <w:sz w:val="21"/>
          <w:szCs w:val="21"/>
          <w:highlight w:val="none"/>
          <w:u w:val="single"/>
          <w:lang w:eastAsia="zh-CN"/>
        </w:rPr>
        <w:t>元</w:t>
      </w:r>
      <w:r>
        <w:rPr>
          <w:rStyle w:val="17"/>
          <w:rFonts w:hint="eastAsia" w:ascii="宋体" w:hAnsi="宋体" w:eastAsia="宋体" w:cs="宋体"/>
          <w:b w:val="0"/>
          <w:color w:val="000000"/>
          <w:sz w:val="21"/>
          <w:szCs w:val="21"/>
          <w:highlight w:val="none"/>
          <w:lang w:eastAsia="zh-CN"/>
        </w:rPr>
        <w:t>，资金来源分为两部分，其中拟申请</w:t>
      </w:r>
      <w:bookmarkStart w:id="11" w:name="OLE_LINK2"/>
      <w:r>
        <w:rPr>
          <w:rStyle w:val="17"/>
          <w:rFonts w:hint="eastAsia" w:ascii="宋体" w:hAnsi="宋体" w:eastAsia="宋体" w:cs="宋体"/>
          <w:b w:val="0"/>
          <w:color w:val="000000"/>
          <w:sz w:val="21"/>
          <w:szCs w:val="21"/>
          <w:highlight w:val="none"/>
          <w:lang w:val="en-US" w:eastAsia="zh-CN"/>
        </w:rPr>
        <w:t>交通运输领域重点项目资金</w:t>
      </w:r>
      <w:r>
        <w:rPr>
          <w:rStyle w:val="17"/>
          <w:rFonts w:hint="eastAsia" w:ascii="宋体" w:hAnsi="宋体" w:eastAsia="宋体" w:cs="宋体"/>
          <w:b w:val="0"/>
          <w:color w:val="000000"/>
          <w:sz w:val="21"/>
          <w:szCs w:val="21"/>
          <w:highlight w:val="none"/>
          <w:lang w:eastAsia="zh-CN"/>
        </w:rPr>
        <w:t>为</w:t>
      </w:r>
      <w:r>
        <w:rPr>
          <w:rStyle w:val="17"/>
          <w:rFonts w:hint="eastAsia" w:ascii="宋体" w:hAnsi="宋体" w:eastAsia="宋体" w:cs="宋体"/>
          <w:b w:val="0"/>
          <w:color w:val="000000"/>
          <w:sz w:val="21"/>
          <w:szCs w:val="21"/>
          <w:highlight w:val="none"/>
          <w:u w:val="single"/>
          <w:lang w:eastAsia="zh-CN"/>
        </w:rPr>
        <w:t>15</w:t>
      </w:r>
      <w:r>
        <w:rPr>
          <w:rStyle w:val="17"/>
          <w:rFonts w:hint="eastAsia" w:ascii="宋体" w:hAnsi="宋体" w:eastAsia="宋体" w:cs="宋体"/>
          <w:b w:val="0"/>
          <w:color w:val="000000"/>
          <w:sz w:val="21"/>
          <w:szCs w:val="21"/>
          <w:highlight w:val="none"/>
          <w:u w:val="single"/>
          <w:lang w:val="en-US" w:eastAsia="zh-CN"/>
        </w:rPr>
        <w:t>8873</w:t>
      </w:r>
      <w:r>
        <w:rPr>
          <w:rStyle w:val="17"/>
          <w:rFonts w:hint="eastAsia" w:ascii="宋体" w:hAnsi="宋体" w:eastAsia="宋体" w:cs="宋体"/>
          <w:b w:val="0"/>
          <w:color w:val="000000"/>
          <w:sz w:val="21"/>
          <w:szCs w:val="21"/>
          <w:highlight w:val="none"/>
          <w:u w:val="single"/>
          <w:lang w:eastAsia="zh-CN"/>
        </w:rPr>
        <w:t>万元</w:t>
      </w:r>
      <w:bookmarkEnd w:id="11"/>
      <w:r>
        <w:rPr>
          <w:rStyle w:val="17"/>
          <w:rFonts w:hint="eastAsia" w:ascii="宋体" w:hAnsi="宋体" w:eastAsia="宋体" w:cs="宋体"/>
          <w:b w:val="0"/>
          <w:color w:val="000000"/>
          <w:sz w:val="21"/>
          <w:szCs w:val="21"/>
          <w:highlight w:val="none"/>
          <w:lang w:eastAsia="zh-CN"/>
        </w:rPr>
        <w:t>，其余</w:t>
      </w:r>
      <w:r>
        <w:rPr>
          <w:rStyle w:val="17"/>
          <w:rFonts w:hint="eastAsia" w:ascii="宋体" w:hAnsi="宋体" w:eastAsia="宋体" w:cs="宋体"/>
          <w:b w:val="0"/>
          <w:color w:val="000000"/>
          <w:sz w:val="21"/>
          <w:szCs w:val="21"/>
          <w:highlight w:val="none"/>
          <w:u w:val="single"/>
          <w:lang w:eastAsia="zh-CN"/>
        </w:rPr>
        <w:t>4</w:t>
      </w:r>
      <w:r>
        <w:rPr>
          <w:rStyle w:val="17"/>
          <w:rFonts w:hint="eastAsia" w:ascii="宋体" w:hAnsi="宋体" w:eastAsia="宋体" w:cs="宋体"/>
          <w:b w:val="0"/>
          <w:color w:val="000000"/>
          <w:sz w:val="21"/>
          <w:szCs w:val="21"/>
          <w:highlight w:val="none"/>
          <w:u w:val="single"/>
          <w:lang w:val="en-US" w:eastAsia="zh-CN"/>
        </w:rPr>
        <w:t>1852</w:t>
      </w:r>
      <w:r>
        <w:rPr>
          <w:rStyle w:val="17"/>
          <w:rFonts w:hint="eastAsia" w:ascii="宋体" w:hAnsi="宋体" w:eastAsia="宋体" w:cs="宋体"/>
          <w:b w:val="0"/>
          <w:color w:val="000000"/>
          <w:sz w:val="21"/>
          <w:szCs w:val="21"/>
          <w:highlight w:val="none"/>
          <w:u w:val="single"/>
          <w:lang w:eastAsia="zh-CN"/>
        </w:rPr>
        <w:t>万元</w:t>
      </w:r>
      <w:r>
        <w:rPr>
          <w:rStyle w:val="17"/>
          <w:rFonts w:hint="eastAsia" w:ascii="宋体" w:hAnsi="宋体" w:eastAsia="宋体" w:cs="宋体"/>
          <w:b w:val="0"/>
          <w:color w:val="000000"/>
          <w:sz w:val="21"/>
          <w:szCs w:val="21"/>
          <w:highlight w:val="none"/>
          <w:lang w:eastAsia="zh-CN"/>
        </w:rPr>
        <w:t>由地方自筹</w:t>
      </w:r>
      <w:r>
        <w:rPr>
          <w:rStyle w:val="17"/>
          <w:rFonts w:hint="eastAsia" w:ascii="宋体" w:hAnsi="宋体" w:eastAsia="宋体" w:cs="宋体"/>
          <w:b w:val="0"/>
          <w:color w:val="000000"/>
          <w:sz w:val="21"/>
          <w:szCs w:val="21"/>
          <w:highlight w:val="none"/>
        </w:rPr>
        <w:t>，招标人为</w:t>
      </w:r>
      <w:r>
        <w:rPr>
          <w:rStyle w:val="17"/>
          <w:rFonts w:hint="eastAsia" w:ascii="宋体" w:hAnsi="宋体" w:eastAsia="宋体" w:cs="宋体"/>
          <w:b w:val="0"/>
          <w:color w:val="000000"/>
          <w:sz w:val="21"/>
          <w:szCs w:val="21"/>
          <w:highlight w:val="none"/>
          <w:u w:val="single"/>
        </w:rPr>
        <w:t xml:space="preserve"> 国道京漠公路加格达奇至瓦拉干段改建工程建设指挥部 </w:t>
      </w:r>
      <w:r>
        <w:rPr>
          <w:rStyle w:val="17"/>
          <w:rFonts w:hint="eastAsia" w:ascii="宋体" w:hAnsi="宋体" w:eastAsia="宋体" w:cs="宋体"/>
          <w:b w:val="0"/>
          <w:color w:val="000000"/>
          <w:sz w:val="21"/>
          <w:szCs w:val="21"/>
          <w:highlight w:val="none"/>
        </w:rPr>
        <w:t>。项目已具备招标条件，现对该项目的</w:t>
      </w:r>
      <w:r>
        <w:rPr>
          <w:rStyle w:val="17"/>
          <w:rFonts w:hint="eastAsia" w:ascii="宋体" w:hAnsi="宋体" w:eastAsia="宋体" w:cs="宋体"/>
          <w:b w:val="0"/>
          <w:color w:val="000000"/>
          <w:sz w:val="21"/>
          <w:szCs w:val="21"/>
          <w:highlight w:val="none"/>
          <w:lang w:eastAsia="zh-CN"/>
        </w:rPr>
        <w:t>勘察设计</w:t>
      </w:r>
      <w:r>
        <w:rPr>
          <w:rStyle w:val="17"/>
          <w:rFonts w:hint="eastAsia" w:ascii="宋体" w:hAnsi="宋体" w:eastAsia="宋体" w:cs="宋体"/>
          <w:b w:val="0"/>
          <w:color w:val="000000"/>
          <w:sz w:val="21"/>
          <w:szCs w:val="21"/>
          <w:highlight w:val="none"/>
        </w:rPr>
        <w:t>进行公开招标。</w:t>
      </w:r>
    </w:p>
    <w:p w14:paraId="1F743193">
      <w:pPr>
        <w:adjustRightInd w:val="0"/>
        <w:snapToGrid w:val="0"/>
        <w:spacing w:line="360" w:lineRule="auto"/>
        <w:ind w:firstLine="422" w:firstLineChars="200"/>
        <w:jc w:val="left"/>
        <w:rPr>
          <w:rFonts w:hint="eastAsia" w:ascii="宋体" w:hAnsi="宋体"/>
          <w:b/>
          <w:color w:val="000000"/>
          <w:highlight w:val="none"/>
        </w:rPr>
      </w:pPr>
      <w:r>
        <w:rPr>
          <w:rFonts w:hint="eastAsia" w:ascii="宋体" w:hAnsi="宋体"/>
          <w:b/>
          <w:color w:val="000000"/>
          <w:highlight w:val="none"/>
        </w:rPr>
        <w:t>2．项目概况与招标范围</w:t>
      </w:r>
    </w:p>
    <w:p w14:paraId="36A90480">
      <w:pPr>
        <w:pStyle w:val="2"/>
        <w:tabs>
          <w:tab w:val="left" w:pos="851"/>
        </w:tabs>
        <w:ind w:firstLine="420" w:firstLineChars="200"/>
        <w:rPr>
          <w:rStyle w:val="17"/>
          <w:rFonts w:hint="eastAsia" w:ascii="宋体" w:hAnsi="宋体" w:eastAsia="宋体" w:cs="宋体"/>
          <w:b w:val="0"/>
          <w:kern w:val="2"/>
          <w:sz w:val="21"/>
          <w:szCs w:val="21"/>
          <w:highlight w:val="none"/>
          <w:lang w:eastAsia="zh-CN"/>
        </w:rPr>
      </w:pPr>
      <w:r>
        <w:rPr>
          <w:rStyle w:val="17"/>
          <w:rFonts w:hint="eastAsia" w:ascii="宋体" w:hAnsi="宋体" w:eastAsia="宋体" w:cs="宋体"/>
          <w:b w:val="0"/>
          <w:kern w:val="2"/>
          <w:sz w:val="21"/>
          <w:szCs w:val="21"/>
          <w:highlight w:val="none"/>
          <w:lang w:eastAsia="zh-CN"/>
        </w:rPr>
        <w:t>2.1建设规模：国道京漠公路加格达奇至瓦拉干段路线总长约302km，其中一级路段长9.3km，二级路段长292.7km（一级公路段路基宽度24.5m，二级公路段路基宽度12.0m，设计速度</w:t>
      </w:r>
      <w:r>
        <w:rPr>
          <w:rStyle w:val="17"/>
          <w:rFonts w:hint="eastAsia" w:ascii="宋体" w:hAnsi="宋体" w:eastAsia="宋体" w:cs="宋体"/>
          <w:b w:val="0"/>
          <w:kern w:val="2"/>
          <w:sz w:val="21"/>
          <w:szCs w:val="21"/>
          <w:highlight w:val="none"/>
          <w:lang w:val="en-US" w:eastAsia="zh-CN"/>
        </w:rPr>
        <w:t>80km/h</w:t>
      </w:r>
      <w:r>
        <w:rPr>
          <w:rStyle w:val="17"/>
          <w:rFonts w:hint="eastAsia" w:ascii="宋体" w:hAnsi="宋体" w:eastAsia="宋体" w:cs="宋体"/>
          <w:b w:val="0"/>
          <w:kern w:val="2"/>
          <w:sz w:val="21"/>
          <w:szCs w:val="21"/>
          <w:highlight w:val="none"/>
          <w:lang w:eastAsia="zh-CN"/>
        </w:rPr>
        <w:t>）。</w:t>
      </w:r>
    </w:p>
    <w:p w14:paraId="43DA3719">
      <w:pPr>
        <w:pStyle w:val="2"/>
        <w:tabs>
          <w:tab w:val="left" w:pos="851"/>
        </w:tabs>
        <w:ind w:firstLine="420" w:firstLineChars="200"/>
        <w:rPr>
          <w:rStyle w:val="17"/>
          <w:rFonts w:hint="eastAsia" w:ascii="宋体" w:hAnsi="宋体" w:eastAsia="宋体" w:cs="宋体"/>
          <w:b w:val="0"/>
          <w:kern w:val="2"/>
          <w:sz w:val="21"/>
          <w:szCs w:val="21"/>
          <w:highlight w:val="none"/>
          <w:lang w:val="en-US" w:eastAsia="zh-CN"/>
        </w:rPr>
      </w:pPr>
      <w:r>
        <w:rPr>
          <w:rStyle w:val="17"/>
          <w:rFonts w:hint="eastAsia" w:ascii="宋体" w:hAnsi="宋体" w:eastAsia="宋体" w:cs="宋体"/>
          <w:b w:val="0"/>
          <w:kern w:val="2"/>
          <w:sz w:val="21"/>
          <w:szCs w:val="21"/>
          <w:highlight w:val="none"/>
          <w:lang w:val="en-US" w:eastAsia="zh-CN"/>
        </w:rPr>
        <w:t>本项目为公路改建项目，项目全长约302km，其中一级公路长度约9.3km，二级公路长度约292.7km。</w:t>
      </w:r>
      <w:bookmarkStart w:id="12" w:name="_Hlk143031036"/>
      <w:r>
        <w:rPr>
          <w:rStyle w:val="17"/>
          <w:rFonts w:hint="eastAsia" w:ascii="宋体" w:hAnsi="宋体" w:eastAsia="宋体" w:cs="宋体"/>
          <w:b w:val="0"/>
          <w:kern w:val="2"/>
          <w:sz w:val="21"/>
          <w:szCs w:val="21"/>
          <w:highlight w:val="none"/>
          <w:lang w:val="en-US" w:eastAsia="zh-CN"/>
        </w:rPr>
        <w:t>本项目划分为两种建设类别，即冻土等病害集中路段进行改建；其他路段进行路面改造，路面改造的同时对路段内水毁、冻土等路基病害进行处置。其中，改建路段共6段，合计103.9km（二级公路，含特大桥7座共计8855米）；路面改造段共7段，长度198.1km，其中一级公路段9.3km，二级公路段188.8km。</w:t>
      </w:r>
      <w:bookmarkEnd w:id="12"/>
    </w:p>
    <w:p w14:paraId="655FE840">
      <w:pPr>
        <w:adjustRightInd w:val="0"/>
        <w:snapToGrid w:val="0"/>
        <w:spacing w:line="360" w:lineRule="auto"/>
        <w:ind w:firstLine="420" w:firstLineChars="200"/>
        <w:jc w:val="left"/>
        <w:rPr>
          <w:rFonts w:hint="eastAsia" w:ascii="宋体" w:hAnsi="宋体" w:eastAsia="宋体"/>
          <w:color w:val="000000"/>
          <w:highlight w:val="none"/>
          <w:lang w:eastAsia="zh-CN"/>
        </w:rPr>
      </w:pPr>
      <w:r>
        <w:rPr>
          <w:rFonts w:hint="eastAsia" w:ascii="宋体" w:hAnsi="宋体"/>
          <w:color w:val="000000"/>
          <w:highlight w:val="none"/>
        </w:rPr>
        <w:t>2.2建设地点：</w:t>
      </w:r>
      <w:r>
        <w:rPr>
          <w:rFonts w:hint="eastAsia"/>
          <w:color w:val="000000"/>
          <w:highlight w:val="none"/>
          <w:lang w:val="en-US" w:eastAsia="zh-CN"/>
        </w:rPr>
        <w:t>大兴安岭地区（加格达奇区、松岭区、新林区、塔河县）</w:t>
      </w:r>
    </w:p>
    <w:p w14:paraId="5B33D9BB">
      <w:pPr>
        <w:adjustRightInd w:val="0"/>
        <w:snapToGrid w:val="0"/>
        <w:spacing w:line="360" w:lineRule="auto"/>
        <w:ind w:firstLine="420" w:firstLineChars="200"/>
        <w:jc w:val="left"/>
        <w:rPr>
          <w:rFonts w:hint="eastAsia" w:ascii="宋体" w:hAnsi="宋体"/>
          <w:b w:val="0"/>
          <w:bCs w:val="0"/>
          <w:color w:val="000000"/>
          <w:highlight w:val="none"/>
          <w:lang w:eastAsia="zh-CN"/>
        </w:rPr>
      </w:pPr>
      <w:r>
        <w:rPr>
          <w:rFonts w:hint="eastAsia" w:ascii="宋体" w:hAnsi="宋体"/>
          <w:color w:val="000000"/>
          <w:kern w:val="0"/>
          <w:szCs w:val="21"/>
          <w:highlight w:val="none"/>
        </w:rPr>
        <w:t>2.3</w:t>
      </w:r>
      <w:r>
        <w:rPr>
          <w:rFonts w:hint="eastAsia" w:ascii="宋体" w:hAnsi="宋体"/>
          <w:b w:val="0"/>
          <w:bCs w:val="0"/>
          <w:color w:val="000000"/>
          <w:highlight w:val="none"/>
          <w:lang w:eastAsia="zh-CN"/>
        </w:rPr>
        <w:t>招标范围：</w:t>
      </w:r>
    </w:p>
    <w:p w14:paraId="139F3ECE">
      <w:pPr>
        <w:adjustRightInd w:val="0"/>
        <w:snapToGrid w:val="0"/>
        <w:spacing w:line="360" w:lineRule="auto"/>
        <w:ind w:firstLine="420" w:firstLineChars="200"/>
        <w:rPr>
          <w:rFonts w:hint="eastAsia" w:ascii="宋体" w:hAnsi="宋体" w:eastAsia="宋体" w:cs="Times New Roman"/>
          <w:color w:val="000000"/>
          <w:highlight w:val="none"/>
          <w:lang w:eastAsia="zh-CN"/>
        </w:rPr>
      </w:pPr>
      <w:r>
        <w:rPr>
          <w:rFonts w:hint="eastAsia" w:ascii="宋体" w:hAnsi="宋体" w:eastAsia="宋体" w:cs="Times New Roman"/>
          <w:color w:val="000000"/>
          <w:highlight w:val="none"/>
          <w:lang w:eastAsia="zh-CN"/>
        </w:rPr>
        <w:t>本项目路线、路基、路面、桥涵、交叉、交通工程及沿线设施、绿化及环境保工程的工程勘察、初步设计、施工图设计及后续服务。包括：初勘、初测、详勘、定测、初步设计（含概算）、施工图（含预算）编制以及配合业主进行本项目初步设计和施工图设计审查及其他项目技术咨询并出具审查报告、施工招标文件（图纸、工程量清单及施工专业技术规范部分）编制、征地拆迁图编绘、施工过程后期服务、交验工作及竣工所需图纸和文字材料等</w:t>
      </w:r>
      <w:r>
        <w:rPr>
          <w:rFonts w:hint="eastAsia" w:ascii="宋体" w:hAnsi="宋体" w:eastAsia="宋体" w:cs="Times New Roman"/>
          <w:color w:val="000000"/>
          <w:highlight w:val="none"/>
          <w:lang w:val="en-US" w:eastAsia="zh-CN"/>
        </w:rPr>
        <w:t>交通运输部《公路工程基本建设项目设计文件编制办法》规定的与初步勘察设计、施工图勘察设计有关的其他所有工作</w:t>
      </w:r>
      <w:r>
        <w:rPr>
          <w:rFonts w:hint="eastAsia" w:ascii="宋体" w:hAnsi="宋体" w:eastAsia="宋体" w:cs="Times New Roman"/>
          <w:color w:val="000000"/>
          <w:highlight w:val="none"/>
        </w:rPr>
        <w:t>。</w:t>
      </w:r>
    </w:p>
    <w:p w14:paraId="774967CF">
      <w:pPr>
        <w:adjustRightInd w:val="0"/>
        <w:snapToGrid w:val="0"/>
        <w:spacing w:line="360" w:lineRule="auto"/>
        <w:ind w:firstLine="420" w:firstLineChars="200"/>
        <w:jc w:val="left"/>
        <w:rPr>
          <w:rFonts w:hint="eastAsia" w:ascii="宋体" w:hAnsi="宋体"/>
          <w:color w:val="000000"/>
          <w:szCs w:val="21"/>
          <w:highlight w:val="none"/>
          <w:lang w:val="en-US" w:eastAsia="zh-CN"/>
        </w:rPr>
      </w:pPr>
      <w:r>
        <w:rPr>
          <w:rFonts w:hint="eastAsia" w:ascii="宋体" w:hAnsi="宋体"/>
          <w:color w:val="000000"/>
          <w:kern w:val="0"/>
          <w:szCs w:val="21"/>
          <w:highlight w:val="none"/>
        </w:rPr>
        <w:t>2.4</w:t>
      </w:r>
      <w:r>
        <w:rPr>
          <w:rFonts w:hint="eastAsia" w:ascii="宋体" w:hAnsi="宋体"/>
          <w:color w:val="000000"/>
          <w:szCs w:val="21"/>
          <w:highlight w:val="none"/>
        </w:rPr>
        <w:t>标段划分：本项目共分</w:t>
      </w:r>
      <w:r>
        <w:rPr>
          <w:rFonts w:hint="eastAsia" w:ascii="宋体" w:hAnsi="宋体"/>
          <w:color w:val="000000"/>
          <w:szCs w:val="21"/>
          <w:highlight w:val="none"/>
          <w:lang w:val="en-US" w:eastAsia="zh-CN"/>
        </w:rPr>
        <w:t>1</w:t>
      </w:r>
      <w:r>
        <w:rPr>
          <w:rFonts w:hint="eastAsia" w:ascii="宋体" w:hAnsi="宋体"/>
          <w:color w:val="000000"/>
          <w:szCs w:val="21"/>
          <w:highlight w:val="none"/>
        </w:rPr>
        <w:t>个标段（SJ1）。</w:t>
      </w:r>
      <w:r>
        <w:rPr>
          <w:rFonts w:hint="eastAsia" w:ascii="宋体" w:hAnsi="宋体"/>
          <w:color w:val="000000"/>
          <w:szCs w:val="21"/>
          <w:highlight w:val="none"/>
          <w:lang w:eastAsia="zh-CN"/>
        </w:rPr>
        <w:t>主要工程内容见下表</w:t>
      </w:r>
      <w:r>
        <w:rPr>
          <w:rFonts w:hint="eastAsia" w:ascii="宋体" w:hAnsi="宋体"/>
          <w:color w:val="000000"/>
          <w:szCs w:val="21"/>
          <w:highlight w:val="none"/>
          <w:lang w:val="en-US" w:eastAsia="zh-CN"/>
        </w:rPr>
        <w:t>：</w:t>
      </w:r>
    </w:p>
    <w:tbl>
      <w:tblPr>
        <w:tblStyle w:val="15"/>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435"/>
        <w:gridCol w:w="531"/>
        <w:gridCol w:w="2349"/>
        <w:gridCol w:w="979"/>
        <w:gridCol w:w="2713"/>
        <w:gridCol w:w="1515"/>
      </w:tblGrid>
      <w:tr w14:paraId="4180D34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436" w:type="dxa"/>
            <w:tcBorders>
              <w:top w:val="single" w:color="auto" w:sz="12" w:space="0"/>
              <w:left w:val="single" w:color="auto" w:sz="12" w:space="0"/>
              <w:bottom w:val="dotted" w:color="auto" w:sz="4" w:space="0"/>
              <w:right w:val="dotted" w:color="auto" w:sz="4" w:space="0"/>
            </w:tcBorders>
            <w:noWrap w:val="0"/>
            <w:vAlign w:val="center"/>
          </w:tcPr>
          <w:p w14:paraId="6F5A207B">
            <w:pPr>
              <w:adjustRightInd w:val="0"/>
              <w:snapToGrid w:val="0"/>
              <w:spacing w:line="360" w:lineRule="auto"/>
              <w:jc w:val="center"/>
              <w:rPr>
                <w:rFonts w:hint="default" w:ascii="宋体" w:hAnsi="宋体"/>
                <w:b/>
                <w:bCs/>
                <w:color w:val="000000"/>
                <w:sz w:val="21"/>
                <w:szCs w:val="21"/>
                <w:highlight w:val="none"/>
                <w:vertAlign w:val="baseline"/>
                <w:lang w:val="en-US" w:eastAsia="zh-CN"/>
              </w:rPr>
            </w:pPr>
            <w:r>
              <w:rPr>
                <w:rFonts w:hint="eastAsia" w:ascii="宋体" w:hAnsi="宋体"/>
                <w:b/>
                <w:bCs/>
                <w:color w:val="000000"/>
                <w:sz w:val="21"/>
                <w:szCs w:val="21"/>
                <w:highlight w:val="none"/>
                <w:vertAlign w:val="baseline"/>
                <w:lang w:val="en-US" w:eastAsia="zh-CN"/>
              </w:rPr>
              <w:t>序号</w:t>
            </w:r>
          </w:p>
        </w:tc>
        <w:tc>
          <w:tcPr>
            <w:tcW w:w="531" w:type="dxa"/>
            <w:tcBorders>
              <w:top w:val="single" w:color="auto" w:sz="12" w:space="0"/>
              <w:left w:val="dotted" w:color="auto" w:sz="4" w:space="0"/>
              <w:bottom w:val="dotted" w:color="auto" w:sz="4" w:space="0"/>
              <w:right w:val="dotted" w:color="auto" w:sz="4" w:space="0"/>
            </w:tcBorders>
            <w:noWrap w:val="0"/>
            <w:vAlign w:val="center"/>
          </w:tcPr>
          <w:p w14:paraId="390384C8">
            <w:pPr>
              <w:adjustRightInd w:val="0"/>
              <w:snapToGrid w:val="0"/>
              <w:spacing w:line="360" w:lineRule="auto"/>
              <w:jc w:val="center"/>
              <w:rPr>
                <w:rFonts w:hint="default" w:ascii="宋体" w:hAnsi="宋体"/>
                <w:b/>
                <w:bCs/>
                <w:color w:val="000000"/>
                <w:sz w:val="21"/>
                <w:szCs w:val="21"/>
                <w:highlight w:val="none"/>
                <w:vertAlign w:val="baseline"/>
                <w:lang w:val="en-US" w:eastAsia="zh-CN"/>
              </w:rPr>
            </w:pPr>
            <w:r>
              <w:rPr>
                <w:rFonts w:hint="eastAsia" w:ascii="宋体" w:hAnsi="宋体"/>
                <w:b/>
                <w:bCs/>
                <w:color w:val="000000"/>
                <w:sz w:val="21"/>
                <w:szCs w:val="21"/>
                <w:highlight w:val="none"/>
                <w:vertAlign w:val="baseline"/>
                <w:lang w:val="en-US" w:eastAsia="zh-CN"/>
              </w:rPr>
              <w:t>标段</w:t>
            </w:r>
          </w:p>
        </w:tc>
        <w:tc>
          <w:tcPr>
            <w:tcW w:w="2350" w:type="dxa"/>
            <w:tcBorders>
              <w:top w:val="single" w:color="auto" w:sz="12" w:space="0"/>
              <w:left w:val="dotted" w:color="auto" w:sz="4" w:space="0"/>
              <w:bottom w:val="dotted" w:color="auto" w:sz="4" w:space="0"/>
              <w:right w:val="dotted" w:color="auto" w:sz="4" w:space="0"/>
            </w:tcBorders>
            <w:noWrap w:val="0"/>
            <w:vAlign w:val="center"/>
          </w:tcPr>
          <w:p w14:paraId="50DE8E38">
            <w:pPr>
              <w:adjustRightInd w:val="0"/>
              <w:snapToGrid w:val="0"/>
              <w:spacing w:line="360" w:lineRule="auto"/>
              <w:jc w:val="center"/>
              <w:rPr>
                <w:rFonts w:hint="default" w:ascii="宋体" w:hAnsi="宋体"/>
                <w:b/>
                <w:bCs/>
                <w:color w:val="000000"/>
                <w:sz w:val="21"/>
                <w:szCs w:val="21"/>
                <w:highlight w:val="none"/>
                <w:vertAlign w:val="baseline"/>
                <w:lang w:val="en-US" w:eastAsia="zh-CN"/>
              </w:rPr>
            </w:pPr>
            <w:r>
              <w:rPr>
                <w:rFonts w:hint="eastAsia" w:ascii="宋体" w:hAnsi="宋体"/>
                <w:b/>
                <w:bCs/>
                <w:color w:val="000000"/>
                <w:sz w:val="21"/>
                <w:szCs w:val="21"/>
                <w:highlight w:val="none"/>
                <w:vertAlign w:val="baseline"/>
                <w:lang w:val="en-US" w:eastAsia="zh-CN"/>
              </w:rPr>
              <w:t>位置</w:t>
            </w:r>
          </w:p>
        </w:tc>
        <w:tc>
          <w:tcPr>
            <w:tcW w:w="979" w:type="dxa"/>
            <w:tcBorders>
              <w:top w:val="single" w:color="auto" w:sz="12" w:space="0"/>
              <w:left w:val="dotted" w:color="auto" w:sz="4" w:space="0"/>
              <w:bottom w:val="dotted" w:color="auto" w:sz="4" w:space="0"/>
              <w:right w:val="dotted" w:color="auto" w:sz="4" w:space="0"/>
            </w:tcBorders>
            <w:noWrap w:val="0"/>
            <w:vAlign w:val="center"/>
          </w:tcPr>
          <w:p w14:paraId="76870136">
            <w:pPr>
              <w:spacing w:line="360" w:lineRule="exact"/>
              <w:jc w:val="center"/>
              <w:rPr>
                <w:rFonts w:ascii="宋体" w:hAnsi="宋体" w:cs="宋体"/>
                <w:b/>
                <w:color w:val="000000"/>
                <w:szCs w:val="21"/>
                <w:highlight w:val="none"/>
              </w:rPr>
            </w:pPr>
            <w:r>
              <w:rPr>
                <w:rFonts w:hint="eastAsia" w:ascii="宋体" w:hAnsi="宋体" w:cs="宋体"/>
                <w:b/>
                <w:color w:val="000000"/>
                <w:szCs w:val="21"/>
                <w:highlight w:val="none"/>
              </w:rPr>
              <w:t>长度</w:t>
            </w:r>
          </w:p>
          <w:p w14:paraId="3AABAEEA">
            <w:pPr>
              <w:adjustRightInd w:val="0"/>
              <w:snapToGrid w:val="0"/>
              <w:spacing w:line="360" w:lineRule="auto"/>
              <w:jc w:val="center"/>
              <w:rPr>
                <w:rFonts w:hint="eastAsia" w:ascii="宋体" w:hAnsi="宋体"/>
                <w:b/>
                <w:bCs/>
                <w:color w:val="000000"/>
                <w:sz w:val="21"/>
                <w:szCs w:val="21"/>
                <w:highlight w:val="none"/>
                <w:vertAlign w:val="baseline"/>
                <w:lang w:val="en-US" w:eastAsia="zh-CN"/>
              </w:rPr>
            </w:pPr>
            <w:r>
              <w:rPr>
                <w:rFonts w:hint="eastAsia" w:ascii="宋体" w:hAnsi="宋体" w:cs="宋体"/>
                <w:b/>
                <w:color w:val="000000"/>
                <w:szCs w:val="21"/>
                <w:highlight w:val="none"/>
              </w:rPr>
              <w:t>（公里）</w:t>
            </w:r>
          </w:p>
        </w:tc>
        <w:tc>
          <w:tcPr>
            <w:tcW w:w="2716" w:type="dxa"/>
            <w:tcBorders>
              <w:top w:val="single" w:color="auto" w:sz="12" w:space="0"/>
              <w:left w:val="dotted" w:color="auto" w:sz="4" w:space="0"/>
              <w:bottom w:val="dotted" w:color="auto" w:sz="4" w:space="0"/>
              <w:right w:val="dotted" w:color="auto" w:sz="4" w:space="0"/>
            </w:tcBorders>
            <w:noWrap w:val="0"/>
            <w:vAlign w:val="center"/>
          </w:tcPr>
          <w:p w14:paraId="755A91E5">
            <w:pPr>
              <w:adjustRightInd w:val="0"/>
              <w:snapToGrid w:val="0"/>
              <w:spacing w:line="360" w:lineRule="auto"/>
              <w:jc w:val="center"/>
              <w:rPr>
                <w:rFonts w:hint="default" w:ascii="宋体" w:hAnsi="宋体"/>
                <w:b/>
                <w:bCs/>
                <w:color w:val="000000"/>
                <w:sz w:val="21"/>
                <w:szCs w:val="21"/>
                <w:highlight w:val="none"/>
                <w:vertAlign w:val="baseline"/>
                <w:lang w:val="en-US" w:eastAsia="zh-CN"/>
              </w:rPr>
            </w:pPr>
            <w:r>
              <w:rPr>
                <w:rFonts w:hint="eastAsia" w:ascii="宋体" w:hAnsi="宋体"/>
                <w:b/>
                <w:bCs/>
                <w:color w:val="000000"/>
                <w:sz w:val="21"/>
                <w:szCs w:val="21"/>
                <w:highlight w:val="none"/>
                <w:vertAlign w:val="baseline"/>
                <w:lang w:val="en-US" w:eastAsia="zh-CN"/>
              </w:rPr>
              <w:t>工作内容</w:t>
            </w:r>
          </w:p>
        </w:tc>
        <w:tc>
          <w:tcPr>
            <w:tcW w:w="1516" w:type="dxa"/>
            <w:tcBorders>
              <w:top w:val="single" w:color="auto" w:sz="12" w:space="0"/>
              <w:left w:val="dotted" w:color="auto" w:sz="4" w:space="0"/>
              <w:bottom w:val="dotted" w:color="auto" w:sz="4" w:space="0"/>
              <w:right w:val="single" w:color="auto" w:sz="12" w:space="0"/>
            </w:tcBorders>
            <w:noWrap w:val="0"/>
            <w:vAlign w:val="center"/>
          </w:tcPr>
          <w:p w14:paraId="34171494">
            <w:pPr>
              <w:adjustRightInd w:val="0"/>
              <w:snapToGrid w:val="0"/>
              <w:spacing w:line="360" w:lineRule="auto"/>
              <w:jc w:val="center"/>
              <w:rPr>
                <w:rFonts w:hint="default" w:ascii="宋体" w:hAnsi="宋体"/>
                <w:b/>
                <w:bCs/>
                <w:color w:val="000000"/>
                <w:sz w:val="21"/>
                <w:szCs w:val="21"/>
                <w:highlight w:val="none"/>
                <w:vertAlign w:val="baseline"/>
                <w:lang w:val="en-US" w:eastAsia="zh-CN"/>
              </w:rPr>
            </w:pPr>
            <w:r>
              <w:rPr>
                <w:rFonts w:hint="eastAsia" w:ascii="宋体" w:hAnsi="宋体"/>
                <w:b/>
                <w:bCs/>
                <w:color w:val="000000"/>
                <w:sz w:val="21"/>
                <w:szCs w:val="21"/>
                <w:highlight w:val="none"/>
                <w:vertAlign w:val="baseline"/>
                <w:lang w:val="en-US" w:eastAsia="zh-CN"/>
              </w:rPr>
              <w:t>最高投标限价</w:t>
            </w:r>
          </w:p>
          <w:p w14:paraId="6498EB7F">
            <w:pPr>
              <w:adjustRightInd w:val="0"/>
              <w:snapToGrid w:val="0"/>
              <w:spacing w:line="360" w:lineRule="auto"/>
              <w:jc w:val="center"/>
              <w:rPr>
                <w:rFonts w:hint="default" w:ascii="宋体" w:hAnsi="宋体"/>
                <w:b/>
                <w:bCs/>
                <w:color w:val="000000"/>
                <w:sz w:val="21"/>
                <w:szCs w:val="21"/>
                <w:highlight w:val="none"/>
                <w:vertAlign w:val="baseline"/>
                <w:lang w:val="en-US" w:eastAsia="zh-CN"/>
              </w:rPr>
            </w:pPr>
            <w:r>
              <w:rPr>
                <w:rFonts w:hint="eastAsia" w:ascii="宋体" w:hAnsi="宋体"/>
                <w:b/>
                <w:bCs/>
                <w:color w:val="000000"/>
                <w:sz w:val="21"/>
                <w:szCs w:val="21"/>
                <w:highlight w:val="none"/>
                <w:vertAlign w:val="baseline"/>
                <w:lang w:val="en-US" w:eastAsia="zh-CN"/>
              </w:rPr>
              <w:t>（万元人民币）</w:t>
            </w:r>
          </w:p>
        </w:tc>
      </w:tr>
      <w:tr w14:paraId="5453B2C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70" w:hRule="atLeast"/>
        </w:trPr>
        <w:tc>
          <w:tcPr>
            <w:tcW w:w="436" w:type="dxa"/>
            <w:tcBorders>
              <w:top w:val="dotted" w:color="auto" w:sz="4" w:space="0"/>
              <w:left w:val="single" w:color="auto" w:sz="12" w:space="0"/>
              <w:bottom w:val="dotted" w:color="auto" w:sz="4" w:space="0"/>
              <w:right w:val="dotted" w:color="auto" w:sz="4" w:space="0"/>
            </w:tcBorders>
            <w:noWrap w:val="0"/>
            <w:vAlign w:val="center"/>
          </w:tcPr>
          <w:p w14:paraId="6C3C913F">
            <w:pPr>
              <w:adjustRightInd w:val="0"/>
              <w:snapToGrid w:val="0"/>
              <w:spacing w:line="360" w:lineRule="auto"/>
              <w:jc w:val="center"/>
              <w:rPr>
                <w:rFonts w:hint="default" w:ascii="宋体" w:hAnsi="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1</w:t>
            </w:r>
          </w:p>
        </w:tc>
        <w:tc>
          <w:tcPr>
            <w:tcW w:w="531" w:type="dxa"/>
            <w:vMerge w:val="restart"/>
            <w:tcBorders>
              <w:top w:val="dotted" w:color="auto" w:sz="4" w:space="0"/>
              <w:left w:val="dotted" w:color="auto" w:sz="4" w:space="0"/>
              <w:right w:val="dotted" w:color="auto" w:sz="4" w:space="0"/>
            </w:tcBorders>
            <w:noWrap w:val="0"/>
            <w:vAlign w:val="center"/>
          </w:tcPr>
          <w:p w14:paraId="33007955">
            <w:pPr>
              <w:adjustRightInd w:val="0"/>
              <w:snapToGrid w:val="0"/>
              <w:spacing w:line="360" w:lineRule="auto"/>
              <w:jc w:val="center"/>
              <w:rPr>
                <w:rFonts w:hint="default" w:ascii="宋体" w:hAnsi="宋体"/>
                <w:color w:val="000000"/>
                <w:sz w:val="21"/>
                <w:szCs w:val="21"/>
                <w:highlight w:val="none"/>
                <w:vertAlign w:val="baseline"/>
                <w:lang w:val="en-US" w:eastAsia="zh-CN"/>
              </w:rPr>
            </w:pPr>
            <w:r>
              <w:rPr>
                <w:rFonts w:hint="eastAsia" w:ascii="宋体" w:hAnsi="宋体"/>
                <w:color w:val="000000"/>
                <w:szCs w:val="21"/>
                <w:highlight w:val="none"/>
              </w:rPr>
              <w:t>SJ1</w:t>
            </w:r>
          </w:p>
        </w:tc>
        <w:tc>
          <w:tcPr>
            <w:tcW w:w="2350" w:type="dxa"/>
            <w:tcBorders>
              <w:top w:val="dotted" w:color="auto" w:sz="4" w:space="0"/>
              <w:left w:val="dotted" w:color="auto" w:sz="4" w:space="0"/>
              <w:bottom w:val="dotted" w:color="auto" w:sz="4" w:space="0"/>
              <w:right w:val="dotted" w:color="auto" w:sz="4" w:space="0"/>
            </w:tcBorders>
            <w:noWrap w:val="0"/>
            <w:vAlign w:val="center"/>
          </w:tcPr>
          <w:p w14:paraId="32809F50">
            <w:pPr>
              <w:adjustRightInd w:val="0"/>
              <w:snapToGrid w:val="0"/>
              <w:spacing w:line="360" w:lineRule="auto"/>
              <w:jc w:val="center"/>
              <w:rPr>
                <w:rFonts w:hint="eastAsia" w:ascii="宋体" w:hAnsi="宋体"/>
                <w:color w:val="000000"/>
                <w:highlight w:val="none"/>
              </w:rPr>
            </w:pPr>
            <w:r>
              <w:rPr>
                <w:rFonts w:hint="eastAsia" w:ascii="宋体" w:hAnsi="宋体"/>
                <w:color w:val="000000"/>
                <w:highlight w:val="none"/>
              </w:rPr>
              <w:t>K2004+272～K2013+552</w:t>
            </w:r>
          </w:p>
          <w:p w14:paraId="523D6843">
            <w:pPr>
              <w:adjustRightInd w:val="0"/>
              <w:snapToGrid w:val="0"/>
              <w:spacing w:line="360" w:lineRule="auto"/>
              <w:jc w:val="center"/>
              <w:rPr>
                <w:rFonts w:hint="default" w:ascii="宋体" w:hAnsi="宋体"/>
                <w:color w:val="000000"/>
                <w:szCs w:val="21"/>
                <w:highlight w:val="none"/>
                <w:lang w:val="en-US" w:eastAsia="zh-CN"/>
              </w:rPr>
            </w:pPr>
            <w:r>
              <w:rPr>
                <w:rFonts w:hint="eastAsia" w:ascii="宋体" w:hAnsi="宋体"/>
                <w:color w:val="000000"/>
                <w:highlight w:val="none"/>
              </w:rPr>
              <w:t>为一级公路</w:t>
            </w:r>
          </w:p>
        </w:tc>
        <w:tc>
          <w:tcPr>
            <w:tcW w:w="979" w:type="dxa"/>
            <w:tcBorders>
              <w:top w:val="dotted" w:color="auto" w:sz="4" w:space="0"/>
              <w:left w:val="dotted" w:color="auto" w:sz="4" w:space="0"/>
              <w:right w:val="dotted" w:color="auto" w:sz="4" w:space="0"/>
            </w:tcBorders>
            <w:noWrap w:val="0"/>
            <w:vAlign w:val="center"/>
          </w:tcPr>
          <w:p w14:paraId="0847CFED">
            <w:pPr>
              <w:adjustRightInd w:val="0"/>
              <w:snapToGrid w:val="0"/>
              <w:spacing w:line="360" w:lineRule="auto"/>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9.3</w:t>
            </w:r>
          </w:p>
        </w:tc>
        <w:tc>
          <w:tcPr>
            <w:tcW w:w="2716" w:type="dxa"/>
            <w:vMerge w:val="restart"/>
            <w:tcBorders>
              <w:top w:val="dotted" w:color="auto" w:sz="4" w:space="0"/>
              <w:left w:val="dotted" w:color="auto" w:sz="4" w:space="0"/>
              <w:right w:val="dotted" w:color="auto" w:sz="4" w:space="0"/>
            </w:tcBorders>
            <w:noWrap w:val="0"/>
            <w:vAlign w:val="center"/>
          </w:tcPr>
          <w:p w14:paraId="0BB0A2EA">
            <w:pPr>
              <w:adjustRightInd w:val="0"/>
              <w:snapToGrid w:val="0"/>
              <w:spacing w:line="360" w:lineRule="auto"/>
              <w:ind w:firstLine="420" w:firstLineChars="200"/>
              <w:rPr>
                <w:rFonts w:hint="eastAsia" w:ascii="宋体" w:hAnsi="宋体" w:eastAsia="宋体"/>
                <w:color w:val="000000"/>
                <w:sz w:val="21"/>
                <w:szCs w:val="21"/>
                <w:highlight w:val="none"/>
                <w:vertAlign w:val="baseline"/>
                <w:lang w:val="en-US" w:eastAsia="zh-CN"/>
              </w:rPr>
            </w:pPr>
            <w:r>
              <w:rPr>
                <w:rFonts w:hint="eastAsia" w:ascii="宋体" w:hAnsi="宋体" w:eastAsia="宋体" w:cs="Times New Roman"/>
                <w:color w:val="000000"/>
                <w:highlight w:val="none"/>
                <w:lang w:eastAsia="zh-CN"/>
              </w:rPr>
              <w:t>本项目路线、路基、路面、桥涵、交叉、交通工程及沿线设施、绿化及环境保工程的工程勘察、初步设计、施工图设计及后续服务。包括：初勘、初测、详勘、定测、初步设计（含概算）、施工图（含预算）编制以及配合业主进行本项目初步设计和施工图设计审查及其他项目技术咨询并出具审查报告、施工招标文件（图纸、工程量清单及施工专业技术规范部分）编制、征地拆迁图编绘、施工过程后期服务、交验工作及竣工所需图纸和文字材料等</w:t>
            </w:r>
            <w:r>
              <w:rPr>
                <w:rFonts w:hint="eastAsia" w:ascii="宋体" w:hAnsi="宋体" w:eastAsia="宋体" w:cs="Times New Roman"/>
                <w:color w:val="000000"/>
                <w:highlight w:val="none"/>
                <w:lang w:val="en-US" w:eastAsia="zh-CN"/>
              </w:rPr>
              <w:t>交通运输部《公路工程基本建设项目设计文件编制办法》规定的与初步勘察设计、施工图勘察设计有关的其他所有工作。</w:t>
            </w:r>
          </w:p>
        </w:tc>
        <w:tc>
          <w:tcPr>
            <w:tcW w:w="1516" w:type="dxa"/>
            <w:vMerge w:val="restart"/>
            <w:tcBorders>
              <w:top w:val="dotted" w:color="auto" w:sz="4" w:space="0"/>
              <w:left w:val="dotted" w:color="auto" w:sz="4" w:space="0"/>
              <w:right w:val="single" w:color="auto" w:sz="12" w:space="0"/>
            </w:tcBorders>
            <w:noWrap w:val="0"/>
            <w:vAlign w:val="center"/>
          </w:tcPr>
          <w:p w14:paraId="0D232B2A">
            <w:pPr>
              <w:adjustRightInd w:val="0"/>
              <w:snapToGrid w:val="0"/>
              <w:spacing w:line="360" w:lineRule="auto"/>
              <w:jc w:val="center"/>
              <w:rPr>
                <w:rFonts w:hint="default" w:ascii="宋体" w:hAnsi="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2287</w:t>
            </w:r>
          </w:p>
        </w:tc>
      </w:tr>
      <w:tr w14:paraId="3C8C4C1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31" w:hRule="atLeast"/>
        </w:trPr>
        <w:tc>
          <w:tcPr>
            <w:tcW w:w="436" w:type="dxa"/>
            <w:tcBorders>
              <w:top w:val="dotted" w:color="auto" w:sz="4" w:space="0"/>
              <w:left w:val="single" w:color="auto" w:sz="12" w:space="0"/>
              <w:bottom w:val="single" w:color="auto" w:sz="12" w:space="0"/>
              <w:right w:val="dotted" w:color="auto" w:sz="4" w:space="0"/>
            </w:tcBorders>
            <w:noWrap w:val="0"/>
            <w:vAlign w:val="center"/>
          </w:tcPr>
          <w:p w14:paraId="4F3B0E61">
            <w:pPr>
              <w:adjustRightInd w:val="0"/>
              <w:snapToGrid w:val="0"/>
              <w:spacing w:line="360" w:lineRule="auto"/>
              <w:jc w:val="center"/>
              <w:rPr>
                <w:rFonts w:hint="default" w:ascii="宋体" w:hAnsi="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2</w:t>
            </w:r>
          </w:p>
        </w:tc>
        <w:tc>
          <w:tcPr>
            <w:tcW w:w="531" w:type="dxa"/>
            <w:vMerge w:val="continue"/>
            <w:tcBorders>
              <w:left w:val="dotted" w:color="auto" w:sz="4" w:space="0"/>
              <w:bottom w:val="single" w:color="auto" w:sz="12" w:space="0"/>
              <w:right w:val="dotted" w:color="auto" w:sz="4" w:space="0"/>
            </w:tcBorders>
            <w:noWrap w:val="0"/>
            <w:vAlign w:val="center"/>
          </w:tcPr>
          <w:p w14:paraId="17B2E0CF">
            <w:pPr>
              <w:adjustRightInd w:val="0"/>
              <w:snapToGrid w:val="0"/>
              <w:spacing w:line="360" w:lineRule="auto"/>
              <w:jc w:val="center"/>
              <w:rPr>
                <w:rFonts w:hint="default" w:ascii="宋体" w:hAnsi="宋体"/>
                <w:color w:val="000000"/>
                <w:sz w:val="21"/>
                <w:szCs w:val="21"/>
                <w:highlight w:val="none"/>
                <w:vertAlign w:val="baseline"/>
                <w:lang w:val="en-US" w:eastAsia="zh-CN"/>
              </w:rPr>
            </w:pPr>
          </w:p>
        </w:tc>
        <w:tc>
          <w:tcPr>
            <w:tcW w:w="2350" w:type="dxa"/>
            <w:tcBorders>
              <w:top w:val="dotted" w:color="auto" w:sz="4" w:space="0"/>
              <w:left w:val="dotted" w:color="auto" w:sz="4" w:space="0"/>
              <w:bottom w:val="single" w:color="auto" w:sz="12" w:space="0"/>
              <w:right w:val="dotted" w:color="auto" w:sz="4" w:space="0"/>
            </w:tcBorders>
            <w:noWrap w:val="0"/>
            <w:vAlign w:val="center"/>
          </w:tcPr>
          <w:p w14:paraId="565A3E9C">
            <w:pPr>
              <w:adjustRightInd w:val="0"/>
              <w:snapToGrid w:val="0"/>
              <w:spacing w:line="360" w:lineRule="auto"/>
              <w:jc w:val="center"/>
              <w:rPr>
                <w:rFonts w:hint="eastAsia" w:ascii="宋体" w:hAnsi="宋体"/>
                <w:color w:val="000000"/>
                <w:highlight w:val="none"/>
                <w:lang w:val="en-US" w:eastAsia="zh-CN"/>
              </w:rPr>
            </w:pPr>
            <w:r>
              <w:rPr>
                <w:rFonts w:hint="eastAsia" w:ascii="宋体" w:hAnsi="宋体"/>
                <w:color w:val="000000"/>
                <w:highlight w:val="none"/>
              </w:rPr>
              <w:t>K2013+552～K2305+396</w:t>
            </w:r>
            <w:r>
              <w:rPr>
                <w:rFonts w:hint="eastAsia" w:ascii="宋体" w:hAnsi="宋体"/>
                <w:color w:val="000000"/>
                <w:highlight w:val="none"/>
                <w:lang w:val="en-US" w:eastAsia="zh-CN"/>
              </w:rPr>
              <w:t xml:space="preserve">  </w:t>
            </w:r>
          </w:p>
          <w:p w14:paraId="0A837AA8">
            <w:pPr>
              <w:adjustRightInd w:val="0"/>
              <w:snapToGrid w:val="0"/>
              <w:spacing w:line="360" w:lineRule="auto"/>
              <w:jc w:val="center"/>
              <w:rPr>
                <w:rFonts w:hint="default" w:ascii="宋体" w:hAnsi="宋体"/>
                <w:color w:val="000000"/>
                <w:szCs w:val="21"/>
                <w:highlight w:val="none"/>
                <w:lang w:val="en-US" w:eastAsia="zh-CN"/>
              </w:rPr>
            </w:pPr>
            <w:r>
              <w:rPr>
                <w:rFonts w:hint="eastAsia" w:ascii="宋体" w:hAnsi="宋体"/>
                <w:color w:val="000000"/>
                <w:highlight w:val="none"/>
              </w:rPr>
              <w:t>为二级公路</w:t>
            </w:r>
          </w:p>
        </w:tc>
        <w:tc>
          <w:tcPr>
            <w:tcW w:w="979" w:type="dxa"/>
            <w:tcBorders>
              <w:left w:val="dotted" w:color="auto" w:sz="4" w:space="0"/>
              <w:bottom w:val="single" w:color="auto" w:sz="12" w:space="0"/>
              <w:right w:val="dotted" w:color="auto" w:sz="4" w:space="0"/>
            </w:tcBorders>
            <w:noWrap w:val="0"/>
            <w:vAlign w:val="center"/>
          </w:tcPr>
          <w:p w14:paraId="3B5B6076">
            <w:pPr>
              <w:adjustRightInd w:val="0"/>
              <w:snapToGrid w:val="0"/>
              <w:spacing w:line="360" w:lineRule="auto"/>
              <w:jc w:val="center"/>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292.7</w:t>
            </w:r>
          </w:p>
        </w:tc>
        <w:tc>
          <w:tcPr>
            <w:tcW w:w="2716" w:type="dxa"/>
            <w:vMerge w:val="continue"/>
            <w:tcBorders>
              <w:left w:val="dotted" w:color="auto" w:sz="4" w:space="0"/>
              <w:bottom w:val="single" w:color="auto" w:sz="12" w:space="0"/>
              <w:right w:val="dotted" w:color="auto" w:sz="4" w:space="0"/>
            </w:tcBorders>
            <w:noWrap w:val="0"/>
            <w:vAlign w:val="center"/>
          </w:tcPr>
          <w:p w14:paraId="0CF71BDC">
            <w:pPr>
              <w:adjustRightInd w:val="0"/>
              <w:snapToGrid w:val="0"/>
              <w:spacing w:line="360" w:lineRule="auto"/>
              <w:jc w:val="center"/>
              <w:rPr>
                <w:rFonts w:hint="default" w:ascii="宋体" w:hAnsi="宋体"/>
                <w:color w:val="000000"/>
                <w:sz w:val="21"/>
                <w:szCs w:val="21"/>
                <w:highlight w:val="none"/>
                <w:vertAlign w:val="baseline"/>
                <w:lang w:val="en-US" w:eastAsia="zh-CN"/>
              </w:rPr>
            </w:pPr>
          </w:p>
        </w:tc>
        <w:tc>
          <w:tcPr>
            <w:tcW w:w="1516" w:type="dxa"/>
            <w:vMerge w:val="continue"/>
            <w:tcBorders>
              <w:left w:val="dotted" w:color="auto" w:sz="4" w:space="0"/>
              <w:bottom w:val="single" w:color="auto" w:sz="12" w:space="0"/>
              <w:right w:val="single" w:color="auto" w:sz="12" w:space="0"/>
            </w:tcBorders>
            <w:noWrap w:val="0"/>
            <w:vAlign w:val="center"/>
          </w:tcPr>
          <w:p w14:paraId="11683FC7">
            <w:pPr>
              <w:adjustRightInd w:val="0"/>
              <w:snapToGrid w:val="0"/>
              <w:spacing w:line="360" w:lineRule="auto"/>
              <w:jc w:val="center"/>
              <w:rPr>
                <w:rFonts w:hint="default" w:ascii="宋体" w:hAnsi="宋体"/>
                <w:color w:val="000000"/>
                <w:sz w:val="21"/>
                <w:szCs w:val="21"/>
                <w:highlight w:val="none"/>
                <w:vertAlign w:val="baseline"/>
                <w:lang w:val="en-US" w:eastAsia="zh-CN"/>
              </w:rPr>
            </w:pPr>
          </w:p>
        </w:tc>
      </w:tr>
    </w:tbl>
    <w:p w14:paraId="65425226">
      <w:pPr>
        <w:adjustRightInd w:val="0"/>
        <w:snapToGrid w:val="0"/>
        <w:spacing w:line="360" w:lineRule="auto"/>
        <w:jc w:val="left"/>
        <w:rPr>
          <w:rFonts w:hint="eastAsia" w:ascii="宋体" w:hAnsi="宋体"/>
          <w:color w:val="000000"/>
          <w:szCs w:val="21"/>
          <w:highlight w:val="none"/>
        </w:rPr>
      </w:pPr>
    </w:p>
    <w:p w14:paraId="392CD8E3">
      <w:pPr>
        <w:spacing w:line="360" w:lineRule="exact"/>
        <w:ind w:firstLine="412" w:firstLineChars="200"/>
        <w:rPr>
          <w:rFonts w:hint="eastAsia" w:ascii="宋体" w:hAnsi="宋体" w:eastAsia="宋体" w:cs="宋体"/>
          <w:color w:val="000000"/>
          <w:spacing w:val="-2"/>
          <w:szCs w:val="21"/>
          <w:highlight w:val="none"/>
        </w:rPr>
      </w:pPr>
      <w:r>
        <w:rPr>
          <w:rFonts w:hint="eastAsia" w:ascii="宋体" w:hAnsi="宋体" w:eastAsia="宋体" w:cs="宋体"/>
          <w:color w:val="000000"/>
          <w:spacing w:val="-2"/>
          <w:szCs w:val="21"/>
          <w:highlight w:val="none"/>
        </w:rPr>
        <w:t>2.5</w:t>
      </w:r>
      <w:r>
        <w:rPr>
          <w:rFonts w:hint="eastAsia" w:ascii="宋体" w:hAnsi="宋体" w:eastAsia="宋体" w:cs="宋体"/>
          <w:color w:val="000000"/>
          <w:spacing w:val="-2"/>
          <w:szCs w:val="21"/>
          <w:highlight w:val="none"/>
          <w:lang w:eastAsia="zh-CN"/>
        </w:rPr>
        <w:t>勘察设计</w:t>
      </w:r>
      <w:r>
        <w:rPr>
          <w:rFonts w:hint="eastAsia" w:ascii="宋体" w:hAnsi="宋体" w:eastAsia="宋体" w:cs="宋体"/>
          <w:color w:val="000000"/>
          <w:spacing w:val="-2"/>
          <w:szCs w:val="21"/>
          <w:highlight w:val="none"/>
        </w:rPr>
        <w:t>服务期限：</w:t>
      </w:r>
    </w:p>
    <w:p w14:paraId="54D4EE9B">
      <w:pPr>
        <w:spacing w:line="360" w:lineRule="exact"/>
        <w:ind w:firstLine="412" w:firstLineChars="200"/>
        <w:rPr>
          <w:rFonts w:hint="default"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自合同签订之日起至签发工程竣工证书止，其中：</w:t>
      </w:r>
    </w:p>
    <w:p w14:paraId="4A39B77B">
      <w:pPr>
        <w:spacing w:line="360" w:lineRule="exact"/>
        <w:ind w:firstLine="412" w:firstLineChars="200"/>
        <w:rPr>
          <w:rFonts w:hint="default" w:ascii="宋体" w:hAnsi="宋体" w:eastAsia="宋体" w:cs="宋体"/>
          <w:color w:val="000000"/>
          <w:spacing w:val="-2"/>
          <w:szCs w:val="21"/>
          <w:highlight w:val="none"/>
          <w:lang w:val="en-US" w:eastAsia="zh-CN"/>
        </w:rPr>
      </w:pPr>
      <w:r>
        <w:rPr>
          <w:rFonts w:hint="default" w:ascii="宋体" w:hAnsi="宋体" w:eastAsia="宋体" w:cs="宋体"/>
          <w:color w:val="000000"/>
          <w:spacing w:val="-2"/>
          <w:szCs w:val="21"/>
          <w:highlight w:val="none"/>
          <w:lang w:val="en-US" w:eastAsia="zh-CN"/>
        </w:rPr>
        <w:t>（1）在合同签订之日起</w:t>
      </w:r>
      <w:r>
        <w:rPr>
          <w:rFonts w:hint="eastAsia" w:ascii="宋体" w:hAnsi="宋体" w:eastAsia="宋体" w:cs="宋体"/>
          <w:color w:val="000000"/>
          <w:spacing w:val="-2"/>
          <w:szCs w:val="21"/>
          <w:highlight w:val="none"/>
          <w:lang w:val="en-US" w:eastAsia="zh-CN"/>
        </w:rPr>
        <w:t>20天</w:t>
      </w:r>
      <w:r>
        <w:rPr>
          <w:rFonts w:hint="default" w:ascii="宋体" w:hAnsi="宋体" w:eastAsia="宋体" w:cs="宋体"/>
          <w:color w:val="000000"/>
          <w:spacing w:val="-2"/>
          <w:szCs w:val="21"/>
          <w:highlight w:val="none"/>
          <w:lang w:val="en-US" w:eastAsia="zh-CN"/>
        </w:rPr>
        <w:t>内，通过初测、初勘</w:t>
      </w:r>
      <w:r>
        <w:rPr>
          <w:rFonts w:hint="eastAsia" w:ascii="宋体" w:hAnsi="宋体" w:eastAsia="宋体" w:cs="宋体"/>
          <w:color w:val="000000"/>
          <w:spacing w:val="-2"/>
          <w:szCs w:val="21"/>
          <w:highlight w:val="none"/>
          <w:lang w:val="en-US" w:eastAsia="zh-CN"/>
        </w:rPr>
        <w:t>、</w:t>
      </w:r>
      <w:r>
        <w:rPr>
          <w:rFonts w:hint="default" w:ascii="宋体" w:hAnsi="宋体" w:eastAsia="宋体" w:cs="宋体"/>
          <w:color w:val="000000"/>
          <w:spacing w:val="-2"/>
          <w:szCs w:val="21"/>
          <w:highlight w:val="none"/>
          <w:lang w:val="en-US" w:eastAsia="zh-CN"/>
        </w:rPr>
        <w:t>外业验收并提交初测、初勘报告送审稿；</w:t>
      </w:r>
    </w:p>
    <w:p w14:paraId="5594782F">
      <w:pPr>
        <w:spacing w:line="360" w:lineRule="exact"/>
        <w:ind w:firstLine="412" w:firstLineChars="200"/>
        <w:rPr>
          <w:rFonts w:hint="default" w:ascii="宋体" w:hAnsi="宋体" w:eastAsia="宋体" w:cs="宋体"/>
          <w:color w:val="000000"/>
          <w:spacing w:val="-2"/>
          <w:szCs w:val="21"/>
          <w:highlight w:val="none"/>
          <w:lang w:val="en-US" w:eastAsia="zh-CN"/>
        </w:rPr>
      </w:pPr>
      <w:r>
        <w:rPr>
          <w:rFonts w:hint="default" w:ascii="宋体" w:hAnsi="宋体" w:eastAsia="宋体" w:cs="宋体"/>
          <w:color w:val="000000"/>
          <w:spacing w:val="-2"/>
          <w:szCs w:val="21"/>
          <w:highlight w:val="none"/>
          <w:lang w:val="en-US" w:eastAsia="zh-CN"/>
        </w:rPr>
        <w:t>（2）初测、初勘外业验收后</w:t>
      </w:r>
      <w:r>
        <w:rPr>
          <w:rFonts w:hint="eastAsia" w:ascii="宋体" w:hAnsi="宋体" w:eastAsia="宋体" w:cs="宋体"/>
          <w:color w:val="000000"/>
          <w:spacing w:val="-2"/>
          <w:szCs w:val="21"/>
          <w:highlight w:val="none"/>
          <w:lang w:val="en-US" w:eastAsia="zh-CN"/>
        </w:rPr>
        <w:t>25</w:t>
      </w:r>
      <w:r>
        <w:rPr>
          <w:rFonts w:hint="default" w:ascii="宋体" w:hAnsi="宋体" w:eastAsia="宋体" w:cs="宋体"/>
          <w:color w:val="000000"/>
          <w:spacing w:val="-2"/>
          <w:szCs w:val="21"/>
          <w:highlight w:val="none"/>
          <w:lang w:val="en-US" w:eastAsia="zh-CN"/>
        </w:rPr>
        <w:t xml:space="preserve"> 天内，提交初步设计文件送审稿；</w:t>
      </w:r>
    </w:p>
    <w:p w14:paraId="00302DD9">
      <w:pPr>
        <w:spacing w:line="360" w:lineRule="exact"/>
        <w:ind w:firstLine="412" w:firstLineChars="200"/>
        <w:rPr>
          <w:rFonts w:hint="default" w:ascii="宋体" w:hAnsi="宋体" w:eastAsia="宋体" w:cs="宋体"/>
          <w:color w:val="000000"/>
          <w:spacing w:val="-2"/>
          <w:szCs w:val="21"/>
          <w:highlight w:val="none"/>
          <w:lang w:val="en-US" w:eastAsia="zh-CN"/>
        </w:rPr>
      </w:pPr>
      <w:r>
        <w:rPr>
          <w:rFonts w:hint="default" w:ascii="宋体" w:hAnsi="宋体" w:eastAsia="宋体" w:cs="宋体"/>
          <w:color w:val="000000"/>
          <w:spacing w:val="-2"/>
          <w:szCs w:val="21"/>
          <w:highlight w:val="none"/>
          <w:lang w:val="en-US" w:eastAsia="zh-CN"/>
        </w:rPr>
        <w:t>（3）初步设计文件批复后</w:t>
      </w:r>
      <w:r>
        <w:rPr>
          <w:rFonts w:hint="eastAsia" w:ascii="宋体" w:hAnsi="宋体" w:eastAsia="宋体" w:cs="宋体"/>
          <w:color w:val="000000"/>
          <w:spacing w:val="-2"/>
          <w:szCs w:val="21"/>
          <w:highlight w:val="none"/>
          <w:lang w:val="en-US" w:eastAsia="zh-CN"/>
        </w:rPr>
        <w:t>20</w:t>
      </w:r>
      <w:r>
        <w:rPr>
          <w:rFonts w:hint="default" w:ascii="宋体" w:hAnsi="宋体" w:eastAsia="宋体" w:cs="宋体"/>
          <w:color w:val="000000"/>
          <w:spacing w:val="-2"/>
          <w:szCs w:val="21"/>
          <w:highlight w:val="none"/>
          <w:lang w:val="en-US" w:eastAsia="zh-CN"/>
        </w:rPr>
        <w:t xml:space="preserve"> 天内，通过详勘、定测外业验收并提交详勘、定测报告送审稿；</w:t>
      </w:r>
    </w:p>
    <w:p w14:paraId="02023EF1">
      <w:pPr>
        <w:spacing w:line="360" w:lineRule="exact"/>
        <w:ind w:firstLine="412" w:firstLineChars="200"/>
        <w:rPr>
          <w:rFonts w:hint="default" w:ascii="宋体" w:hAnsi="宋体" w:eastAsia="宋体" w:cs="宋体"/>
          <w:color w:val="000000"/>
          <w:spacing w:val="-2"/>
          <w:szCs w:val="21"/>
          <w:highlight w:val="none"/>
          <w:lang w:val="en-US" w:eastAsia="zh-CN"/>
        </w:rPr>
      </w:pPr>
      <w:r>
        <w:rPr>
          <w:rFonts w:hint="default" w:ascii="宋体" w:hAnsi="宋体" w:eastAsia="宋体" w:cs="宋体"/>
          <w:color w:val="000000"/>
          <w:spacing w:val="-2"/>
          <w:szCs w:val="21"/>
          <w:highlight w:val="none"/>
          <w:lang w:val="en-US" w:eastAsia="zh-CN"/>
        </w:rPr>
        <w:t>（4）详勘、定测外业验收后</w:t>
      </w:r>
      <w:r>
        <w:rPr>
          <w:rFonts w:hint="eastAsia" w:ascii="宋体" w:hAnsi="宋体" w:eastAsia="宋体" w:cs="宋体"/>
          <w:color w:val="000000"/>
          <w:spacing w:val="-2"/>
          <w:szCs w:val="21"/>
          <w:highlight w:val="none"/>
          <w:lang w:val="en-US" w:eastAsia="zh-CN"/>
        </w:rPr>
        <w:t>20</w:t>
      </w:r>
      <w:r>
        <w:rPr>
          <w:rFonts w:hint="default" w:ascii="宋体" w:hAnsi="宋体" w:eastAsia="宋体" w:cs="宋体"/>
          <w:color w:val="000000"/>
          <w:spacing w:val="-2"/>
          <w:szCs w:val="21"/>
          <w:highlight w:val="none"/>
          <w:lang w:val="en-US" w:eastAsia="zh-CN"/>
        </w:rPr>
        <w:t>天内，提交施工图设计文件送审稿；</w:t>
      </w:r>
    </w:p>
    <w:p w14:paraId="1650C7AF">
      <w:pPr>
        <w:spacing w:line="360" w:lineRule="exact"/>
        <w:ind w:firstLine="412" w:firstLineChars="200"/>
        <w:rPr>
          <w:rFonts w:hint="default" w:ascii="宋体" w:hAnsi="宋体" w:eastAsia="宋体" w:cs="宋体"/>
          <w:color w:val="000000"/>
          <w:spacing w:val="-2"/>
          <w:szCs w:val="21"/>
          <w:highlight w:val="none"/>
          <w:lang w:val="en-US" w:eastAsia="zh-CN"/>
        </w:rPr>
      </w:pPr>
      <w:r>
        <w:rPr>
          <w:rFonts w:hint="default" w:ascii="宋体" w:hAnsi="宋体" w:eastAsia="宋体" w:cs="宋体"/>
          <w:color w:val="000000"/>
          <w:spacing w:val="-2"/>
          <w:szCs w:val="21"/>
          <w:highlight w:val="none"/>
          <w:lang w:val="en-US" w:eastAsia="zh-CN"/>
        </w:rPr>
        <w:t>（5）按照招标人时间要求，提供施工招标文件（技术规范、招标图纸及招标工程量清单）；</w:t>
      </w:r>
    </w:p>
    <w:p w14:paraId="232FB65C">
      <w:pPr>
        <w:spacing w:line="360" w:lineRule="exact"/>
        <w:ind w:firstLine="412" w:firstLineChars="200"/>
        <w:rPr>
          <w:rFonts w:hint="default" w:ascii="宋体" w:hAnsi="宋体" w:eastAsia="宋体" w:cs="宋体"/>
          <w:color w:val="000000"/>
          <w:spacing w:val="-2"/>
          <w:szCs w:val="21"/>
          <w:highlight w:val="none"/>
          <w:lang w:val="en-US" w:eastAsia="zh-CN"/>
        </w:rPr>
      </w:pPr>
      <w:r>
        <w:rPr>
          <w:rFonts w:hint="default" w:ascii="宋体" w:hAnsi="宋体" w:eastAsia="宋体" w:cs="宋体"/>
          <w:color w:val="000000"/>
          <w:spacing w:val="-2"/>
          <w:szCs w:val="21"/>
          <w:highlight w:val="none"/>
          <w:lang w:val="en-US" w:eastAsia="zh-CN"/>
        </w:rPr>
        <w:t>（</w:t>
      </w:r>
      <w:r>
        <w:rPr>
          <w:rFonts w:hint="eastAsia" w:ascii="宋体" w:hAnsi="宋体" w:eastAsia="宋体" w:cs="宋体"/>
          <w:color w:val="000000"/>
          <w:spacing w:val="-2"/>
          <w:szCs w:val="21"/>
          <w:highlight w:val="none"/>
          <w:lang w:val="en-US" w:eastAsia="zh-CN"/>
        </w:rPr>
        <w:t>6</w:t>
      </w:r>
      <w:r>
        <w:rPr>
          <w:rFonts w:hint="default" w:ascii="宋体" w:hAnsi="宋体" w:eastAsia="宋体" w:cs="宋体"/>
          <w:color w:val="000000"/>
          <w:spacing w:val="-2"/>
          <w:szCs w:val="21"/>
          <w:highlight w:val="none"/>
          <w:lang w:val="en-US" w:eastAsia="zh-CN"/>
        </w:rPr>
        <w:t>）施工现场配合服务：从项目开工至项目竣工验收</w:t>
      </w:r>
      <w:r>
        <w:rPr>
          <w:rFonts w:hint="eastAsia" w:ascii="宋体" w:hAnsi="宋体" w:eastAsia="宋体" w:cs="宋体"/>
          <w:color w:val="000000"/>
          <w:spacing w:val="-2"/>
          <w:szCs w:val="21"/>
          <w:highlight w:val="none"/>
          <w:lang w:val="en-US" w:eastAsia="zh-CN"/>
        </w:rPr>
        <w:t>；</w:t>
      </w:r>
    </w:p>
    <w:p w14:paraId="4231F654">
      <w:pPr>
        <w:spacing w:line="360" w:lineRule="exact"/>
        <w:ind w:firstLine="412" w:firstLineChars="200"/>
        <w:rPr>
          <w:rFonts w:hint="eastAsia" w:ascii="宋体" w:hAnsi="宋体" w:eastAsia="宋体" w:cs="宋体"/>
          <w:color w:val="000000"/>
          <w:spacing w:val="-2"/>
          <w:szCs w:val="21"/>
          <w:highlight w:val="none"/>
        </w:rPr>
      </w:pPr>
      <w:r>
        <w:rPr>
          <w:rFonts w:hint="eastAsia" w:ascii="宋体" w:hAnsi="宋体" w:eastAsia="宋体" w:cs="宋体"/>
          <w:color w:val="000000"/>
          <w:spacing w:val="-2"/>
          <w:szCs w:val="21"/>
          <w:highlight w:val="none"/>
          <w:lang w:val="en-US" w:eastAsia="zh-CN"/>
        </w:rPr>
        <w:t>（7）竣工图编制：项目竣工验收前30天完成。</w:t>
      </w:r>
    </w:p>
    <w:p w14:paraId="6EEE3970">
      <w:pPr>
        <w:spacing w:line="360" w:lineRule="exact"/>
        <w:ind w:firstLine="412" w:firstLineChars="200"/>
        <w:rPr>
          <w:rFonts w:hint="eastAsia" w:ascii="宋体" w:hAnsi="宋体" w:eastAsia="宋体" w:cs="宋体"/>
          <w:color w:val="000000"/>
          <w:spacing w:val="-2"/>
          <w:szCs w:val="21"/>
          <w:highlight w:val="none"/>
          <w:lang w:eastAsia="zh-CN"/>
        </w:rPr>
      </w:pPr>
      <w:r>
        <w:rPr>
          <w:rFonts w:hint="eastAsia" w:ascii="宋体" w:hAnsi="宋体" w:eastAsia="宋体" w:cs="宋体"/>
          <w:color w:val="000000"/>
          <w:spacing w:val="-2"/>
          <w:szCs w:val="21"/>
          <w:highlight w:val="none"/>
        </w:rPr>
        <w:t>2.6质量要求：</w:t>
      </w:r>
      <w:r>
        <w:rPr>
          <w:rFonts w:hint="eastAsia" w:ascii="宋体" w:hAnsi="宋体" w:eastAsia="宋体" w:cs="宋体"/>
          <w:color w:val="000000"/>
          <w:spacing w:val="-2"/>
          <w:szCs w:val="21"/>
          <w:highlight w:val="none"/>
          <w:lang w:eastAsia="zh-CN"/>
        </w:rPr>
        <w:t>勘察服务质量达到国家及行业相关规范合格标准，设计服务质量达到国家及行业相关规范合格标准，并通过主管部门评审及取得批复。</w:t>
      </w:r>
    </w:p>
    <w:p w14:paraId="0A1A5E0D">
      <w:pPr>
        <w:spacing w:line="360" w:lineRule="exact"/>
        <w:ind w:firstLine="412" w:firstLineChars="200"/>
        <w:rPr>
          <w:rFonts w:hint="eastAsia" w:ascii="宋体" w:hAnsi="宋体" w:eastAsia="宋体" w:cs="宋体"/>
          <w:color w:val="000000"/>
          <w:spacing w:val="-2"/>
          <w:szCs w:val="21"/>
          <w:highlight w:val="none"/>
        </w:rPr>
      </w:pPr>
      <w:r>
        <w:rPr>
          <w:rFonts w:hint="eastAsia" w:ascii="宋体" w:hAnsi="宋体" w:eastAsia="宋体" w:cs="宋体"/>
          <w:color w:val="000000"/>
          <w:spacing w:val="-2"/>
          <w:szCs w:val="21"/>
          <w:highlight w:val="none"/>
        </w:rPr>
        <w:t>2.7安全目标：满足国家、交通运输部和黑龙江省相关规定，勘察设计过程中杜绝重大安全责任事故，避免发生较大安全责任事故，控制一般安全责任事故，各类生产安全责任事故死亡人数为零。</w:t>
      </w:r>
    </w:p>
    <w:p w14:paraId="61C07BF4">
      <w:pPr>
        <w:adjustRightInd w:val="0"/>
        <w:snapToGrid w:val="0"/>
        <w:spacing w:line="360" w:lineRule="auto"/>
        <w:ind w:firstLine="422" w:firstLineChars="200"/>
        <w:jc w:val="left"/>
        <w:rPr>
          <w:rFonts w:hint="eastAsia" w:ascii="宋体" w:hAnsi="宋体"/>
          <w:b/>
          <w:color w:val="000000"/>
          <w:highlight w:val="none"/>
        </w:rPr>
      </w:pPr>
      <w:r>
        <w:rPr>
          <w:rFonts w:hint="eastAsia" w:ascii="宋体" w:hAnsi="宋体"/>
          <w:b/>
          <w:color w:val="000000"/>
          <w:highlight w:val="none"/>
        </w:rPr>
        <w:t>3．投标人资格要求</w:t>
      </w:r>
    </w:p>
    <w:p w14:paraId="26CCAE25">
      <w:pPr>
        <w:spacing w:line="360" w:lineRule="exact"/>
        <w:ind w:firstLine="412" w:firstLineChars="200"/>
        <w:rPr>
          <w:rFonts w:ascii="宋体" w:hAnsi="宋体" w:cs="宋体"/>
          <w:color w:val="000000"/>
          <w:spacing w:val="-2"/>
          <w:szCs w:val="21"/>
          <w:highlight w:val="none"/>
        </w:rPr>
      </w:pPr>
      <w:r>
        <w:rPr>
          <w:rFonts w:hint="eastAsia" w:ascii="宋体" w:hAnsi="宋体" w:cs="宋体"/>
          <w:color w:val="000000"/>
          <w:spacing w:val="-2"/>
          <w:szCs w:val="21"/>
          <w:highlight w:val="none"/>
        </w:rPr>
        <w:t>3.1本次招标要求投标人须具备国内独立的法人资格且同时满足下列要求，并在人员等方面具有相应的勘察设计能力。</w:t>
      </w:r>
    </w:p>
    <w:p w14:paraId="641712CC">
      <w:pPr>
        <w:spacing w:line="360" w:lineRule="exact"/>
        <w:ind w:firstLine="412" w:firstLineChars="200"/>
        <w:rPr>
          <w:rFonts w:ascii="宋体" w:hAnsi="宋体" w:cs="宋体"/>
          <w:color w:val="000000"/>
          <w:spacing w:val="-2"/>
          <w:szCs w:val="21"/>
          <w:highlight w:val="none"/>
        </w:rPr>
      </w:pPr>
      <w:r>
        <w:rPr>
          <w:rFonts w:hint="eastAsia" w:ascii="宋体" w:hAnsi="宋体" w:cs="宋体"/>
          <w:color w:val="000000"/>
          <w:spacing w:val="-2"/>
          <w:szCs w:val="21"/>
          <w:highlight w:val="none"/>
        </w:rPr>
        <w:t>3.1.1投标人须具备以下资质：</w:t>
      </w:r>
    </w:p>
    <w:p w14:paraId="71BFECAC">
      <w:pPr>
        <w:spacing w:line="360" w:lineRule="exact"/>
        <w:ind w:firstLine="412" w:firstLineChars="200"/>
        <w:rPr>
          <w:rFonts w:hint="eastAsia" w:ascii="宋体" w:hAnsi="宋体" w:eastAsia="宋体" w:cs="宋体"/>
          <w:color w:val="000000"/>
          <w:spacing w:val="-2"/>
          <w:szCs w:val="21"/>
          <w:highlight w:val="none"/>
          <w:lang w:eastAsia="zh-CN"/>
        </w:rPr>
      </w:pPr>
      <w:r>
        <w:rPr>
          <w:rFonts w:hint="eastAsia" w:ascii="宋体" w:hAnsi="宋体" w:cs="宋体"/>
          <w:color w:val="000000"/>
          <w:spacing w:val="-2"/>
          <w:szCs w:val="21"/>
          <w:highlight w:val="none"/>
        </w:rPr>
        <w:t>（1）工程勘察资质：</w:t>
      </w:r>
      <w:r>
        <w:rPr>
          <w:rFonts w:hint="eastAsia" w:ascii="宋体" w:hAnsi="宋体" w:cs="宋体"/>
          <w:color w:val="000000"/>
          <w:spacing w:val="-2"/>
          <w:szCs w:val="21"/>
          <w:highlight w:val="none"/>
          <w:lang w:eastAsia="zh-CN"/>
        </w:rPr>
        <w:t>住</w:t>
      </w:r>
      <w:r>
        <w:rPr>
          <w:rFonts w:hint="eastAsia" w:ascii="宋体" w:hAnsi="宋体" w:cs="宋体"/>
          <w:color w:val="000000"/>
          <w:spacing w:val="-2"/>
          <w:szCs w:val="21"/>
          <w:highlight w:val="none"/>
        </w:rPr>
        <w:t>房和城乡建设部颁发的工程勘察专业类(岩土工程</w:t>
      </w:r>
      <w:r>
        <w:rPr>
          <w:rFonts w:hint="eastAsia" w:ascii="宋体" w:hAnsi="宋体" w:cs="宋体"/>
          <w:color w:val="000000"/>
          <w:spacing w:val="-2"/>
          <w:szCs w:val="21"/>
          <w:highlight w:val="none"/>
          <w:lang w:eastAsia="zh-CN"/>
        </w:rPr>
        <w:t>和</w:t>
      </w:r>
      <w:r>
        <w:rPr>
          <w:rFonts w:hint="eastAsia" w:ascii="宋体" w:hAnsi="宋体" w:cs="宋体"/>
          <w:color w:val="000000"/>
          <w:spacing w:val="-2"/>
          <w:szCs w:val="21"/>
          <w:highlight w:val="none"/>
        </w:rPr>
        <w:t>工程测量)</w:t>
      </w:r>
      <w:r>
        <w:rPr>
          <w:rFonts w:hint="eastAsia" w:ascii="宋体" w:hAnsi="宋体" w:cs="宋体"/>
          <w:color w:val="000000"/>
          <w:spacing w:val="-2"/>
          <w:szCs w:val="21"/>
          <w:highlight w:val="none"/>
          <w:lang w:val="en-US" w:eastAsia="zh-CN"/>
        </w:rPr>
        <w:t>甲</w:t>
      </w:r>
      <w:r>
        <w:rPr>
          <w:rFonts w:hint="eastAsia" w:ascii="宋体" w:hAnsi="宋体" w:cs="宋体"/>
          <w:color w:val="000000"/>
          <w:spacing w:val="-2"/>
          <w:szCs w:val="21"/>
          <w:highlight w:val="none"/>
        </w:rPr>
        <w:t>级</w:t>
      </w:r>
      <w:r>
        <w:rPr>
          <w:rFonts w:hint="eastAsia" w:ascii="宋体" w:hAnsi="宋体" w:cs="宋体"/>
          <w:color w:val="000000"/>
          <w:spacing w:val="-2"/>
          <w:szCs w:val="21"/>
          <w:highlight w:val="none"/>
          <w:lang w:eastAsia="zh-CN"/>
        </w:rPr>
        <w:t>及以上</w:t>
      </w:r>
      <w:r>
        <w:rPr>
          <w:rFonts w:hint="eastAsia" w:ascii="宋体" w:hAnsi="宋体" w:cs="宋体"/>
          <w:color w:val="000000"/>
          <w:spacing w:val="-2"/>
          <w:szCs w:val="21"/>
          <w:highlight w:val="none"/>
        </w:rPr>
        <w:t>资质</w:t>
      </w:r>
      <w:r>
        <w:rPr>
          <w:rFonts w:hint="eastAsia" w:ascii="宋体" w:hAnsi="宋体" w:cs="宋体"/>
          <w:color w:val="000000"/>
          <w:spacing w:val="-2"/>
          <w:szCs w:val="21"/>
          <w:highlight w:val="none"/>
          <w:lang w:eastAsia="zh-CN"/>
        </w:rPr>
        <w:t>。</w:t>
      </w:r>
    </w:p>
    <w:p w14:paraId="006198AC">
      <w:pPr>
        <w:spacing w:line="360" w:lineRule="exact"/>
        <w:ind w:firstLine="412" w:firstLineChars="200"/>
        <w:rPr>
          <w:rFonts w:ascii="宋体" w:hAnsi="宋体" w:cs="宋体"/>
          <w:color w:val="000000"/>
          <w:spacing w:val="-2"/>
          <w:szCs w:val="21"/>
          <w:highlight w:val="none"/>
        </w:rPr>
      </w:pPr>
      <w:r>
        <w:rPr>
          <w:rFonts w:hint="eastAsia" w:ascii="宋体" w:hAnsi="宋体" w:cs="宋体"/>
          <w:color w:val="000000"/>
          <w:spacing w:val="-2"/>
          <w:szCs w:val="21"/>
          <w:highlight w:val="none"/>
        </w:rPr>
        <w:t>（2）工程设计资质：住房和城乡建设部颁发的工程设计公路行业（公路）专业甲级</w:t>
      </w:r>
      <w:r>
        <w:rPr>
          <w:rFonts w:hint="eastAsia" w:ascii="宋体" w:hAnsi="宋体" w:cs="宋体"/>
          <w:color w:val="000000"/>
          <w:spacing w:val="-2"/>
          <w:szCs w:val="21"/>
          <w:highlight w:val="none"/>
          <w:lang w:eastAsia="zh-CN"/>
        </w:rPr>
        <w:t>及以上</w:t>
      </w:r>
      <w:r>
        <w:rPr>
          <w:rFonts w:hint="eastAsia" w:ascii="宋体" w:hAnsi="宋体" w:cs="宋体"/>
          <w:color w:val="000000"/>
          <w:spacing w:val="-2"/>
          <w:szCs w:val="21"/>
          <w:highlight w:val="none"/>
        </w:rPr>
        <w:t>资质。</w:t>
      </w:r>
    </w:p>
    <w:p w14:paraId="59380EDA">
      <w:pPr>
        <w:spacing w:line="360" w:lineRule="exact"/>
        <w:ind w:firstLine="412" w:firstLineChars="200"/>
        <w:rPr>
          <w:rFonts w:ascii="宋体" w:hAnsi="宋体" w:cs="宋体"/>
          <w:color w:val="000000"/>
          <w:spacing w:val="-2"/>
          <w:szCs w:val="21"/>
          <w:highlight w:val="none"/>
        </w:rPr>
      </w:pPr>
      <w:r>
        <w:rPr>
          <w:rFonts w:hint="eastAsia" w:ascii="宋体" w:hAnsi="宋体" w:cs="宋体"/>
          <w:color w:val="000000"/>
          <w:spacing w:val="-2"/>
          <w:szCs w:val="21"/>
          <w:highlight w:val="none"/>
        </w:rPr>
        <w:t>参与本项目投标人应进入交通运输部“</w:t>
      </w:r>
      <w:r>
        <w:rPr>
          <w:rFonts w:hint="eastAsia" w:ascii="宋体" w:hAnsi="宋体" w:cs="宋体"/>
          <w:color w:val="000000"/>
          <w:spacing w:val="-2"/>
          <w:szCs w:val="21"/>
          <w:highlight w:val="none"/>
          <w:lang w:eastAsia="zh-CN"/>
        </w:rPr>
        <w:t>全国公路建设市场监督管理系统</w:t>
      </w:r>
      <w:r>
        <w:rPr>
          <w:rFonts w:hint="eastAsia" w:ascii="宋体" w:hAnsi="宋体" w:cs="宋体"/>
          <w:color w:val="000000"/>
          <w:spacing w:val="-2"/>
          <w:szCs w:val="21"/>
          <w:highlight w:val="none"/>
        </w:rPr>
        <w:t>（http：//glxy.mot.gov.cn）”中的公路工程设计资质企业名录，且投标人名称和资质与名录中的相应企业名称和资质完全一致。</w:t>
      </w:r>
    </w:p>
    <w:p w14:paraId="3053CAFC">
      <w:pPr>
        <w:spacing w:line="360" w:lineRule="exact"/>
        <w:ind w:firstLine="412" w:firstLineChars="200"/>
        <w:rPr>
          <w:rFonts w:ascii="宋体" w:hAnsi="宋体" w:cs="宋体"/>
          <w:color w:val="000000"/>
          <w:spacing w:val="-2"/>
          <w:szCs w:val="21"/>
          <w:highlight w:val="none"/>
        </w:rPr>
      </w:pPr>
      <w:r>
        <w:rPr>
          <w:rFonts w:hint="eastAsia" w:ascii="宋体" w:hAnsi="宋体" w:cs="宋体"/>
          <w:color w:val="000000"/>
          <w:spacing w:val="-2"/>
          <w:szCs w:val="21"/>
          <w:highlight w:val="none"/>
        </w:rPr>
        <w:t>3.1.2业绩要求：</w:t>
      </w:r>
    </w:p>
    <w:p w14:paraId="01B99031">
      <w:pPr>
        <w:spacing w:line="360" w:lineRule="exact"/>
        <w:ind w:firstLine="412" w:firstLineChars="200"/>
        <w:rPr>
          <w:rFonts w:ascii="宋体" w:hAnsi="宋体" w:cs="宋体"/>
          <w:color w:val="000000"/>
          <w:spacing w:val="-2"/>
          <w:szCs w:val="21"/>
          <w:highlight w:val="none"/>
        </w:rPr>
      </w:pPr>
      <w:r>
        <w:rPr>
          <w:rFonts w:hint="eastAsia" w:ascii="宋体" w:hAnsi="宋体" w:cs="宋体"/>
          <w:color w:val="000000"/>
          <w:spacing w:val="-2"/>
          <w:szCs w:val="21"/>
          <w:highlight w:val="none"/>
        </w:rPr>
        <w:t>（1）近五年（20</w:t>
      </w:r>
      <w:r>
        <w:rPr>
          <w:rFonts w:hint="eastAsia" w:ascii="宋体" w:hAnsi="宋体" w:cs="宋体"/>
          <w:color w:val="000000"/>
          <w:spacing w:val="-2"/>
          <w:szCs w:val="21"/>
          <w:highlight w:val="none"/>
          <w:lang w:val="en-US" w:eastAsia="zh-CN"/>
        </w:rPr>
        <w:t>20</w:t>
      </w:r>
      <w:r>
        <w:rPr>
          <w:rFonts w:hint="eastAsia" w:ascii="宋体" w:hAnsi="宋体" w:cs="宋体"/>
          <w:color w:val="000000"/>
          <w:spacing w:val="-2"/>
          <w:szCs w:val="21"/>
          <w:highlight w:val="none"/>
        </w:rPr>
        <w:t>年</w:t>
      </w:r>
      <w:r>
        <w:rPr>
          <w:rFonts w:hint="eastAsia" w:ascii="宋体" w:hAnsi="宋体" w:cs="宋体"/>
          <w:color w:val="000000"/>
          <w:spacing w:val="-2"/>
          <w:szCs w:val="21"/>
          <w:highlight w:val="none"/>
          <w:lang w:val="en-US" w:eastAsia="zh-CN"/>
        </w:rPr>
        <w:t>3</w:t>
      </w:r>
      <w:r>
        <w:rPr>
          <w:rFonts w:hint="eastAsia" w:ascii="宋体" w:hAnsi="宋体" w:cs="宋体"/>
          <w:color w:val="000000"/>
          <w:spacing w:val="-2"/>
          <w:szCs w:val="21"/>
          <w:highlight w:val="none"/>
          <w:lang w:eastAsia="zh-CN"/>
        </w:rPr>
        <w:t>月1日</w:t>
      </w:r>
      <w:r>
        <w:rPr>
          <w:rFonts w:hint="eastAsia" w:ascii="宋体" w:hAnsi="宋体" w:cs="宋体"/>
          <w:color w:val="000000"/>
          <w:spacing w:val="-2"/>
          <w:szCs w:val="21"/>
          <w:highlight w:val="none"/>
        </w:rPr>
        <w:t>～投标文件递交截止时间止</w:t>
      </w:r>
      <w:r>
        <w:rPr>
          <w:rFonts w:hint="eastAsia" w:ascii="宋体" w:hAnsi="宋体" w:cs="宋体"/>
          <w:color w:val="000000"/>
          <w:spacing w:val="-2"/>
          <w:szCs w:val="21"/>
          <w:highlight w:val="none"/>
          <w:lang w:eastAsia="zh-CN"/>
        </w:rPr>
        <w:t>，以设计批复时间为准</w:t>
      </w:r>
      <w:r>
        <w:rPr>
          <w:rFonts w:hint="eastAsia" w:ascii="宋体" w:hAnsi="宋体" w:cs="宋体"/>
          <w:color w:val="000000"/>
          <w:spacing w:val="-2"/>
          <w:szCs w:val="21"/>
          <w:highlight w:val="none"/>
        </w:rPr>
        <w:t>）至少独立完成过累计里程不少于</w:t>
      </w:r>
      <w:r>
        <w:rPr>
          <w:rFonts w:hint="eastAsia" w:ascii="宋体" w:hAnsi="宋体" w:cs="宋体"/>
          <w:color w:val="000000"/>
          <w:spacing w:val="-2"/>
          <w:szCs w:val="21"/>
          <w:highlight w:val="none"/>
          <w:lang w:val="en-US" w:eastAsia="zh-CN"/>
        </w:rPr>
        <w:t>10公里一级公路及290</w:t>
      </w:r>
      <w:r>
        <w:rPr>
          <w:rFonts w:hint="eastAsia" w:ascii="宋体" w:hAnsi="宋体" w:cs="宋体"/>
          <w:color w:val="000000"/>
          <w:spacing w:val="-2"/>
          <w:szCs w:val="21"/>
          <w:highlight w:val="none"/>
        </w:rPr>
        <w:t>公里的二级及以上公路工程的初步勘察设计和施工图勘察设计；</w:t>
      </w:r>
    </w:p>
    <w:p w14:paraId="5D279E79">
      <w:pPr>
        <w:spacing w:line="360" w:lineRule="exact"/>
        <w:ind w:firstLine="412" w:firstLineChars="200"/>
        <w:rPr>
          <w:rFonts w:ascii="宋体" w:hAnsi="宋体" w:cs="宋体"/>
          <w:color w:val="000000"/>
          <w:spacing w:val="-2"/>
          <w:szCs w:val="21"/>
          <w:highlight w:val="none"/>
        </w:rPr>
      </w:pPr>
      <w:r>
        <w:rPr>
          <w:rFonts w:hint="eastAsia" w:ascii="宋体" w:hAnsi="宋体" w:cs="宋体"/>
          <w:color w:val="000000"/>
          <w:spacing w:val="-2"/>
          <w:szCs w:val="21"/>
          <w:highlight w:val="none"/>
        </w:rPr>
        <w:t>（2）近五年（20</w:t>
      </w:r>
      <w:r>
        <w:rPr>
          <w:rFonts w:hint="eastAsia" w:ascii="宋体" w:hAnsi="宋体" w:cs="宋体"/>
          <w:color w:val="000000"/>
          <w:spacing w:val="-2"/>
          <w:szCs w:val="21"/>
          <w:highlight w:val="none"/>
          <w:lang w:val="en-US" w:eastAsia="zh-CN"/>
        </w:rPr>
        <w:t>20</w:t>
      </w:r>
      <w:r>
        <w:rPr>
          <w:rFonts w:hint="eastAsia" w:ascii="宋体" w:hAnsi="宋体" w:cs="宋体"/>
          <w:color w:val="000000"/>
          <w:spacing w:val="-2"/>
          <w:szCs w:val="21"/>
          <w:highlight w:val="none"/>
        </w:rPr>
        <w:t>年</w:t>
      </w:r>
      <w:r>
        <w:rPr>
          <w:rFonts w:hint="eastAsia" w:ascii="宋体" w:hAnsi="宋体" w:cs="宋体"/>
          <w:color w:val="000000"/>
          <w:spacing w:val="-2"/>
          <w:szCs w:val="21"/>
          <w:highlight w:val="none"/>
          <w:lang w:val="en-US" w:eastAsia="zh-CN"/>
        </w:rPr>
        <w:t>3</w:t>
      </w:r>
      <w:r>
        <w:rPr>
          <w:rFonts w:hint="eastAsia" w:ascii="宋体" w:hAnsi="宋体" w:cs="宋体"/>
          <w:color w:val="000000"/>
          <w:spacing w:val="-2"/>
          <w:szCs w:val="21"/>
          <w:highlight w:val="none"/>
          <w:lang w:eastAsia="zh-CN"/>
        </w:rPr>
        <w:t>月1日</w:t>
      </w:r>
      <w:r>
        <w:rPr>
          <w:rFonts w:hint="eastAsia" w:ascii="宋体" w:hAnsi="宋体" w:cs="宋体"/>
          <w:color w:val="000000"/>
          <w:spacing w:val="-2"/>
          <w:szCs w:val="21"/>
          <w:highlight w:val="none"/>
        </w:rPr>
        <w:t>～投标文件递交截止时间止</w:t>
      </w:r>
      <w:r>
        <w:rPr>
          <w:rFonts w:hint="eastAsia" w:ascii="宋体" w:hAnsi="宋体" w:cs="宋体"/>
          <w:color w:val="000000"/>
          <w:spacing w:val="-2"/>
          <w:szCs w:val="21"/>
          <w:highlight w:val="none"/>
          <w:lang w:eastAsia="zh-CN"/>
        </w:rPr>
        <w:t>，以设计批复时间为准</w:t>
      </w:r>
      <w:r>
        <w:rPr>
          <w:rFonts w:hint="eastAsia" w:ascii="宋体" w:hAnsi="宋体" w:cs="宋体"/>
          <w:color w:val="000000"/>
          <w:spacing w:val="-2"/>
          <w:szCs w:val="21"/>
          <w:highlight w:val="none"/>
        </w:rPr>
        <w:t>）至少独立完成过1个且单个里程不少于100公里的二级及以上公路工程的初步勘察设计和施工图勘察设计。</w:t>
      </w:r>
    </w:p>
    <w:p w14:paraId="5A1A98B6">
      <w:pPr>
        <w:spacing w:line="360" w:lineRule="exact"/>
        <w:ind w:firstLine="422" w:firstLineChars="200"/>
        <w:rPr>
          <w:rFonts w:ascii="宋体" w:hAnsi="宋体" w:cs="宋体"/>
          <w:b/>
          <w:bCs/>
          <w:color w:val="000000"/>
          <w:spacing w:val="-2"/>
          <w:szCs w:val="21"/>
          <w:highlight w:val="none"/>
        </w:rPr>
      </w:pPr>
      <w:r>
        <w:rPr>
          <w:rFonts w:hint="eastAsia" w:ascii="宋体" w:hAnsi="宋体" w:cs="宋体"/>
          <w:b/>
          <w:color w:val="000000"/>
          <w:szCs w:val="21"/>
          <w:highlight w:val="none"/>
        </w:rPr>
        <w:t>如投标人提供一级及以上公路业绩的</w:t>
      </w:r>
      <w:r>
        <w:rPr>
          <w:rFonts w:hint="eastAsia" w:ascii="宋体" w:hAnsi="宋体" w:cs="宋体"/>
          <w:b/>
          <w:bCs/>
          <w:color w:val="000000"/>
          <w:spacing w:val="-2"/>
          <w:szCs w:val="21"/>
          <w:highlight w:val="none"/>
        </w:rPr>
        <w:t>，其公路里程可折算成2倍的二级公路里程。例如：投标人已完成某条</w:t>
      </w:r>
      <w:r>
        <w:rPr>
          <w:rFonts w:hint="eastAsia" w:ascii="宋体" w:hAnsi="宋体" w:cs="宋体"/>
          <w:b/>
          <w:color w:val="000000"/>
          <w:szCs w:val="21"/>
          <w:highlight w:val="none"/>
        </w:rPr>
        <w:t>一级（高速）</w:t>
      </w:r>
      <w:r>
        <w:rPr>
          <w:rFonts w:hint="eastAsia" w:ascii="宋体" w:hAnsi="宋体" w:cs="宋体"/>
          <w:b/>
          <w:bCs/>
          <w:color w:val="000000"/>
          <w:spacing w:val="-2"/>
          <w:szCs w:val="21"/>
          <w:highlight w:val="none"/>
        </w:rPr>
        <w:t>公路的此类业绩里程为10公里，则评标时可折算为：投标人已完成二级公路的此类业绩里程为20公里。</w:t>
      </w:r>
    </w:p>
    <w:p w14:paraId="7A67B649">
      <w:pPr>
        <w:spacing w:line="360" w:lineRule="exact"/>
        <w:ind w:firstLine="420" w:firstLineChars="200"/>
        <w:rPr>
          <w:rFonts w:hint="eastAsia" w:ascii="宋体" w:hAnsi="宋体" w:eastAsia="宋体" w:cs="宋体"/>
          <w:b/>
          <w:color w:val="000000"/>
          <w:szCs w:val="21"/>
          <w:highlight w:val="none"/>
        </w:rPr>
      </w:pPr>
      <w:r>
        <w:rPr>
          <w:rStyle w:val="17"/>
          <w:rFonts w:hint="eastAsia" w:ascii="宋体" w:hAnsi="宋体" w:eastAsia="宋体" w:cs="宋体"/>
          <w:bCs w:val="0"/>
          <w:color w:val="000000"/>
          <w:sz w:val="21"/>
          <w:szCs w:val="21"/>
          <w:highlight w:val="none"/>
        </w:rPr>
        <w:t>注：</w:t>
      </w:r>
      <w:r>
        <w:rPr>
          <w:rFonts w:hint="eastAsia" w:ascii="宋体" w:hAnsi="宋体" w:cs="宋体"/>
          <w:b/>
          <w:color w:val="000000"/>
          <w:highlight w:val="none"/>
          <w:shd w:val="clear" w:color="auto" w:fill="FFFFFF"/>
          <w:lang w:val="zh-TW"/>
        </w:rPr>
        <w:t>①</w:t>
      </w:r>
      <w:r>
        <w:rPr>
          <w:rFonts w:hint="eastAsia" w:ascii="宋体" w:hAnsi="宋体" w:eastAsia="宋体" w:cs="宋体"/>
          <w:b/>
          <w:color w:val="000000"/>
          <w:szCs w:val="21"/>
          <w:highlight w:val="none"/>
        </w:rPr>
        <w:t>以上业绩要求中，二级及以上公路工程是指新建或改扩建二级及以上公路工程项目，不含养护工程项目。②如单个业绩能同时满足上述条件要求的，则该业绩可分别予以认定；③初步勘察设计和施工图勘察设计业绩可不是同一个项目</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lang w:val="en-US" w:eastAsia="zh-CN"/>
        </w:rPr>
        <w:t>④</w:t>
      </w:r>
      <w:r>
        <w:rPr>
          <w:rFonts w:hint="eastAsia" w:ascii="宋体" w:hAnsi="宋体" w:eastAsia="宋体" w:cs="宋体"/>
          <w:b/>
          <w:color w:val="000000"/>
          <w:szCs w:val="21"/>
          <w:highlight w:val="none"/>
        </w:rPr>
        <w:t>业绩要求在交通运输部网站“全国公路建设市场监督管理系统”中能够查询，如果查询不到该业绩的信息或查询的信息与投标人提供的信息不一致，业绩审查时将不予认定。</w:t>
      </w:r>
    </w:p>
    <w:p w14:paraId="54F26B2A">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3.1.3项目负责人：具有公路工程相关专业高级及以上技术职称。</w:t>
      </w:r>
    </w:p>
    <w:p w14:paraId="28137D66">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注：公路工程相关专业包括公路工程、桥梁工程、公路与桥梁工程、交通土建、隧道（地下结构）工程、交通工程、道路与桥梁等专业。</w:t>
      </w:r>
    </w:p>
    <w:p w14:paraId="0B1829BD">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项目负责人必须是本企业合法在职人员（提供近3个月【2024年12月至2025年2月】本企业为其缴纳的养老保险证明，建办市函【2019】92号文件中规定的6类情形人员除外，但退休人员须提供退休的佐证材料）。</w:t>
      </w:r>
    </w:p>
    <w:p w14:paraId="094AF1D0">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3.1.4信誉要求</w:t>
      </w:r>
    </w:p>
    <w:p w14:paraId="65F7E263">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（1）投标人在近三年中不得在合同中违约、被驱逐出现场、亦不曾因投标人原因而被废除合同；</w:t>
      </w:r>
    </w:p>
    <w:p w14:paraId="2B3959C5">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（2）投标人在近三年中不得有重大质量、安全事故被有关部门处罚；</w:t>
      </w:r>
    </w:p>
    <w:p w14:paraId="41B2ECAF">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（3）投标人在近三年中不得拖欠农民工工资情况；</w:t>
      </w:r>
    </w:p>
    <w:p w14:paraId="4F7F48D0">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（4）本次招标不接受黑龙江省交通运输厅2023年度或交通运输部2023年度公路设计企业信用评价中认定为D级信用评价等级的投标人提出投标申请。</w:t>
      </w:r>
    </w:p>
    <w:p w14:paraId="72E3FC77">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 xml:space="preserve">3.2本次招标不接受联合体投标。 </w:t>
      </w:r>
    </w:p>
    <w:p w14:paraId="5FF3AB6D">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3.3与招标人存在利害关系可能影响招标公正性的单位，不得</w:t>
      </w:r>
      <w:r>
        <w:rPr>
          <w:rFonts w:hint="eastAsia" w:ascii="宋体" w:hAnsi="宋体"/>
          <w:color w:val="000000"/>
          <w:szCs w:val="21"/>
          <w:highlight w:val="none"/>
          <w:lang w:val="en-US" w:eastAsia="zh-CN"/>
        </w:rPr>
        <w:t>参加投标。单位负责人为 同一人或存</w:t>
      </w:r>
      <w:r>
        <w:rPr>
          <w:rFonts w:hint="eastAsia" w:ascii="宋体" w:hAnsi="宋体" w:eastAsia="宋体" w:cs="宋体"/>
          <w:color w:val="000000"/>
          <w:spacing w:val="-2"/>
          <w:szCs w:val="21"/>
          <w:highlight w:val="none"/>
          <w:lang w:val="en-US" w:eastAsia="zh-CN"/>
        </w:rPr>
        <w:t xml:space="preserve">在控股、管理关系的不同单位，不得参加同一标段投标，否则，相关投标均无效。 </w:t>
      </w:r>
    </w:p>
    <w:p w14:paraId="75C2723F">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3.4投标人不得存在下列不良状况或不良信用记录：</w:t>
      </w:r>
    </w:p>
    <w:p w14:paraId="78CCF715">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（1）被省级及以上交通运输主管部门取消招标项目所在地的投标资格且处于有效期内；</w:t>
      </w:r>
    </w:p>
    <w:p w14:paraId="2FD1AE80">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（2）被责令停业，暂扣或吊销执照，或吊销资质证书；</w:t>
      </w:r>
    </w:p>
    <w:p w14:paraId="04C76C9D">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（3）进入清算程序，或被宣告破产，或其他丧失履约能力的情形；</w:t>
      </w:r>
    </w:p>
    <w:p w14:paraId="0EFB785D">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（4）在国家企业信用信息公示系统（http://www.gsxt.gov.cn/)中被列入严重违法失 信企业名单；</w:t>
      </w:r>
    </w:p>
    <w:p w14:paraId="267A5D3D">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（5）在“信用中国”网站（http://www.creditchina.gov.cn/)或“信用黑龙江”网站 （www.hljcredit.gov.cn）中被列入失信被执行人名单；</w:t>
      </w:r>
    </w:p>
    <w:p w14:paraId="1060062A">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（6）投标人或其法定代表人、拟委任的项目负责人在近三年内有行贿犯罪行为的；</w:t>
      </w:r>
    </w:p>
    <w:p w14:paraId="31CA2F1A">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3.5本次招标评标采用双信封形式的综合评估法，对投标人的资格审查采用资格后审形式。</w:t>
      </w:r>
    </w:p>
    <w:p w14:paraId="5F3114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color w:val="000000"/>
          <w:szCs w:val="21"/>
          <w:highlight w:val="none"/>
          <w:lang w:val="en-US" w:eastAsia="zh-CN"/>
        </w:rPr>
      </w:pPr>
      <w:r>
        <w:rPr>
          <w:rFonts w:hint="eastAsia" w:ascii="宋体" w:hAnsi="宋体"/>
          <w:b/>
          <w:bCs/>
          <w:color w:val="000000"/>
          <w:szCs w:val="21"/>
          <w:highlight w:val="none"/>
          <w:lang w:val="en-US" w:eastAsia="zh-CN"/>
        </w:rPr>
        <w:t>4.技术成果经济补偿</w:t>
      </w:r>
      <w:r>
        <w:rPr>
          <w:rFonts w:hint="eastAsia" w:ascii="宋体" w:hAnsi="宋体"/>
          <w:color w:val="000000"/>
          <w:szCs w:val="21"/>
          <w:highlight w:val="none"/>
          <w:lang w:val="en-US" w:eastAsia="zh-CN"/>
        </w:rPr>
        <w:t xml:space="preserve"> </w:t>
      </w:r>
    </w:p>
    <w:p w14:paraId="157B98D7">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本次招标对未中标人投标文件中的技术成果不给予经济补偿。</w:t>
      </w:r>
    </w:p>
    <w:p w14:paraId="158C72E4">
      <w:pPr>
        <w:spacing w:line="360" w:lineRule="exact"/>
        <w:ind w:firstLine="412" w:firstLineChars="200"/>
        <w:rPr>
          <w:rFonts w:hint="eastAsia" w:ascii="宋体" w:hAnsi="宋体" w:eastAsia="宋体" w:cs="宋体"/>
          <w:color w:val="000000"/>
          <w:spacing w:val="-2"/>
          <w:szCs w:val="21"/>
          <w:highlight w:val="none"/>
          <w:lang w:val="en-US" w:eastAsia="zh-CN"/>
        </w:rPr>
      </w:pPr>
      <w:r>
        <w:rPr>
          <w:rFonts w:hint="eastAsia" w:ascii="宋体" w:hAnsi="宋体" w:eastAsia="宋体" w:cs="宋体"/>
          <w:color w:val="000000"/>
          <w:spacing w:val="-2"/>
          <w:szCs w:val="21"/>
          <w:highlight w:val="none"/>
          <w:lang w:val="en-US" w:eastAsia="zh-CN"/>
        </w:rPr>
        <w:t>给予经济补偿的，招标人将按如下标准支付经济补偿费： / 。</w:t>
      </w:r>
    </w:p>
    <w:p w14:paraId="4E801E4B">
      <w:pPr>
        <w:adjustRightInd w:val="0"/>
        <w:snapToGrid w:val="0"/>
        <w:spacing w:line="360" w:lineRule="auto"/>
        <w:ind w:firstLine="422" w:firstLineChars="200"/>
        <w:jc w:val="left"/>
        <w:rPr>
          <w:rFonts w:hint="eastAsia" w:ascii="宋体" w:hAnsi="宋体"/>
          <w:b/>
          <w:color w:val="000000"/>
          <w:szCs w:val="21"/>
          <w:highlight w:val="none"/>
        </w:rPr>
      </w:pPr>
      <w:r>
        <w:rPr>
          <w:rFonts w:hint="eastAsia" w:ascii="宋体" w:hAnsi="宋体"/>
          <w:b/>
          <w:color w:val="000000"/>
          <w:szCs w:val="21"/>
          <w:highlight w:val="none"/>
        </w:rPr>
        <w:t>5.招标文件的获取</w:t>
      </w:r>
    </w:p>
    <w:p w14:paraId="6A08CF9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5.1凡有意参加投标者，请在“黑龙江公共资源交易网(https://ggzyjyw.hlj.gov.cn/)”进行用户注册、办理数字证书，使用数字证书登录“黑龙江公共资源交易网”上的“交易平台”，明确所投标段，下载招标文件。下载时间为2025年3月 4 日17时00分至2025年 3月11 日17时00分（北京时间，下同）。</w:t>
      </w:r>
    </w:p>
    <w:p w14:paraId="54E0E90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注：在下载截止时间内至少下载一次招标文件，下载一次后可不受时间限制进行下载招标文件或答疑文件。如在下载时间截止前未下载招标文件，投标人自行承担相应责任。</w:t>
      </w:r>
    </w:p>
    <w:p w14:paraId="092BB2D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有关手续请查看“黑龙江公共资源交易网”中的《服务指南》黑龙江省公共资源交易平台投标文件制作操作手册、黑龙江省公共资源交易平台工程建设投标人操作视频、黑龙江省公共资源交易平台会员注册入库操作视频，技术支持咨询联系电话：4009980000。</w:t>
      </w:r>
    </w:p>
    <w:p w14:paraId="07DA66D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olor w:val="000000"/>
          <w:highlight w:val="none"/>
          <w:lang w:val="en-US" w:eastAsia="zh-CN"/>
        </w:rPr>
      </w:pPr>
      <w:r>
        <w:rPr>
          <w:rFonts w:hint="eastAsia" w:ascii="宋体" w:hAnsi="宋体" w:eastAsia="宋体" w:cs="Times New Roman"/>
          <w:color w:val="000000"/>
          <w:szCs w:val="21"/>
          <w:highlight w:val="none"/>
          <w:lang w:val="en-US" w:eastAsia="zh-CN"/>
        </w:rPr>
        <w:t>5.2投标人未按“黑龙江省公共资源交易网”的流程要求完成全部操作的，自行承担相应责任。</w:t>
      </w:r>
    </w:p>
    <w:p w14:paraId="60AB3D42">
      <w:pPr>
        <w:widowControl/>
        <w:snapToGrid w:val="0"/>
        <w:spacing w:line="360" w:lineRule="auto"/>
        <w:ind w:firstLine="422" w:firstLineChars="200"/>
        <w:jc w:val="left"/>
        <w:rPr>
          <w:rFonts w:ascii="宋体" w:hAnsi="宋体" w:cs="Arial"/>
          <w:b/>
          <w:color w:val="000000"/>
          <w:kern w:val="0"/>
          <w:szCs w:val="21"/>
          <w:highlight w:val="none"/>
        </w:rPr>
      </w:pPr>
      <w:r>
        <w:rPr>
          <w:rFonts w:hint="eastAsia" w:ascii="宋体" w:hAnsi="宋体" w:cs="Arial"/>
          <w:b/>
          <w:bCs/>
          <w:color w:val="000000"/>
          <w:kern w:val="0"/>
          <w:szCs w:val="21"/>
          <w:highlight w:val="none"/>
        </w:rPr>
        <w:t>6.</w:t>
      </w:r>
      <w:r>
        <w:rPr>
          <w:rFonts w:hint="eastAsia" w:ascii="宋体" w:hAnsi="宋体"/>
          <w:b/>
          <w:color w:val="000000"/>
          <w:kern w:val="0"/>
          <w:szCs w:val="21"/>
          <w:highlight w:val="none"/>
        </w:rPr>
        <w:t>投标文件的递交及相关事宜</w:t>
      </w:r>
    </w:p>
    <w:p w14:paraId="0118CFA2">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6.1招标人不组织工程现场踏勘，不召开投标预备会。招标人不召开投标预备会。招标人对招标文件的澄清、补遗均通过黑龙江省公共资源交易平台进行。</w:t>
      </w:r>
    </w:p>
    <w:p w14:paraId="08C9085D">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6.2本项目为线上开标。开标时，投标人应在线上对其投标文件进行解密。各投标人须在开标时间前安装好数字证书驱动程序，提前登录“交易平台-不见面开标大厅”，按照“黑龙江省公共资源交易网-服务指南”中的操作手册完成开标程序。</w:t>
      </w:r>
    </w:p>
    <w:p w14:paraId="7C26F563">
      <w:pPr>
        <w:adjustRightInd w:val="0"/>
        <w:snapToGrid w:val="0"/>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6.3投标文件递交截止时间为2025年 3月 25 日09时00分（即开标时间），投标人应于该截止时间前将投标文件第一个信封（商务及技术文件）、第二个信封（报价文件）上传至“黑龙江省公共资源交易网”上的“交易平台”进行网上投标。</w:t>
      </w:r>
    </w:p>
    <w:p w14:paraId="51111D96">
      <w:pPr>
        <w:adjustRightInd w:val="0"/>
        <w:snapToGrid w:val="0"/>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第一个信封开标时间：2025年 3 月 25 日09时00分。上传至交易平台的投标文件第一个信封（商务及技术文件）中，切勿出现有关报价内容，由于投标人自身原因导致投标报价在第一个信封（商务及技术文件）泄露，投标人自行承担责任。</w:t>
      </w:r>
    </w:p>
    <w:p w14:paraId="4D2716B4">
      <w:pPr>
        <w:adjustRightInd w:val="0"/>
        <w:snapToGrid w:val="0"/>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第二个信封开标时间：具体开标时间以第一个信封（商务及技术文件）评审结束时间为准，招标人将于第一个信封（商务及技术文件）评审结束后在交易平台上通知第二信封（报价文件）开标时间，请各投标人在开评标阶段持续关注交易平台开标页面，如因投标人原因导致未能在规定时间内进行第二个信封（报价文件）的解密等操作，投标人自行承担责任。</w:t>
      </w:r>
    </w:p>
    <w:p w14:paraId="5685B5FD">
      <w:pPr>
        <w:adjustRightInd w:val="0"/>
        <w:snapToGrid w:val="0"/>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6.4开标地点：黑龙江省公共资源交易中心（黑龙江省哈尔滨市南岗区长江路130-2号）。</w:t>
      </w:r>
    </w:p>
    <w:p w14:paraId="0EEDEB3D">
      <w:pPr>
        <w:adjustRightInd w:val="0"/>
        <w:snapToGrid w:val="0"/>
        <w:spacing w:line="360" w:lineRule="auto"/>
        <w:ind w:firstLine="420" w:firstLineChars="200"/>
        <w:rPr>
          <w:rFonts w:hint="eastAsia"/>
          <w:color w:val="000000"/>
          <w:highlight w:val="none"/>
        </w:rPr>
      </w:pPr>
      <w:r>
        <w:rPr>
          <w:rFonts w:hint="eastAsia" w:ascii="宋体" w:hAnsi="宋体" w:eastAsia="宋体" w:cs="Times New Roman"/>
          <w:color w:val="000000"/>
          <w:szCs w:val="21"/>
          <w:highlight w:val="none"/>
          <w:lang w:val="en-US" w:eastAsia="zh-CN"/>
        </w:rPr>
        <w:t>6.5投标人应提交投标保证金，投标保证金的金额：30万元人民币。投标保证金应采用网银转账、电汇或电子保函形式：①采用网银转账、电汇形式递交投标保证金的，投标人应在投标保证金递交截止时间之前，将投标保证金由中国人民银行核准的投标人基本存款账户汇出，汇入与黑龙江公共资源交易平台对接的银行。②采用电子保函方式递交投标保证金的，投标人应按黑龙江省公共资源交易中心的相关规定执行。</w:t>
      </w:r>
    </w:p>
    <w:p w14:paraId="20A3F270">
      <w:pPr>
        <w:adjustRightInd w:val="0"/>
        <w:snapToGrid w:val="0"/>
        <w:spacing w:line="360" w:lineRule="auto"/>
        <w:ind w:firstLine="422" w:firstLineChars="200"/>
        <w:rPr>
          <w:rFonts w:hint="eastAsia" w:ascii="宋体" w:hAnsi="宋体"/>
          <w:color w:val="000000"/>
          <w:szCs w:val="21"/>
          <w:highlight w:val="none"/>
        </w:rPr>
      </w:pPr>
      <w:r>
        <w:rPr>
          <w:rFonts w:hint="eastAsia" w:ascii="宋体" w:hAnsi="宋体"/>
          <w:b/>
          <w:bCs/>
          <w:color w:val="000000"/>
          <w:szCs w:val="21"/>
          <w:highlight w:val="none"/>
        </w:rPr>
        <w:t>7.发布公告的媒介</w:t>
      </w:r>
    </w:p>
    <w:p w14:paraId="7B29DDD2">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本次招标公告在黑龙江公共资源交易网（https://ggzyjyw.hlj.gov.cn/）</w:t>
      </w:r>
      <w:r>
        <w:rPr>
          <w:rFonts w:hint="eastAsia" w:ascii="宋体" w:hAnsi="宋体"/>
          <w:color w:val="000000"/>
          <w:szCs w:val="21"/>
          <w:highlight w:val="none"/>
          <w:lang w:eastAsia="zh-CN"/>
        </w:rPr>
        <w:t>、黑龙江省交通运输厅网站(http://jt.hlj.gov.cn/)</w:t>
      </w:r>
      <w:r>
        <w:rPr>
          <w:rFonts w:hint="eastAsia" w:ascii="宋体" w:hAnsi="宋体"/>
          <w:color w:val="000000"/>
          <w:szCs w:val="21"/>
          <w:highlight w:val="none"/>
        </w:rPr>
        <w:t>上发布。</w:t>
      </w:r>
    </w:p>
    <w:p w14:paraId="0BE1231B">
      <w:pPr>
        <w:adjustRightInd w:val="0"/>
        <w:snapToGrid w:val="0"/>
        <w:spacing w:line="360" w:lineRule="auto"/>
        <w:ind w:firstLine="422" w:firstLineChars="200"/>
        <w:rPr>
          <w:rFonts w:hint="eastAsia"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8.中标候选人公示</w:t>
      </w:r>
    </w:p>
    <w:p w14:paraId="49B545F2">
      <w:pPr>
        <w:adjustRightInd w:val="0"/>
        <w:snapToGrid w:val="0"/>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招标人将评标结果在黑龙江公共资源交易网（https://ggzyjyw.hlj.gov.cn/）</w:t>
      </w:r>
      <w:r>
        <w:rPr>
          <w:rFonts w:hint="eastAsia" w:ascii="宋体" w:hAnsi="宋体"/>
          <w:color w:val="000000"/>
          <w:szCs w:val="21"/>
          <w:highlight w:val="none"/>
          <w:lang w:eastAsia="zh-CN"/>
        </w:rPr>
        <w:t>、黑龙江省交通运输厅网站(http://jt.hlj.gov.cn/)</w:t>
      </w:r>
      <w:r>
        <w:rPr>
          <w:rFonts w:hint="eastAsia" w:ascii="宋体" w:hAnsi="宋体" w:eastAsia="宋体" w:cs="Times New Roman"/>
          <w:color w:val="000000"/>
          <w:szCs w:val="21"/>
          <w:highlight w:val="none"/>
          <w:lang w:val="en-US" w:eastAsia="zh-CN"/>
        </w:rPr>
        <w:t>上进行公示。将公示以下内容：</w:t>
      </w:r>
    </w:p>
    <w:p w14:paraId="2462F248">
      <w:pPr>
        <w:adjustRightInd w:val="0"/>
        <w:snapToGrid w:val="0"/>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（1）中标候选人排序、名称、投标报价，勘察设计质量要求、安全目标和勘察设计服务期限的响应情况；</w:t>
      </w:r>
    </w:p>
    <w:p w14:paraId="2D89D908">
      <w:pPr>
        <w:adjustRightInd w:val="0"/>
        <w:snapToGrid w:val="0"/>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（2）中标候选人在投标文件中承诺的项目负责人姓名、个人业绩、相关证书名称和编号；</w:t>
      </w:r>
    </w:p>
    <w:p w14:paraId="11415846">
      <w:pPr>
        <w:adjustRightInd w:val="0"/>
        <w:snapToGrid w:val="0"/>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（3）中标候选人在投标文件中填报的项目业绩；</w:t>
      </w:r>
    </w:p>
    <w:p w14:paraId="7973BC3F">
      <w:pPr>
        <w:adjustRightInd w:val="0"/>
        <w:snapToGrid w:val="0"/>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（4）被否决投标的投标人名称、否决依据和原因；</w:t>
      </w:r>
    </w:p>
    <w:p w14:paraId="5962B60E">
      <w:pPr>
        <w:adjustRightInd w:val="0"/>
        <w:snapToGrid w:val="0"/>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（5）提出异议的渠道和方式。</w:t>
      </w:r>
    </w:p>
    <w:p w14:paraId="5E2A6DF8">
      <w:pPr>
        <w:adjustRightInd w:val="0"/>
        <w:snapToGrid w:val="0"/>
        <w:spacing w:line="360" w:lineRule="auto"/>
        <w:ind w:firstLine="420" w:firstLineChars="200"/>
        <w:rPr>
          <w:rFonts w:hint="eastAsia"/>
          <w:color w:val="000000"/>
          <w:highlight w:val="none"/>
        </w:rPr>
      </w:pPr>
      <w:r>
        <w:rPr>
          <w:rFonts w:hint="eastAsia" w:ascii="宋体" w:hAnsi="宋体" w:eastAsia="宋体" w:cs="Times New Roman"/>
          <w:color w:val="000000"/>
          <w:szCs w:val="21"/>
          <w:highlight w:val="none"/>
          <w:lang w:val="en-US" w:eastAsia="zh-CN"/>
        </w:rPr>
        <w:t>投标人在投标过程中存在弄虚作假或者与其他投标人串通投标、以行贿谋取中标、无正当理由放弃中标等不良行为的，招标人将上报行业主管部门依照有关法律、法规进行处理，省级交通运输主管部门有权扣减其年度信用评价分数或者降低年度信用评价等级。</w:t>
      </w:r>
    </w:p>
    <w:p w14:paraId="7CB8CA24">
      <w:pPr>
        <w:adjustRightInd w:val="0"/>
        <w:snapToGrid w:val="0"/>
        <w:spacing w:line="360" w:lineRule="auto"/>
        <w:ind w:firstLine="422" w:firstLineChars="200"/>
        <w:jc w:val="left"/>
        <w:rPr>
          <w:rFonts w:hint="eastAsia" w:ascii="宋体" w:hAnsi="宋体"/>
          <w:b/>
          <w:color w:val="000000"/>
          <w:szCs w:val="21"/>
          <w:highlight w:val="none"/>
        </w:rPr>
      </w:pPr>
      <w:r>
        <w:rPr>
          <w:rFonts w:hint="eastAsia" w:ascii="宋体" w:hAnsi="宋体"/>
          <w:b/>
          <w:color w:val="000000"/>
          <w:szCs w:val="21"/>
          <w:highlight w:val="none"/>
        </w:rPr>
        <w:t>招标投标行政监督与受理投诉单位：</w:t>
      </w:r>
    </w:p>
    <w:p w14:paraId="6EB3AEF9">
      <w:pPr>
        <w:adjustRightInd w:val="0"/>
        <w:snapToGrid w:val="0"/>
        <w:spacing w:line="360" w:lineRule="auto"/>
        <w:ind w:firstLine="420" w:firstLineChars="200"/>
        <w:jc w:val="left"/>
        <w:rPr>
          <w:rFonts w:hint="eastAsia" w:ascii="宋体" w:hAnsi="宋体"/>
          <w:color w:val="000000"/>
          <w:highlight w:val="none"/>
          <w:lang w:eastAsia="zh-CN"/>
        </w:rPr>
      </w:pPr>
      <w:r>
        <w:rPr>
          <w:rFonts w:hint="eastAsia" w:ascii="宋体" w:hAnsi="宋体"/>
          <w:color w:val="000000"/>
          <w:highlight w:val="none"/>
          <w:lang w:eastAsia="zh-CN"/>
        </w:rPr>
        <w:t>黑龙江省大兴安岭地区行政公署交通运输局</w:t>
      </w:r>
    </w:p>
    <w:p w14:paraId="12DD0B12">
      <w:pPr>
        <w:adjustRightInd w:val="0"/>
        <w:snapToGrid w:val="0"/>
        <w:spacing w:line="360" w:lineRule="auto"/>
        <w:ind w:firstLine="420" w:firstLineChars="200"/>
        <w:jc w:val="left"/>
        <w:rPr>
          <w:rFonts w:hint="eastAsia" w:ascii="宋体" w:hAnsi="宋体"/>
          <w:color w:val="000000"/>
          <w:highlight w:val="none"/>
          <w:lang w:eastAsia="zh-CN"/>
        </w:rPr>
      </w:pPr>
      <w:r>
        <w:rPr>
          <w:rFonts w:hint="eastAsia" w:ascii="宋体" w:hAnsi="宋体"/>
          <w:color w:val="000000"/>
          <w:highlight w:val="none"/>
        </w:rPr>
        <w:t>联 系 人：</w:t>
      </w:r>
      <w:r>
        <w:rPr>
          <w:rFonts w:hint="eastAsia" w:ascii="宋体" w:hAnsi="宋体"/>
          <w:color w:val="000000"/>
          <w:szCs w:val="21"/>
          <w:highlight w:val="none"/>
          <w:lang w:val="en-US" w:eastAsia="zh-CN"/>
        </w:rPr>
        <w:t>夏女士</w:t>
      </w:r>
    </w:p>
    <w:p w14:paraId="35095489">
      <w:pPr>
        <w:adjustRightInd w:val="0"/>
        <w:snapToGrid w:val="0"/>
        <w:spacing w:line="360" w:lineRule="auto"/>
        <w:ind w:firstLine="420" w:firstLineChars="200"/>
        <w:jc w:val="left"/>
        <w:rPr>
          <w:rFonts w:hint="eastAsia" w:ascii="宋体" w:hAnsi="宋体"/>
          <w:b/>
          <w:color w:val="000000"/>
          <w:szCs w:val="21"/>
          <w:highlight w:val="none"/>
        </w:rPr>
      </w:pPr>
      <w:r>
        <w:rPr>
          <w:rFonts w:hint="eastAsia" w:ascii="宋体" w:hAnsi="宋体"/>
          <w:color w:val="000000"/>
          <w:szCs w:val="21"/>
          <w:highlight w:val="none"/>
        </w:rPr>
        <w:t>电</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话：</w:t>
      </w:r>
      <w:r>
        <w:rPr>
          <w:rFonts w:hint="eastAsia" w:ascii="宋体" w:hAnsi="宋体"/>
          <w:color w:val="000000"/>
          <w:szCs w:val="21"/>
          <w:highlight w:val="none"/>
          <w:lang w:val="en-US" w:eastAsia="zh-CN"/>
        </w:rPr>
        <w:t>0457-2735036</w:t>
      </w:r>
    </w:p>
    <w:p w14:paraId="3AE49856">
      <w:pPr>
        <w:spacing w:line="360" w:lineRule="auto"/>
        <w:ind w:firstLine="422" w:firstLineChars="200"/>
        <w:jc w:val="left"/>
        <w:rPr>
          <w:rFonts w:hint="eastAsia" w:ascii="宋体" w:hAnsi="宋体"/>
          <w:b/>
          <w:color w:val="000000"/>
          <w:highlight w:val="none"/>
        </w:rPr>
      </w:pPr>
      <w:r>
        <w:rPr>
          <w:rFonts w:hint="eastAsia" w:ascii="宋体" w:hAnsi="宋体"/>
          <w:b/>
          <w:color w:val="000000"/>
          <w:highlight w:val="none"/>
        </w:rPr>
        <w:t>招 标 人：</w:t>
      </w:r>
      <w:r>
        <w:rPr>
          <w:rFonts w:hint="eastAsia" w:ascii="宋体" w:hAnsi="宋体"/>
          <w:b/>
          <w:color w:val="000000"/>
          <w:highlight w:val="none"/>
          <w:lang w:eastAsia="zh-CN"/>
        </w:rPr>
        <w:t>国道京漠公路加格达奇至瓦拉干段改建工程建设指挥部</w:t>
      </w:r>
    </w:p>
    <w:p w14:paraId="34B632DC">
      <w:pPr>
        <w:spacing w:line="360" w:lineRule="auto"/>
        <w:ind w:firstLine="420" w:firstLineChars="200"/>
        <w:jc w:val="left"/>
        <w:rPr>
          <w:rFonts w:hint="eastAsia" w:ascii="宋体" w:hAnsi="宋体" w:eastAsia="宋体"/>
          <w:color w:val="000000"/>
          <w:highlight w:val="none"/>
          <w:lang w:eastAsia="zh-CN"/>
        </w:rPr>
      </w:pPr>
      <w:r>
        <w:rPr>
          <w:rFonts w:hint="eastAsia" w:ascii="宋体" w:hAnsi="宋体"/>
          <w:color w:val="000000"/>
          <w:highlight w:val="none"/>
        </w:rPr>
        <w:t>地    址：大兴安岭地区加格达奇区朝阳路</w:t>
      </w:r>
      <w:r>
        <w:rPr>
          <w:rFonts w:hint="eastAsia" w:ascii="宋体" w:hAnsi="宋体"/>
          <w:color w:val="000000"/>
          <w:highlight w:val="none"/>
          <w:lang w:val="en-US" w:eastAsia="zh-CN"/>
        </w:rPr>
        <w:t>305号</w:t>
      </w:r>
    </w:p>
    <w:p w14:paraId="3DFCC513">
      <w:pPr>
        <w:spacing w:line="360" w:lineRule="auto"/>
        <w:ind w:firstLine="420" w:firstLineChars="200"/>
        <w:jc w:val="left"/>
        <w:rPr>
          <w:rFonts w:hint="default" w:ascii="宋体" w:hAnsi="宋体"/>
          <w:color w:val="000000"/>
          <w:highlight w:val="none"/>
          <w:lang w:val="en-US"/>
        </w:rPr>
      </w:pPr>
      <w:r>
        <w:rPr>
          <w:rFonts w:hint="eastAsia" w:ascii="宋体" w:hAnsi="宋体"/>
          <w:color w:val="000000"/>
          <w:highlight w:val="none"/>
        </w:rPr>
        <w:t>联 系 人：</w:t>
      </w:r>
      <w:r>
        <w:rPr>
          <w:rFonts w:hint="eastAsia"/>
          <w:color w:val="000000"/>
          <w:highlight w:val="none"/>
          <w:lang w:val="en-US" w:eastAsia="zh-CN"/>
        </w:rPr>
        <w:t>刘先生</w:t>
      </w:r>
    </w:p>
    <w:p w14:paraId="57C154D0">
      <w:pPr>
        <w:spacing w:line="360" w:lineRule="auto"/>
        <w:ind w:firstLine="420" w:firstLineChars="200"/>
        <w:jc w:val="left"/>
        <w:rPr>
          <w:rFonts w:hint="default" w:ascii="宋体" w:hAnsi="宋体" w:eastAsia="宋体"/>
          <w:color w:val="000000"/>
          <w:highlight w:val="none"/>
          <w:lang w:val="en-US" w:eastAsia="zh-CN"/>
        </w:rPr>
      </w:pPr>
      <w:r>
        <w:rPr>
          <w:rFonts w:hint="eastAsia" w:ascii="宋体" w:hAnsi="宋体"/>
          <w:color w:val="000000"/>
          <w:highlight w:val="none"/>
        </w:rPr>
        <w:t>电    话：</w:t>
      </w:r>
      <w:r>
        <w:rPr>
          <w:rFonts w:hint="eastAsia" w:ascii="宋体" w:hAnsi="宋体"/>
          <w:color w:val="000000"/>
          <w:highlight w:val="none"/>
          <w:lang w:val="en-US" w:eastAsia="zh-CN"/>
        </w:rPr>
        <w:t>15245774575</w:t>
      </w:r>
    </w:p>
    <w:p w14:paraId="546A688F">
      <w:pPr>
        <w:spacing w:line="360" w:lineRule="auto"/>
        <w:ind w:firstLine="462" w:firstLineChars="200"/>
        <w:jc w:val="left"/>
        <w:rPr>
          <w:rFonts w:hint="eastAsia" w:ascii="宋体" w:hAnsi="宋体" w:eastAsia="宋体"/>
          <w:color w:val="000000"/>
          <w:highlight w:val="none"/>
          <w:lang w:eastAsia="zh-CN"/>
        </w:rPr>
      </w:pPr>
      <w:r>
        <w:rPr>
          <w:rFonts w:hint="eastAsia" w:ascii="宋体" w:hAnsi="宋体"/>
          <w:b/>
          <w:bCs/>
          <w:color w:val="000000"/>
          <w:spacing w:val="10"/>
          <w:kern w:val="0"/>
          <w:szCs w:val="21"/>
          <w:highlight w:val="none"/>
        </w:rPr>
        <w:t>招标代理：</w:t>
      </w:r>
      <w:r>
        <w:rPr>
          <w:rFonts w:hint="eastAsia" w:ascii="宋体" w:hAnsi="宋体" w:cs="宋体"/>
          <w:b/>
          <w:bCs/>
          <w:color w:val="000000"/>
          <w:highlight w:val="none"/>
          <w:lang w:eastAsia="zh-CN"/>
        </w:rPr>
        <w:t>城投智业全过程工程咨询（黑龙江）集团有限公司</w:t>
      </w:r>
    </w:p>
    <w:p w14:paraId="623EEC3A">
      <w:pPr>
        <w:tabs>
          <w:tab w:val="left" w:pos="4678"/>
        </w:tabs>
        <w:adjustRightInd w:val="0"/>
        <w:snapToGrid w:val="0"/>
        <w:spacing w:line="360" w:lineRule="auto"/>
        <w:ind w:firstLine="420" w:firstLineChars="200"/>
        <w:jc w:val="left"/>
        <w:rPr>
          <w:rFonts w:hint="default" w:ascii="宋体" w:hAnsi="宋体" w:eastAsia="宋体"/>
          <w:color w:val="000000"/>
          <w:highlight w:val="none"/>
          <w:lang w:val="en-US" w:eastAsia="zh-CN"/>
        </w:rPr>
      </w:pPr>
      <w:r>
        <w:rPr>
          <w:rFonts w:hint="eastAsia" w:ascii="宋体" w:hAnsi="宋体"/>
          <w:color w:val="000000"/>
          <w:highlight w:val="none"/>
        </w:rPr>
        <w:t>地    址：</w:t>
      </w:r>
      <w:r>
        <w:rPr>
          <w:rFonts w:hint="eastAsia" w:ascii="宋体" w:hAnsi="宋体"/>
          <w:color w:val="000000"/>
          <w:highlight w:val="none"/>
          <w:lang w:eastAsia="zh-CN"/>
        </w:rPr>
        <w:t>哈尔滨市松北区</w:t>
      </w:r>
      <w:r>
        <w:rPr>
          <w:rFonts w:hint="eastAsia" w:ascii="宋体" w:hAnsi="宋体"/>
          <w:color w:val="000000"/>
          <w:highlight w:val="none"/>
          <w:lang w:val="en-US" w:eastAsia="zh-CN"/>
        </w:rPr>
        <w:t>世纪大道1000号</w:t>
      </w:r>
    </w:p>
    <w:p w14:paraId="194704CD">
      <w:pPr>
        <w:tabs>
          <w:tab w:val="left" w:pos="4678"/>
        </w:tabs>
        <w:adjustRightInd w:val="0"/>
        <w:snapToGrid w:val="0"/>
        <w:spacing w:line="360" w:lineRule="auto"/>
        <w:ind w:firstLine="420" w:firstLineChars="200"/>
        <w:jc w:val="left"/>
        <w:rPr>
          <w:rFonts w:hint="default" w:ascii="宋体" w:hAnsi="宋体"/>
          <w:color w:val="000000"/>
          <w:highlight w:val="none"/>
          <w:lang w:val="en-US"/>
        </w:rPr>
      </w:pPr>
      <w:r>
        <w:rPr>
          <w:rFonts w:hint="eastAsia" w:ascii="宋体" w:hAnsi="宋体"/>
          <w:color w:val="000000"/>
          <w:highlight w:val="none"/>
        </w:rPr>
        <w:t>邮政编码：1500</w:t>
      </w:r>
      <w:r>
        <w:rPr>
          <w:rFonts w:hint="eastAsia" w:ascii="宋体" w:hAnsi="宋体"/>
          <w:color w:val="000000"/>
          <w:highlight w:val="none"/>
          <w:lang w:val="en-US" w:eastAsia="zh-CN"/>
        </w:rPr>
        <w:t>00</w:t>
      </w:r>
    </w:p>
    <w:p w14:paraId="28BE75EF">
      <w:pPr>
        <w:tabs>
          <w:tab w:val="left" w:pos="4678"/>
        </w:tabs>
        <w:adjustRightInd w:val="0"/>
        <w:snapToGrid w:val="0"/>
        <w:spacing w:line="360" w:lineRule="auto"/>
        <w:ind w:firstLine="420" w:firstLineChars="200"/>
        <w:jc w:val="left"/>
        <w:rPr>
          <w:rFonts w:hint="eastAsia" w:ascii="宋体" w:hAnsi="宋体" w:eastAsia="宋体"/>
          <w:color w:val="000000"/>
          <w:highlight w:val="none"/>
          <w:lang w:eastAsia="zh-CN"/>
        </w:rPr>
      </w:pPr>
      <w:r>
        <w:rPr>
          <w:rFonts w:hint="eastAsia" w:ascii="宋体" w:hAnsi="宋体"/>
          <w:color w:val="000000"/>
          <w:highlight w:val="none"/>
        </w:rPr>
        <w:t>联 系 人：</w:t>
      </w:r>
      <w:r>
        <w:rPr>
          <w:rFonts w:hint="eastAsia" w:ascii="宋体" w:hAnsi="宋体"/>
          <w:color w:val="000000"/>
          <w:highlight w:val="none"/>
          <w:lang w:val="en-US" w:eastAsia="zh-CN"/>
        </w:rPr>
        <w:t>付</w:t>
      </w:r>
      <w:r>
        <w:rPr>
          <w:rFonts w:hint="eastAsia" w:ascii="宋体" w:hAnsi="宋体"/>
          <w:color w:val="000000"/>
          <w:highlight w:val="none"/>
          <w:lang w:eastAsia="zh-CN"/>
        </w:rPr>
        <w:t>女士</w:t>
      </w:r>
    </w:p>
    <w:p w14:paraId="0663CDCD">
      <w:pPr>
        <w:tabs>
          <w:tab w:val="left" w:pos="4678"/>
        </w:tabs>
        <w:adjustRightInd w:val="0"/>
        <w:snapToGrid w:val="0"/>
        <w:spacing w:line="360" w:lineRule="auto"/>
        <w:ind w:firstLine="420" w:firstLineChars="200"/>
        <w:jc w:val="left"/>
        <w:rPr>
          <w:rFonts w:hint="default" w:ascii="宋体" w:hAnsi="宋体" w:eastAsia="宋体"/>
          <w:color w:val="000000"/>
          <w:highlight w:val="none"/>
          <w:lang w:val="en-US" w:eastAsia="zh-CN"/>
        </w:rPr>
      </w:pPr>
      <w:r>
        <w:rPr>
          <w:rFonts w:hint="eastAsia" w:ascii="宋体" w:hAnsi="宋体"/>
          <w:color w:val="000000"/>
          <w:highlight w:val="none"/>
        </w:rPr>
        <w:t>电    话：</w:t>
      </w:r>
      <w:r>
        <w:rPr>
          <w:rFonts w:hint="eastAsia" w:ascii="宋体" w:hAnsi="宋体"/>
          <w:color w:val="000000"/>
          <w:highlight w:val="none"/>
          <w:lang w:val="en-US" w:eastAsia="zh-CN"/>
        </w:rPr>
        <w:t>0451-82325957</w:t>
      </w:r>
    </w:p>
    <w:p w14:paraId="4525FA70">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highlight w:val="none"/>
        </w:rPr>
        <w:t>电子邮箱：</w:t>
      </w:r>
      <w:r>
        <w:rPr>
          <w:rFonts w:hint="eastAsia" w:ascii="宋体" w:hAnsi="宋体"/>
          <w:color w:val="000000"/>
          <w:highlight w:val="none"/>
          <w:lang w:val="en-US" w:eastAsia="zh-CN"/>
        </w:rPr>
        <w:t>ctzy_hlj</w:t>
      </w:r>
      <w:r>
        <w:rPr>
          <w:rFonts w:hint="eastAsia" w:ascii="宋体" w:hAnsi="宋体"/>
          <w:color w:val="000000"/>
          <w:highlight w:val="none"/>
        </w:rPr>
        <w:t>@163.com</w:t>
      </w:r>
    </w:p>
    <w:p w14:paraId="5CB9C39F">
      <w:pPr>
        <w:tabs>
          <w:tab w:val="left" w:pos="4678"/>
        </w:tabs>
        <w:adjustRightInd w:val="0"/>
        <w:snapToGrid w:val="0"/>
        <w:spacing w:line="360" w:lineRule="auto"/>
        <w:ind w:firstLine="420" w:firstLineChars="200"/>
        <w:jc w:val="left"/>
        <w:sectPr>
          <w:pgSz w:w="11906" w:h="16838"/>
          <w:pgMar w:top="1440" w:right="1800" w:bottom="1440" w:left="1800" w:header="851" w:footer="992" w:gutter="0"/>
          <w:cols w:space="425" w:num="1"/>
          <w:docGrid w:type="lines" w:linePitch="312" w:charSpace="0"/>
        </w:sectPr>
      </w:pPr>
    </w:p>
    <w:p w14:paraId="31741602">
      <w:pPr>
        <w:pStyle w:val="5"/>
        <w:jc w:val="center"/>
        <w:rPr>
          <w:rFonts w:hint="eastAsia"/>
          <w:color w:val="000000"/>
          <w:highlight w:val="none"/>
        </w:rPr>
      </w:pPr>
      <w:bookmarkStart w:id="13" w:name="_Toc20674"/>
      <w:bookmarkStart w:id="14" w:name="_Toc515813121"/>
      <w:r>
        <w:rPr>
          <w:rFonts w:hint="eastAsia"/>
          <w:color w:val="000000"/>
          <w:highlight w:val="none"/>
        </w:rPr>
        <w:t>附录1　资格审查条件(资质最低要求)</w:t>
      </w:r>
      <w:bookmarkEnd w:id="13"/>
      <w:bookmarkEnd w:id="14"/>
    </w:p>
    <w:p w14:paraId="1B660169">
      <w:pPr>
        <w:jc w:val="center"/>
        <w:rPr>
          <w:rFonts w:hint="eastAsia" w:ascii="宋体" w:hAnsi="宋体"/>
          <w:b/>
          <w:color w:val="000000"/>
          <w:sz w:val="18"/>
          <w:szCs w:val="18"/>
          <w:highlight w:val="none"/>
          <w:vertAlign w:val="superscript"/>
        </w:rPr>
      </w:pP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8"/>
      </w:tblGrid>
      <w:tr w14:paraId="31EFD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8528" w:type="dxa"/>
            <w:noWrap w:val="0"/>
            <w:vAlign w:val="center"/>
          </w:tcPr>
          <w:p w14:paraId="48898F90">
            <w:pPr>
              <w:jc w:val="center"/>
              <w:rPr>
                <w:rFonts w:hint="eastAsia" w:ascii="宋体" w:hAnsi="宋体"/>
                <w:color w:val="000000"/>
                <w:szCs w:val="21"/>
                <w:highlight w:val="none"/>
              </w:rPr>
            </w:pPr>
            <w:r>
              <w:rPr>
                <w:rFonts w:hint="eastAsia" w:ascii="宋体" w:hAnsi="宋体"/>
                <w:color w:val="000000"/>
                <w:szCs w:val="21"/>
                <w:highlight w:val="none"/>
              </w:rPr>
              <w:t>勘察设计企业资质等级要求</w:t>
            </w:r>
          </w:p>
        </w:tc>
      </w:tr>
      <w:tr w14:paraId="042A9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68" w:hRule="atLeast"/>
        </w:trPr>
        <w:tc>
          <w:tcPr>
            <w:tcW w:w="8528" w:type="dxa"/>
            <w:noWrap w:val="0"/>
            <w:vAlign w:val="center"/>
          </w:tcPr>
          <w:p w14:paraId="3E55CD47">
            <w:pPr>
              <w:rPr>
                <w:rFonts w:hint="eastAsia" w:ascii="宋体" w:hAnsi="宋体"/>
                <w:color w:val="000000"/>
                <w:szCs w:val="21"/>
                <w:highlight w:val="none"/>
              </w:rPr>
            </w:pPr>
            <w:r>
              <w:rPr>
                <w:rFonts w:hint="eastAsia" w:ascii="宋体" w:hAnsi="宋体"/>
                <w:color w:val="000000"/>
                <w:szCs w:val="21"/>
                <w:highlight w:val="none"/>
              </w:rPr>
              <w:t>1、资质要求（同时具备）：</w:t>
            </w:r>
          </w:p>
          <w:p w14:paraId="3FB9DEB6">
            <w:pPr>
              <w:spacing w:line="360" w:lineRule="exact"/>
              <w:ind w:firstLine="412" w:firstLineChars="200"/>
              <w:rPr>
                <w:rFonts w:hint="eastAsia" w:ascii="宋体" w:hAnsi="宋体" w:eastAsia="宋体" w:cs="宋体"/>
                <w:color w:val="000000"/>
                <w:spacing w:val="-2"/>
                <w:szCs w:val="21"/>
                <w:highlight w:val="none"/>
                <w:lang w:eastAsia="zh-CN"/>
              </w:rPr>
            </w:pPr>
            <w:r>
              <w:rPr>
                <w:rFonts w:hint="eastAsia" w:ascii="宋体" w:hAnsi="宋体" w:cs="宋体"/>
                <w:color w:val="000000"/>
                <w:spacing w:val="-2"/>
                <w:szCs w:val="21"/>
                <w:highlight w:val="none"/>
              </w:rPr>
              <w:t>（1）工程勘察资质：住房和城乡建设部颁发的工程勘察专业类(岩土工程</w:t>
            </w:r>
            <w:r>
              <w:rPr>
                <w:rFonts w:hint="eastAsia" w:ascii="宋体" w:hAnsi="宋体" w:cs="宋体"/>
                <w:color w:val="000000"/>
                <w:spacing w:val="-2"/>
                <w:szCs w:val="21"/>
                <w:highlight w:val="none"/>
                <w:lang w:eastAsia="zh-CN"/>
              </w:rPr>
              <w:t>和</w:t>
            </w:r>
            <w:r>
              <w:rPr>
                <w:rFonts w:hint="eastAsia" w:ascii="宋体" w:hAnsi="宋体" w:cs="宋体"/>
                <w:color w:val="000000"/>
                <w:spacing w:val="-2"/>
                <w:szCs w:val="21"/>
                <w:highlight w:val="none"/>
              </w:rPr>
              <w:t>工程测量)</w:t>
            </w:r>
            <w:r>
              <w:rPr>
                <w:rFonts w:hint="eastAsia" w:ascii="宋体" w:hAnsi="宋体" w:cs="宋体"/>
                <w:color w:val="000000"/>
                <w:spacing w:val="-2"/>
                <w:szCs w:val="21"/>
                <w:highlight w:val="none"/>
                <w:lang w:val="en-US" w:eastAsia="zh-CN"/>
              </w:rPr>
              <w:t>甲</w:t>
            </w:r>
            <w:r>
              <w:rPr>
                <w:rFonts w:hint="eastAsia" w:ascii="宋体" w:hAnsi="宋体" w:cs="宋体"/>
                <w:color w:val="000000"/>
                <w:spacing w:val="-2"/>
                <w:szCs w:val="21"/>
                <w:highlight w:val="none"/>
              </w:rPr>
              <w:t>级</w:t>
            </w:r>
            <w:r>
              <w:rPr>
                <w:rFonts w:hint="eastAsia" w:ascii="宋体" w:hAnsi="宋体" w:cs="宋体"/>
                <w:color w:val="000000"/>
                <w:spacing w:val="-2"/>
                <w:szCs w:val="21"/>
                <w:highlight w:val="none"/>
                <w:lang w:eastAsia="zh-CN"/>
              </w:rPr>
              <w:t>及以上</w:t>
            </w:r>
            <w:r>
              <w:rPr>
                <w:rFonts w:hint="eastAsia" w:ascii="宋体" w:hAnsi="宋体" w:cs="宋体"/>
                <w:color w:val="000000"/>
                <w:spacing w:val="-2"/>
                <w:szCs w:val="21"/>
                <w:highlight w:val="none"/>
              </w:rPr>
              <w:t>资质</w:t>
            </w:r>
            <w:r>
              <w:rPr>
                <w:rFonts w:hint="eastAsia" w:ascii="宋体" w:hAnsi="宋体" w:cs="宋体"/>
                <w:color w:val="000000"/>
                <w:spacing w:val="-2"/>
                <w:szCs w:val="21"/>
                <w:highlight w:val="none"/>
                <w:lang w:eastAsia="zh-CN"/>
              </w:rPr>
              <w:t>。</w:t>
            </w:r>
          </w:p>
          <w:p w14:paraId="5F997AC3">
            <w:pPr>
              <w:spacing w:line="360" w:lineRule="exact"/>
              <w:ind w:firstLine="412" w:firstLineChars="200"/>
              <w:rPr>
                <w:rFonts w:ascii="宋体" w:hAnsi="宋体" w:cs="宋体"/>
                <w:color w:val="000000"/>
                <w:spacing w:val="-2"/>
                <w:szCs w:val="21"/>
                <w:highlight w:val="none"/>
              </w:rPr>
            </w:pPr>
            <w:r>
              <w:rPr>
                <w:rFonts w:hint="eastAsia" w:ascii="宋体" w:hAnsi="宋体" w:cs="宋体"/>
                <w:color w:val="000000"/>
                <w:spacing w:val="-2"/>
                <w:szCs w:val="21"/>
                <w:highlight w:val="none"/>
              </w:rPr>
              <w:t>（2）工程设计资质：住房和城乡建设部颁发的工程设计公路行业（公路）专业甲级</w:t>
            </w:r>
            <w:r>
              <w:rPr>
                <w:rFonts w:hint="eastAsia" w:ascii="宋体" w:hAnsi="宋体" w:cs="宋体"/>
                <w:color w:val="000000"/>
                <w:spacing w:val="-2"/>
                <w:szCs w:val="21"/>
                <w:highlight w:val="none"/>
                <w:lang w:eastAsia="zh-CN"/>
              </w:rPr>
              <w:t>及以上</w:t>
            </w:r>
            <w:r>
              <w:rPr>
                <w:rFonts w:hint="eastAsia" w:ascii="宋体" w:hAnsi="宋体" w:cs="宋体"/>
                <w:color w:val="000000"/>
                <w:spacing w:val="-2"/>
                <w:szCs w:val="21"/>
                <w:highlight w:val="none"/>
              </w:rPr>
              <w:t>资质。</w:t>
            </w:r>
          </w:p>
          <w:p w14:paraId="50397369">
            <w:pPr>
              <w:spacing w:line="360" w:lineRule="exact"/>
              <w:ind w:firstLine="412" w:firstLineChars="200"/>
              <w:rPr>
                <w:rFonts w:ascii="宋体" w:hAnsi="宋体" w:cs="宋体"/>
                <w:color w:val="000000"/>
                <w:spacing w:val="-2"/>
                <w:szCs w:val="21"/>
                <w:highlight w:val="none"/>
              </w:rPr>
            </w:pPr>
            <w:r>
              <w:rPr>
                <w:rFonts w:hint="eastAsia" w:ascii="宋体" w:hAnsi="宋体" w:cs="宋体"/>
                <w:color w:val="000000"/>
                <w:spacing w:val="-2"/>
                <w:szCs w:val="21"/>
                <w:highlight w:val="none"/>
              </w:rPr>
              <w:t>参与本项目投标人应进入交通运输部“</w:t>
            </w:r>
            <w:r>
              <w:rPr>
                <w:rFonts w:hint="eastAsia" w:ascii="宋体" w:hAnsi="宋体" w:cs="宋体"/>
                <w:color w:val="000000"/>
                <w:spacing w:val="-2"/>
                <w:szCs w:val="21"/>
                <w:highlight w:val="none"/>
                <w:lang w:eastAsia="zh-CN"/>
              </w:rPr>
              <w:t>全国公路建设市场监督管理系统</w:t>
            </w:r>
            <w:r>
              <w:rPr>
                <w:rFonts w:hint="eastAsia" w:ascii="宋体" w:hAnsi="宋体" w:cs="宋体"/>
                <w:color w:val="000000"/>
                <w:spacing w:val="-2"/>
                <w:szCs w:val="21"/>
                <w:highlight w:val="none"/>
              </w:rPr>
              <w:t>（http：//glxy.mot.gov.cn）”中的公路工程设计资质企业名录，且投标人名称和资质与名录中的相应企业名称和资质完全一致。</w:t>
            </w:r>
          </w:p>
          <w:p w14:paraId="2AF4FDE1">
            <w:pPr>
              <w:rPr>
                <w:rFonts w:hint="eastAsia" w:ascii="宋体" w:hAnsi="宋体"/>
                <w:color w:val="000000"/>
                <w:szCs w:val="21"/>
                <w:highlight w:val="none"/>
              </w:rPr>
            </w:pPr>
          </w:p>
        </w:tc>
      </w:tr>
    </w:tbl>
    <w:p w14:paraId="6FB9089A">
      <w:pPr>
        <w:pStyle w:val="5"/>
        <w:rPr>
          <w:rFonts w:hint="eastAsia" w:ascii="黑体"/>
          <w:color w:val="000000"/>
          <w:highlight w:val="none"/>
        </w:rPr>
      </w:pPr>
      <w:r>
        <w:rPr>
          <w:rFonts w:ascii="宋体" w:hAnsi="宋体"/>
          <w:b/>
          <w:bCs/>
          <w:color w:val="000000"/>
          <w:kern w:val="44"/>
          <w:sz w:val="30"/>
          <w:szCs w:val="30"/>
          <w:highlight w:val="none"/>
        </w:rPr>
        <w:br w:type="page"/>
      </w:r>
      <w:bookmarkStart w:id="15" w:name="_Toc3267"/>
      <w:r>
        <w:rPr>
          <w:rFonts w:hint="eastAsia"/>
          <w:color w:val="000000"/>
          <w:highlight w:val="none"/>
        </w:rPr>
        <w:t>附录2　</w:t>
      </w:r>
      <w:r>
        <w:rPr>
          <w:rFonts w:hint="eastAsia" w:ascii="黑体"/>
          <w:color w:val="000000"/>
          <w:highlight w:val="none"/>
        </w:rPr>
        <w:t>　资格审查条件(</w:t>
      </w:r>
      <w:r>
        <w:rPr>
          <w:rFonts w:hint="eastAsia" w:ascii="黑体"/>
          <w:color w:val="000000"/>
          <w:highlight w:val="none"/>
          <w:lang w:val="en-US" w:eastAsia="zh-CN"/>
        </w:rPr>
        <w:t>业绩</w:t>
      </w:r>
      <w:r>
        <w:rPr>
          <w:rFonts w:hint="eastAsia" w:ascii="黑体"/>
          <w:color w:val="000000"/>
          <w:highlight w:val="none"/>
        </w:rPr>
        <w:t>最低要求)</w:t>
      </w:r>
      <w:bookmarkEnd w:id="15"/>
    </w:p>
    <w:p w14:paraId="2ADEC580">
      <w:pPr>
        <w:rPr>
          <w:rFonts w:hint="eastAsia" w:ascii="宋体" w:hAnsi="宋体"/>
          <w:color w:val="000000"/>
          <w:sz w:val="24"/>
          <w:szCs w:val="24"/>
          <w:highlight w:val="none"/>
        </w:rPr>
      </w:pP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8"/>
      </w:tblGrid>
      <w:tr w14:paraId="162BD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6" w:hRule="atLeast"/>
        </w:trPr>
        <w:tc>
          <w:tcPr>
            <w:tcW w:w="8528" w:type="dxa"/>
            <w:noWrap w:val="0"/>
            <w:vAlign w:val="center"/>
          </w:tcPr>
          <w:p w14:paraId="05B48CA6">
            <w:pPr>
              <w:jc w:val="center"/>
              <w:rPr>
                <w:rFonts w:hint="eastAsia" w:ascii="宋体" w:hAnsi="宋体"/>
                <w:color w:val="000000"/>
                <w:szCs w:val="21"/>
                <w:highlight w:val="none"/>
              </w:rPr>
            </w:pPr>
            <w:r>
              <w:rPr>
                <w:rFonts w:hint="eastAsia" w:ascii="宋体" w:hAnsi="宋体"/>
                <w:color w:val="000000"/>
                <w:szCs w:val="21"/>
                <w:highlight w:val="none"/>
                <w:lang w:val="en-US" w:eastAsia="zh-CN"/>
              </w:rPr>
              <w:t>业</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绩</w:t>
            </w:r>
            <w:r>
              <w:rPr>
                <w:rFonts w:hint="eastAsia" w:ascii="宋体" w:hAnsi="宋体"/>
                <w:color w:val="000000"/>
                <w:szCs w:val="21"/>
                <w:highlight w:val="none"/>
              </w:rPr>
              <w:t xml:space="preserve"> 要 求</w:t>
            </w:r>
          </w:p>
        </w:tc>
      </w:tr>
      <w:tr w14:paraId="16A6D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5" w:hRule="atLeast"/>
        </w:trPr>
        <w:tc>
          <w:tcPr>
            <w:tcW w:w="8528" w:type="dxa"/>
            <w:noWrap w:val="0"/>
            <w:vAlign w:val="center"/>
          </w:tcPr>
          <w:p w14:paraId="742352F1">
            <w:pPr>
              <w:spacing w:line="360" w:lineRule="exact"/>
              <w:ind w:firstLine="412" w:firstLineChars="200"/>
              <w:rPr>
                <w:rFonts w:ascii="宋体" w:hAnsi="宋体" w:cs="宋体"/>
                <w:color w:val="000000"/>
                <w:spacing w:val="-2"/>
                <w:szCs w:val="21"/>
                <w:highlight w:val="none"/>
              </w:rPr>
            </w:pPr>
            <w:r>
              <w:rPr>
                <w:rFonts w:hint="eastAsia" w:ascii="宋体" w:hAnsi="宋体" w:cs="宋体"/>
                <w:color w:val="000000"/>
                <w:spacing w:val="-2"/>
                <w:szCs w:val="21"/>
                <w:highlight w:val="none"/>
              </w:rPr>
              <w:t>（1）近五年（20</w:t>
            </w:r>
            <w:r>
              <w:rPr>
                <w:rFonts w:hint="eastAsia" w:ascii="宋体" w:hAnsi="宋体" w:cs="宋体"/>
                <w:color w:val="000000"/>
                <w:spacing w:val="-2"/>
                <w:szCs w:val="21"/>
                <w:highlight w:val="none"/>
                <w:lang w:val="en-US" w:eastAsia="zh-CN"/>
              </w:rPr>
              <w:t>20</w:t>
            </w:r>
            <w:r>
              <w:rPr>
                <w:rFonts w:hint="eastAsia" w:ascii="宋体" w:hAnsi="宋体" w:cs="宋体"/>
                <w:color w:val="000000"/>
                <w:spacing w:val="-2"/>
                <w:szCs w:val="21"/>
                <w:highlight w:val="none"/>
              </w:rPr>
              <w:t>年</w:t>
            </w:r>
            <w:r>
              <w:rPr>
                <w:rFonts w:hint="eastAsia" w:ascii="宋体" w:hAnsi="宋体" w:cs="宋体"/>
                <w:color w:val="000000"/>
                <w:spacing w:val="-2"/>
                <w:szCs w:val="21"/>
                <w:highlight w:val="none"/>
                <w:lang w:val="en-US" w:eastAsia="zh-CN"/>
              </w:rPr>
              <w:t>3</w:t>
            </w:r>
            <w:r>
              <w:rPr>
                <w:rFonts w:hint="eastAsia" w:ascii="宋体" w:hAnsi="宋体" w:cs="宋体"/>
                <w:color w:val="000000"/>
                <w:spacing w:val="-2"/>
                <w:szCs w:val="21"/>
                <w:highlight w:val="none"/>
                <w:lang w:eastAsia="zh-CN"/>
              </w:rPr>
              <w:t>月1日</w:t>
            </w:r>
            <w:r>
              <w:rPr>
                <w:rFonts w:hint="eastAsia" w:ascii="宋体" w:hAnsi="宋体" w:cs="宋体"/>
                <w:color w:val="000000"/>
                <w:spacing w:val="-2"/>
                <w:szCs w:val="21"/>
                <w:highlight w:val="none"/>
              </w:rPr>
              <w:t>～投标文件递交截止时间止</w:t>
            </w:r>
            <w:r>
              <w:rPr>
                <w:rFonts w:hint="eastAsia" w:ascii="宋体" w:hAnsi="宋体" w:cs="宋体"/>
                <w:color w:val="000000"/>
                <w:spacing w:val="-2"/>
                <w:szCs w:val="21"/>
                <w:highlight w:val="none"/>
                <w:lang w:eastAsia="zh-CN"/>
              </w:rPr>
              <w:t>，以设计批复时间为准</w:t>
            </w:r>
            <w:r>
              <w:rPr>
                <w:rFonts w:hint="eastAsia" w:ascii="宋体" w:hAnsi="宋体" w:cs="宋体"/>
                <w:color w:val="000000"/>
                <w:spacing w:val="-2"/>
                <w:szCs w:val="21"/>
                <w:highlight w:val="none"/>
              </w:rPr>
              <w:t>）至少独立完成过累计里程不少于</w:t>
            </w:r>
            <w:r>
              <w:rPr>
                <w:rFonts w:hint="eastAsia" w:ascii="宋体" w:hAnsi="宋体" w:cs="宋体"/>
                <w:color w:val="000000"/>
                <w:spacing w:val="-2"/>
                <w:szCs w:val="21"/>
                <w:highlight w:val="none"/>
                <w:lang w:val="en-US" w:eastAsia="zh-CN"/>
              </w:rPr>
              <w:t>10公里一级公路及290</w:t>
            </w:r>
            <w:r>
              <w:rPr>
                <w:rFonts w:hint="eastAsia" w:ascii="宋体" w:hAnsi="宋体" w:cs="宋体"/>
                <w:color w:val="000000"/>
                <w:spacing w:val="-2"/>
                <w:szCs w:val="21"/>
                <w:highlight w:val="none"/>
              </w:rPr>
              <w:t>公里的二级及以上公路工程的初步勘察设计和施工图勘察设计；</w:t>
            </w:r>
          </w:p>
          <w:p w14:paraId="610DAD94">
            <w:pPr>
              <w:spacing w:line="360" w:lineRule="exact"/>
              <w:ind w:firstLine="412" w:firstLineChars="200"/>
              <w:rPr>
                <w:rFonts w:ascii="宋体" w:hAnsi="宋体" w:cs="宋体"/>
                <w:color w:val="000000"/>
                <w:spacing w:val="-2"/>
                <w:szCs w:val="21"/>
                <w:highlight w:val="none"/>
              </w:rPr>
            </w:pPr>
            <w:r>
              <w:rPr>
                <w:rFonts w:hint="eastAsia" w:ascii="宋体" w:hAnsi="宋体" w:cs="宋体"/>
                <w:color w:val="000000"/>
                <w:spacing w:val="-2"/>
                <w:szCs w:val="21"/>
                <w:highlight w:val="none"/>
              </w:rPr>
              <w:t>（2）近五年（20</w:t>
            </w:r>
            <w:r>
              <w:rPr>
                <w:rFonts w:hint="eastAsia" w:ascii="宋体" w:hAnsi="宋体" w:cs="宋体"/>
                <w:color w:val="000000"/>
                <w:spacing w:val="-2"/>
                <w:szCs w:val="21"/>
                <w:highlight w:val="none"/>
                <w:lang w:val="en-US" w:eastAsia="zh-CN"/>
              </w:rPr>
              <w:t>20</w:t>
            </w:r>
            <w:r>
              <w:rPr>
                <w:rFonts w:hint="eastAsia" w:ascii="宋体" w:hAnsi="宋体" w:cs="宋体"/>
                <w:color w:val="000000"/>
                <w:spacing w:val="-2"/>
                <w:szCs w:val="21"/>
                <w:highlight w:val="none"/>
              </w:rPr>
              <w:t>年</w:t>
            </w:r>
            <w:r>
              <w:rPr>
                <w:rFonts w:hint="eastAsia" w:ascii="宋体" w:hAnsi="宋体" w:cs="宋体"/>
                <w:color w:val="000000"/>
                <w:spacing w:val="-2"/>
                <w:szCs w:val="21"/>
                <w:highlight w:val="none"/>
                <w:lang w:val="en-US" w:eastAsia="zh-CN"/>
              </w:rPr>
              <w:t>3</w:t>
            </w:r>
            <w:r>
              <w:rPr>
                <w:rFonts w:hint="eastAsia" w:ascii="宋体" w:hAnsi="宋体" w:cs="宋体"/>
                <w:color w:val="000000"/>
                <w:spacing w:val="-2"/>
                <w:szCs w:val="21"/>
                <w:highlight w:val="none"/>
                <w:lang w:eastAsia="zh-CN"/>
              </w:rPr>
              <w:t>月1日</w:t>
            </w:r>
            <w:r>
              <w:rPr>
                <w:rFonts w:hint="eastAsia" w:ascii="宋体" w:hAnsi="宋体" w:cs="宋体"/>
                <w:color w:val="000000"/>
                <w:spacing w:val="-2"/>
                <w:szCs w:val="21"/>
                <w:highlight w:val="none"/>
              </w:rPr>
              <w:t>～投标文件递交截止时间止</w:t>
            </w:r>
            <w:r>
              <w:rPr>
                <w:rFonts w:hint="eastAsia" w:ascii="宋体" w:hAnsi="宋体" w:cs="宋体"/>
                <w:color w:val="000000"/>
                <w:spacing w:val="-2"/>
                <w:szCs w:val="21"/>
                <w:highlight w:val="none"/>
                <w:lang w:eastAsia="zh-CN"/>
              </w:rPr>
              <w:t>，以设计批复时间为准</w:t>
            </w:r>
            <w:r>
              <w:rPr>
                <w:rFonts w:hint="eastAsia" w:ascii="宋体" w:hAnsi="宋体" w:cs="宋体"/>
                <w:color w:val="000000"/>
                <w:spacing w:val="-2"/>
                <w:szCs w:val="21"/>
                <w:highlight w:val="none"/>
              </w:rPr>
              <w:t>）至少独立完成过1个且单个里程不少于100公里的二级及以上公路工程的初步勘察设计和施工图勘察设计。</w:t>
            </w:r>
          </w:p>
          <w:p w14:paraId="73BF0317">
            <w:pPr>
              <w:spacing w:line="360" w:lineRule="exact"/>
              <w:ind w:firstLine="422" w:firstLineChars="200"/>
              <w:rPr>
                <w:rFonts w:ascii="宋体" w:hAnsi="宋体" w:cs="宋体"/>
                <w:b/>
                <w:bCs/>
                <w:color w:val="000000"/>
                <w:spacing w:val="-2"/>
                <w:szCs w:val="21"/>
                <w:highlight w:val="none"/>
              </w:rPr>
            </w:pPr>
            <w:r>
              <w:rPr>
                <w:rFonts w:hint="eastAsia" w:ascii="宋体" w:hAnsi="宋体" w:cs="宋体"/>
                <w:b/>
                <w:color w:val="000000"/>
                <w:szCs w:val="21"/>
                <w:highlight w:val="none"/>
              </w:rPr>
              <w:t>如投标人提供一级及以上公路业绩的</w:t>
            </w:r>
            <w:r>
              <w:rPr>
                <w:rFonts w:hint="eastAsia" w:ascii="宋体" w:hAnsi="宋体" w:cs="宋体"/>
                <w:b/>
                <w:bCs/>
                <w:color w:val="000000"/>
                <w:spacing w:val="-2"/>
                <w:szCs w:val="21"/>
                <w:highlight w:val="none"/>
              </w:rPr>
              <w:t>，其公路里程可折算成2倍的二级公路里程。例如：投标人已完成某条</w:t>
            </w:r>
            <w:r>
              <w:rPr>
                <w:rFonts w:hint="eastAsia" w:ascii="宋体" w:hAnsi="宋体" w:cs="宋体"/>
                <w:b/>
                <w:color w:val="000000"/>
                <w:szCs w:val="21"/>
                <w:highlight w:val="none"/>
              </w:rPr>
              <w:t>一级（高速）</w:t>
            </w:r>
            <w:r>
              <w:rPr>
                <w:rFonts w:hint="eastAsia" w:ascii="宋体" w:hAnsi="宋体" w:cs="宋体"/>
                <w:b/>
                <w:bCs/>
                <w:color w:val="000000"/>
                <w:spacing w:val="-2"/>
                <w:szCs w:val="21"/>
                <w:highlight w:val="none"/>
              </w:rPr>
              <w:t>公路的此类业绩里程为10公里，则评标时可折算为：投标人已完成二级公路的此类业绩里程为20公里。</w:t>
            </w:r>
          </w:p>
          <w:p w14:paraId="4341F8AF">
            <w:pPr>
              <w:spacing w:line="360" w:lineRule="exact"/>
              <w:ind w:firstLine="420" w:firstLineChars="200"/>
              <w:rPr>
                <w:rFonts w:hint="eastAsia" w:ascii="宋体" w:hAnsi="宋体" w:eastAsia="宋体" w:cs="宋体"/>
                <w:b/>
                <w:color w:val="000000"/>
                <w:szCs w:val="21"/>
                <w:highlight w:val="none"/>
              </w:rPr>
            </w:pPr>
            <w:r>
              <w:rPr>
                <w:rStyle w:val="17"/>
                <w:rFonts w:hint="eastAsia" w:ascii="宋体" w:hAnsi="宋体" w:eastAsia="宋体" w:cs="宋体"/>
                <w:bCs w:val="0"/>
                <w:color w:val="000000"/>
                <w:sz w:val="21"/>
                <w:szCs w:val="21"/>
                <w:highlight w:val="none"/>
              </w:rPr>
              <w:t>注：</w:t>
            </w:r>
            <w:r>
              <w:rPr>
                <w:rFonts w:hint="eastAsia" w:ascii="宋体" w:hAnsi="宋体" w:cs="宋体"/>
                <w:b/>
                <w:color w:val="000000"/>
                <w:highlight w:val="none"/>
                <w:shd w:val="clear" w:color="auto" w:fill="FFFFFF"/>
                <w:lang w:val="zh-TW"/>
              </w:rPr>
              <w:t>①</w:t>
            </w:r>
            <w:r>
              <w:rPr>
                <w:rFonts w:hint="eastAsia" w:ascii="宋体" w:hAnsi="宋体" w:eastAsia="宋体" w:cs="宋体"/>
                <w:b/>
                <w:color w:val="000000"/>
                <w:szCs w:val="21"/>
                <w:highlight w:val="none"/>
              </w:rPr>
              <w:t>以上业绩要求中，二级及以上公路工程是指新建或改扩建二级及以上公路工程项目，不含养护工程项目。②如单个业绩能同时满足上述条件要求的，则该业绩可分别予以认定；③初步勘察设计和施工图勘察设计业绩可不是同一个项目</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lang w:val="en-US" w:eastAsia="zh-CN"/>
              </w:rPr>
              <w:t>④</w:t>
            </w:r>
            <w:r>
              <w:rPr>
                <w:rFonts w:hint="eastAsia" w:ascii="宋体" w:hAnsi="宋体" w:eastAsia="宋体" w:cs="宋体"/>
                <w:b/>
                <w:color w:val="000000"/>
                <w:szCs w:val="21"/>
                <w:highlight w:val="none"/>
              </w:rPr>
              <w:t>业绩要求在交通运输部网站“全国公路建设市场监督管理系统”中能够查询，如果查询不到该业绩的信息或查询的信息与投标人提供的信息不一致，业绩审查时将不予认定。</w:t>
            </w:r>
          </w:p>
          <w:p w14:paraId="542C81F6">
            <w:pPr>
              <w:spacing w:line="380" w:lineRule="exact"/>
              <w:ind w:right="31" w:rightChars="15" w:firstLine="420" w:firstLineChars="200"/>
              <w:rPr>
                <w:rFonts w:hint="eastAsia" w:ascii="宋体" w:hAnsi="宋体"/>
                <w:color w:val="000000"/>
                <w:szCs w:val="21"/>
                <w:highlight w:val="none"/>
              </w:rPr>
            </w:pPr>
          </w:p>
          <w:p w14:paraId="747FB64C">
            <w:pPr>
              <w:spacing w:line="380" w:lineRule="exact"/>
              <w:ind w:right="31" w:rightChars="15" w:firstLine="420" w:firstLineChars="200"/>
              <w:rPr>
                <w:rFonts w:hint="eastAsia" w:ascii="宋体" w:hAnsi="宋体"/>
                <w:color w:val="000000"/>
                <w:szCs w:val="21"/>
                <w:highlight w:val="none"/>
              </w:rPr>
            </w:pPr>
          </w:p>
        </w:tc>
      </w:tr>
    </w:tbl>
    <w:p w14:paraId="644743F5">
      <w:pPr>
        <w:pStyle w:val="5"/>
        <w:rPr>
          <w:rFonts w:hint="eastAsia" w:ascii="黑体"/>
          <w:color w:val="000000"/>
          <w:highlight w:val="none"/>
        </w:rPr>
      </w:pPr>
      <w:r>
        <w:rPr>
          <w:rFonts w:hint="eastAsia"/>
          <w:color w:val="000000"/>
          <w:highlight w:val="none"/>
        </w:rPr>
        <w:br w:type="page"/>
      </w:r>
      <w:bookmarkStart w:id="16" w:name="_Toc29074"/>
      <w:r>
        <w:rPr>
          <w:rFonts w:hint="eastAsia"/>
          <w:color w:val="000000"/>
          <w:highlight w:val="none"/>
        </w:rPr>
        <w:t>附录</w:t>
      </w:r>
      <w:r>
        <w:rPr>
          <w:rFonts w:hint="eastAsia"/>
          <w:color w:val="000000"/>
          <w:highlight w:val="none"/>
          <w:lang w:val="en-US" w:eastAsia="zh-CN"/>
        </w:rPr>
        <w:t>3</w:t>
      </w:r>
      <w:r>
        <w:rPr>
          <w:rFonts w:hint="eastAsia"/>
          <w:color w:val="000000"/>
          <w:highlight w:val="none"/>
        </w:rPr>
        <w:t>　</w:t>
      </w:r>
      <w:r>
        <w:rPr>
          <w:rFonts w:hint="eastAsia" w:ascii="黑体"/>
          <w:color w:val="000000"/>
          <w:highlight w:val="none"/>
        </w:rPr>
        <w:t>　资格审查条件(信誉最低要求)</w:t>
      </w:r>
      <w:bookmarkEnd w:id="16"/>
    </w:p>
    <w:p w14:paraId="595F8BAD">
      <w:pPr>
        <w:rPr>
          <w:rFonts w:hint="eastAsia" w:ascii="宋体" w:hAnsi="宋体"/>
          <w:color w:val="000000"/>
          <w:sz w:val="24"/>
          <w:szCs w:val="24"/>
          <w:highlight w:val="none"/>
        </w:rPr>
      </w:pP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8"/>
      </w:tblGrid>
      <w:tr w14:paraId="743B5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6" w:hRule="atLeast"/>
        </w:trPr>
        <w:tc>
          <w:tcPr>
            <w:tcW w:w="8528" w:type="dxa"/>
            <w:noWrap w:val="0"/>
            <w:vAlign w:val="center"/>
          </w:tcPr>
          <w:p w14:paraId="3720073E">
            <w:pPr>
              <w:jc w:val="center"/>
              <w:rPr>
                <w:rFonts w:hint="eastAsia" w:ascii="宋体" w:hAnsi="宋体"/>
                <w:color w:val="000000"/>
                <w:szCs w:val="21"/>
                <w:highlight w:val="none"/>
              </w:rPr>
            </w:pPr>
            <w:r>
              <w:rPr>
                <w:rFonts w:hint="eastAsia" w:ascii="宋体" w:hAnsi="宋体"/>
                <w:color w:val="000000"/>
                <w:szCs w:val="21"/>
                <w:highlight w:val="none"/>
              </w:rPr>
              <w:t>信 誉 要 求</w:t>
            </w:r>
          </w:p>
        </w:tc>
      </w:tr>
      <w:tr w14:paraId="2545F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5" w:hRule="atLeast"/>
        </w:trPr>
        <w:tc>
          <w:tcPr>
            <w:tcW w:w="8528" w:type="dxa"/>
            <w:noWrap w:val="0"/>
            <w:vAlign w:val="center"/>
          </w:tcPr>
          <w:p w14:paraId="2C9BB767">
            <w:pPr>
              <w:spacing w:line="380" w:lineRule="exact"/>
              <w:ind w:right="31" w:rightChars="15"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1</w:t>
            </w:r>
            <w:r>
              <w:rPr>
                <w:rFonts w:hint="eastAsia" w:ascii="宋体" w:hAnsi="宋体"/>
                <w:color w:val="000000"/>
                <w:szCs w:val="21"/>
                <w:highlight w:val="none"/>
              </w:rPr>
              <w:t>）投标人在近三年中不得在合同中违约、被驱逐出现场、亦不曾因</w:t>
            </w:r>
            <w:r>
              <w:rPr>
                <w:rFonts w:hint="eastAsia" w:ascii="宋体" w:hAnsi="宋体"/>
                <w:color w:val="000000"/>
                <w:szCs w:val="21"/>
                <w:highlight w:val="none"/>
                <w:lang w:eastAsia="zh-CN"/>
              </w:rPr>
              <w:t>投标人</w:t>
            </w:r>
            <w:r>
              <w:rPr>
                <w:rFonts w:hint="eastAsia" w:ascii="宋体" w:hAnsi="宋体"/>
                <w:color w:val="000000"/>
                <w:szCs w:val="21"/>
                <w:highlight w:val="none"/>
              </w:rPr>
              <w:t>原因而被废除合同</w:t>
            </w:r>
            <w:r>
              <w:rPr>
                <w:rFonts w:hint="eastAsia" w:ascii="宋体" w:hAnsi="宋体"/>
                <w:color w:val="000000"/>
                <w:szCs w:val="21"/>
                <w:highlight w:val="none"/>
                <w:lang w:eastAsia="zh-CN"/>
              </w:rPr>
              <w:t>；</w:t>
            </w:r>
          </w:p>
          <w:p w14:paraId="62D9870C">
            <w:pPr>
              <w:spacing w:line="380" w:lineRule="exact"/>
              <w:ind w:right="31" w:rightChars="15"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2</w:t>
            </w:r>
            <w:r>
              <w:rPr>
                <w:rFonts w:hint="eastAsia" w:ascii="宋体" w:hAnsi="宋体"/>
                <w:color w:val="000000"/>
                <w:szCs w:val="21"/>
                <w:highlight w:val="none"/>
              </w:rPr>
              <w:t>）投标人在近三年中不得有重大质量、安全事故被有关部门处罚</w:t>
            </w:r>
            <w:r>
              <w:rPr>
                <w:rFonts w:hint="eastAsia" w:ascii="宋体" w:hAnsi="宋体"/>
                <w:color w:val="000000"/>
                <w:szCs w:val="21"/>
                <w:highlight w:val="none"/>
                <w:lang w:eastAsia="zh-CN"/>
              </w:rPr>
              <w:t>；</w:t>
            </w:r>
          </w:p>
          <w:p w14:paraId="61DCD1C6">
            <w:pPr>
              <w:spacing w:line="380" w:lineRule="exact"/>
              <w:ind w:right="31" w:rightChars="15"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3</w:t>
            </w:r>
            <w:r>
              <w:rPr>
                <w:rFonts w:hint="eastAsia" w:ascii="宋体" w:hAnsi="宋体"/>
                <w:color w:val="000000"/>
                <w:szCs w:val="21"/>
                <w:highlight w:val="none"/>
              </w:rPr>
              <w:t>）投标人在近三年中不得拖欠农民工工资情况</w:t>
            </w:r>
            <w:r>
              <w:rPr>
                <w:rFonts w:hint="eastAsia" w:ascii="宋体" w:hAnsi="宋体"/>
                <w:color w:val="000000"/>
                <w:szCs w:val="21"/>
                <w:highlight w:val="none"/>
                <w:lang w:eastAsia="zh-CN"/>
              </w:rPr>
              <w:t>；</w:t>
            </w:r>
          </w:p>
          <w:p w14:paraId="2BAC02C7">
            <w:pPr>
              <w:spacing w:line="380" w:lineRule="exact"/>
              <w:ind w:right="31" w:rightChars="15" w:firstLine="420" w:firstLineChars="200"/>
              <w:rPr>
                <w:rFonts w:hint="eastAsia" w:ascii="宋体" w:hAnsi="宋体"/>
                <w:color w:val="000000"/>
                <w:szCs w:val="21"/>
                <w:highlight w:val="none"/>
              </w:rPr>
            </w:pPr>
            <w:r>
              <w:rPr>
                <w:rFonts w:hint="eastAsia" w:ascii="宋体" w:hAnsi="宋体"/>
                <w:color w:val="000000"/>
                <w:szCs w:val="21"/>
                <w:highlight w:val="none"/>
                <w:lang w:val="en-US" w:eastAsia="zh-CN"/>
              </w:rPr>
              <w:t>（4）本次招标不接受黑龙江省交通运输厅2023年度或</w:t>
            </w:r>
            <w:r>
              <w:rPr>
                <w:rFonts w:hint="eastAsia" w:ascii="宋体" w:hAnsi="宋体"/>
                <w:color w:val="000000"/>
                <w:szCs w:val="21"/>
                <w:highlight w:val="none"/>
                <w:shd w:val="clear" w:color="auto" w:fill="auto"/>
                <w:lang w:val="en-US" w:eastAsia="zh-CN"/>
              </w:rPr>
              <w:t>交通运输部2023年度公路设</w:t>
            </w:r>
            <w:r>
              <w:rPr>
                <w:rFonts w:hint="eastAsia" w:ascii="宋体" w:hAnsi="宋体"/>
                <w:color w:val="000000"/>
                <w:szCs w:val="21"/>
                <w:highlight w:val="none"/>
                <w:lang w:val="en-US" w:eastAsia="zh-CN"/>
              </w:rPr>
              <w:t>计企业信用评价中认定为D级信用评价等级的投标人提出投标申请。</w:t>
            </w:r>
          </w:p>
          <w:p w14:paraId="03CE62E6">
            <w:pPr>
              <w:spacing w:line="380" w:lineRule="exact"/>
              <w:ind w:right="31" w:rightChars="15" w:firstLine="420" w:firstLineChars="200"/>
              <w:rPr>
                <w:rFonts w:hint="eastAsia" w:ascii="宋体" w:hAnsi="宋体"/>
                <w:color w:val="000000"/>
                <w:szCs w:val="21"/>
                <w:highlight w:val="none"/>
              </w:rPr>
            </w:pPr>
          </w:p>
          <w:p w14:paraId="1C49C037">
            <w:pPr>
              <w:spacing w:line="380" w:lineRule="exact"/>
              <w:ind w:right="31" w:rightChars="15" w:firstLine="420" w:firstLineChars="200"/>
              <w:rPr>
                <w:rFonts w:hint="eastAsia" w:ascii="宋体" w:hAnsi="宋体"/>
                <w:color w:val="000000"/>
                <w:szCs w:val="21"/>
                <w:highlight w:val="none"/>
              </w:rPr>
            </w:pPr>
          </w:p>
          <w:p w14:paraId="02D23FC6">
            <w:pPr>
              <w:spacing w:line="380" w:lineRule="exact"/>
              <w:ind w:right="31" w:rightChars="15" w:firstLine="420" w:firstLineChars="200"/>
              <w:rPr>
                <w:rFonts w:hint="eastAsia" w:ascii="宋体" w:hAnsi="宋体"/>
                <w:color w:val="000000"/>
                <w:szCs w:val="21"/>
                <w:highlight w:val="none"/>
              </w:rPr>
            </w:pPr>
          </w:p>
        </w:tc>
      </w:tr>
    </w:tbl>
    <w:p w14:paraId="0771F313">
      <w:pPr>
        <w:jc w:val="left"/>
        <w:rPr>
          <w:rFonts w:hint="eastAsia" w:ascii="宋体" w:hAnsi="宋体"/>
          <w:color w:val="000000"/>
          <w:szCs w:val="21"/>
          <w:highlight w:val="none"/>
        </w:rPr>
      </w:pPr>
    </w:p>
    <w:p w14:paraId="2BDD3B99">
      <w:pPr>
        <w:jc w:val="left"/>
        <w:rPr>
          <w:rFonts w:hint="eastAsia" w:ascii="宋体" w:hAnsi="宋体"/>
          <w:color w:val="000000"/>
          <w:szCs w:val="21"/>
          <w:highlight w:val="none"/>
        </w:rPr>
      </w:pPr>
    </w:p>
    <w:p w14:paraId="70EE90F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210"/>
        <w:jc w:val="both"/>
        <w:rPr>
          <w:rFonts w:ascii="微软雅黑" w:hAnsi="微软雅黑" w:eastAsia="微软雅黑" w:cs="微软雅黑"/>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shd w:val="clear" w:color="auto" w:fill="FFFFFF"/>
        </w:rPr>
        <w:t>注：1、近三年指202</w:t>
      </w:r>
      <w:r>
        <w:rPr>
          <w:rFonts w:hint="eastAsia" w:ascii="宋体" w:hAnsi="宋体" w:eastAsia="宋体" w:cs="宋体"/>
          <w:i w:val="0"/>
          <w:iCs w:val="0"/>
          <w:caps w:val="0"/>
          <w:color w:val="000000"/>
          <w:spacing w:val="0"/>
          <w:sz w:val="21"/>
          <w:szCs w:val="21"/>
          <w:highlight w:val="none"/>
          <w:shd w:val="clear" w:color="auto" w:fill="FFFFFF"/>
          <w:lang w:val="en-US" w:eastAsia="zh-CN"/>
        </w:rPr>
        <w:t>2</w:t>
      </w:r>
      <w:r>
        <w:rPr>
          <w:rFonts w:hint="eastAsia" w:ascii="宋体" w:hAnsi="宋体" w:eastAsia="宋体" w:cs="宋体"/>
          <w:i w:val="0"/>
          <w:iCs w:val="0"/>
          <w:caps w:val="0"/>
          <w:color w:val="000000"/>
          <w:spacing w:val="0"/>
          <w:sz w:val="21"/>
          <w:szCs w:val="21"/>
          <w:highlight w:val="none"/>
          <w:shd w:val="clear" w:color="auto" w:fill="FFFFFF"/>
        </w:rPr>
        <w:t>年</w:t>
      </w:r>
      <w:r>
        <w:rPr>
          <w:rFonts w:hint="eastAsia" w:ascii="宋体" w:hAnsi="宋体" w:eastAsia="宋体" w:cs="宋体"/>
          <w:i w:val="0"/>
          <w:iCs w:val="0"/>
          <w:caps w:val="0"/>
          <w:color w:val="000000"/>
          <w:spacing w:val="0"/>
          <w:sz w:val="21"/>
          <w:szCs w:val="21"/>
          <w:highlight w:val="none"/>
          <w:shd w:val="clear" w:color="auto" w:fill="FFFFFF"/>
          <w:lang w:val="en-US" w:eastAsia="zh-CN"/>
        </w:rPr>
        <w:t>3</w:t>
      </w:r>
      <w:r>
        <w:rPr>
          <w:rFonts w:hint="eastAsia" w:ascii="宋体" w:hAnsi="宋体" w:eastAsia="宋体" w:cs="宋体"/>
          <w:i w:val="0"/>
          <w:iCs w:val="0"/>
          <w:caps w:val="0"/>
          <w:color w:val="000000"/>
          <w:spacing w:val="0"/>
          <w:sz w:val="21"/>
          <w:szCs w:val="21"/>
          <w:highlight w:val="none"/>
          <w:shd w:val="clear" w:color="auto" w:fill="FFFFFF"/>
        </w:rPr>
        <w:t>月1日～投标文件递交截止时间；</w:t>
      </w:r>
    </w:p>
    <w:p w14:paraId="5BA77A1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30" w:firstLineChars="300"/>
        <w:jc w:val="both"/>
        <w:rPr>
          <w:rFonts w:hint="eastAsia" w:ascii="微软雅黑" w:hAnsi="微软雅黑" w:eastAsia="微软雅黑" w:cs="微软雅黑"/>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shd w:val="clear" w:color="auto" w:fill="FFFFFF"/>
        </w:rPr>
        <w:t>2、投标人如不满足上述资格审查条件，将被认为审查不合格。</w:t>
      </w:r>
    </w:p>
    <w:p w14:paraId="7FD95B26">
      <w:pPr>
        <w:jc w:val="left"/>
        <w:rPr>
          <w:rFonts w:hint="eastAsia" w:ascii="宋体" w:hAnsi="宋体"/>
          <w:color w:val="000000"/>
          <w:szCs w:val="21"/>
          <w:highlight w:val="none"/>
        </w:rPr>
      </w:pPr>
    </w:p>
    <w:p w14:paraId="38D13A76">
      <w:pPr>
        <w:jc w:val="left"/>
        <w:rPr>
          <w:rFonts w:hint="eastAsia" w:ascii="宋体" w:hAnsi="宋体"/>
          <w:color w:val="000000"/>
          <w:szCs w:val="21"/>
          <w:highlight w:val="none"/>
        </w:rPr>
      </w:pPr>
    </w:p>
    <w:p w14:paraId="7FE0F1E7">
      <w:pPr>
        <w:pStyle w:val="5"/>
        <w:rPr>
          <w:rFonts w:hint="eastAsia" w:ascii="黑体"/>
          <w:color w:val="000000"/>
          <w:highlight w:val="none"/>
        </w:rPr>
      </w:pPr>
      <w:bookmarkStart w:id="17" w:name="_Toc19231"/>
      <w:r>
        <w:rPr>
          <w:rFonts w:hint="eastAsia" w:ascii="黑体"/>
          <w:color w:val="000000"/>
          <w:highlight w:val="none"/>
        </w:rPr>
        <w:t>附录</w:t>
      </w:r>
      <w:r>
        <w:rPr>
          <w:rFonts w:hint="eastAsia" w:ascii="黑体"/>
          <w:color w:val="000000"/>
          <w:highlight w:val="none"/>
          <w:lang w:val="en-US" w:eastAsia="zh-CN"/>
        </w:rPr>
        <w:t>4</w:t>
      </w:r>
      <w:r>
        <w:rPr>
          <w:rFonts w:hint="eastAsia" w:ascii="黑体"/>
          <w:color w:val="000000"/>
          <w:highlight w:val="none"/>
        </w:rPr>
        <w:t>　资格审查条件(项目负责人最低要求)</w:t>
      </w:r>
      <w:bookmarkEnd w:id="17"/>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21"/>
        <w:gridCol w:w="747"/>
        <w:gridCol w:w="5260"/>
      </w:tblGrid>
      <w:tr w14:paraId="5A078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6" w:hRule="atLeast"/>
        </w:trPr>
        <w:tc>
          <w:tcPr>
            <w:tcW w:w="2521" w:type="dxa"/>
            <w:tcBorders>
              <w:right w:val="single" w:color="auto" w:sz="4" w:space="0"/>
            </w:tcBorders>
            <w:noWrap w:val="0"/>
            <w:vAlign w:val="center"/>
          </w:tcPr>
          <w:p w14:paraId="5D4F361A">
            <w:pPr>
              <w:jc w:val="center"/>
              <w:rPr>
                <w:rFonts w:hint="eastAsia" w:ascii="宋体" w:hAnsi="宋体"/>
                <w:color w:val="000000"/>
                <w:szCs w:val="21"/>
                <w:highlight w:val="none"/>
              </w:rPr>
            </w:pPr>
            <w:r>
              <w:rPr>
                <w:rFonts w:hint="eastAsia" w:ascii="宋体" w:hAnsi="宋体"/>
                <w:color w:val="000000"/>
                <w:szCs w:val="21"/>
                <w:highlight w:val="none"/>
              </w:rPr>
              <w:t>人员</w:t>
            </w:r>
          </w:p>
        </w:tc>
        <w:tc>
          <w:tcPr>
            <w:tcW w:w="747" w:type="dxa"/>
            <w:tcBorders>
              <w:left w:val="single" w:color="auto" w:sz="4" w:space="0"/>
              <w:right w:val="single" w:color="auto" w:sz="4" w:space="0"/>
            </w:tcBorders>
            <w:noWrap w:val="0"/>
            <w:vAlign w:val="center"/>
          </w:tcPr>
          <w:p w14:paraId="181B86B9">
            <w:pPr>
              <w:jc w:val="center"/>
              <w:rPr>
                <w:rFonts w:hint="eastAsia" w:ascii="宋体" w:hAnsi="宋体"/>
                <w:color w:val="000000"/>
                <w:szCs w:val="21"/>
                <w:highlight w:val="none"/>
              </w:rPr>
            </w:pPr>
            <w:r>
              <w:rPr>
                <w:rFonts w:hint="eastAsia" w:ascii="宋体" w:hAnsi="宋体"/>
                <w:color w:val="000000"/>
                <w:szCs w:val="21"/>
                <w:highlight w:val="none"/>
              </w:rPr>
              <w:t>数量</w:t>
            </w:r>
          </w:p>
        </w:tc>
        <w:tc>
          <w:tcPr>
            <w:tcW w:w="5260" w:type="dxa"/>
            <w:tcBorders>
              <w:left w:val="single" w:color="auto" w:sz="4" w:space="0"/>
            </w:tcBorders>
            <w:noWrap w:val="0"/>
            <w:vAlign w:val="center"/>
          </w:tcPr>
          <w:p w14:paraId="75700B13">
            <w:pPr>
              <w:jc w:val="center"/>
              <w:rPr>
                <w:rFonts w:hint="eastAsia" w:ascii="宋体" w:hAnsi="宋体"/>
                <w:color w:val="000000"/>
                <w:szCs w:val="21"/>
                <w:highlight w:val="none"/>
              </w:rPr>
            </w:pPr>
            <w:r>
              <w:rPr>
                <w:rFonts w:hint="eastAsia" w:ascii="宋体" w:hAnsi="宋体"/>
                <w:color w:val="000000"/>
                <w:szCs w:val="21"/>
                <w:highlight w:val="none"/>
              </w:rPr>
              <w:t>资格要求</w:t>
            </w:r>
          </w:p>
        </w:tc>
      </w:tr>
      <w:tr w14:paraId="4890D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3" w:hRule="atLeast"/>
        </w:trPr>
        <w:tc>
          <w:tcPr>
            <w:tcW w:w="2521" w:type="dxa"/>
            <w:tcBorders>
              <w:right w:val="single" w:color="auto" w:sz="4" w:space="0"/>
            </w:tcBorders>
            <w:noWrap w:val="0"/>
            <w:vAlign w:val="center"/>
          </w:tcPr>
          <w:p w14:paraId="18EC3A3F">
            <w:pPr>
              <w:tabs>
                <w:tab w:val="left" w:pos="1300"/>
              </w:tabs>
              <w:spacing w:line="420" w:lineRule="exact"/>
              <w:jc w:val="center"/>
              <w:rPr>
                <w:rFonts w:hint="eastAsia" w:ascii="宋体" w:hAnsi="宋体"/>
                <w:color w:val="000000"/>
                <w:szCs w:val="21"/>
                <w:highlight w:val="none"/>
              </w:rPr>
            </w:pPr>
            <w:r>
              <w:rPr>
                <w:rFonts w:hint="eastAsia" w:ascii="宋体" w:hAnsi="宋体"/>
                <w:color w:val="000000"/>
                <w:szCs w:val="21"/>
                <w:highlight w:val="none"/>
              </w:rPr>
              <w:t>项目负责人</w:t>
            </w:r>
          </w:p>
        </w:tc>
        <w:tc>
          <w:tcPr>
            <w:tcW w:w="747" w:type="dxa"/>
            <w:tcBorders>
              <w:left w:val="single" w:color="auto" w:sz="4" w:space="0"/>
              <w:right w:val="single" w:color="auto" w:sz="4" w:space="0"/>
            </w:tcBorders>
            <w:noWrap w:val="0"/>
            <w:vAlign w:val="center"/>
          </w:tcPr>
          <w:p w14:paraId="3CFE909E">
            <w:pPr>
              <w:tabs>
                <w:tab w:val="left" w:pos="1300"/>
              </w:tabs>
              <w:spacing w:line="420" w:lineRule="exact"/>
              <w:jc w:val="center"/>
              <w:rPr>
                <w:rFonts w:hint="eastAsia" w:ascii="宋体" w:hAnsi="宋体"/>
                <w:color w:val="000000"/>
                <w:szCs w:val="21"/>
                <w:highlight w:val="none"/>
              </w:rPr>
            </w:pPr>
            <w:r>
              <w:rPr>
                <w:rFonts w:hint="eastAsia" w:ascii="宋体" w:hAnsi="宋体"/>
                <w:color w:val="000000"/>
                <w:szCs w:val="21"/>
                <w:highlight w:val="none"/>
              </w:rPr>
              <w:t>1</w:t>
            </w:r>
          </w:p>
        </w:tc>
        <w:tc>
          <w:tcPr>
            <w:tcW w:w="5260" w:type="dxa"/>
            <w:tcBorders>
              <w:left w:val="single" w:color="auto" w:sz="4" w:space="0"/>
            </w:tcBorders>
            <w:noWrap w:val="0"/>
            <w:vAlign w:val="center"/>
          </w:tcPr>
          <w:p w14:paraId="4A1F69C5">
            <w:pPr>
              <w:tabs>
                <w:tab w:val="left" w:pos="1300"/>
              </w:tabs>
              <w:adjustRightInd w:val="0"/>
              <w:snapToGrid w:val="0"/>
              <w:rPr>
                <w:rFonts w:hint="eastAsia" w:ascii="宋体" w:hAnsi="宋体"/>
                <w:color w:val="000000"/>
                <w:szCs w:val="21"/>
                <w:highlight w:val="none"/>
              </w:rPr>
            </w:pPr>
            <w:r>
              <w:rPr>
                <w:rFonts w:hint="eastAsia" w:ascii="宋体" w:hAnsi="宋体"/>
                <w:color w:val="000000"/>
                <w:szCs w:val="21"/>
                <w:highlight w:val="none"/>
              </w:rPr>
              <w:t>具有公路工程相关专业高级及以上技术职称</w:t>
            </w:r>
          </w:p>
        </w:tc>
      </w:tr>
    </w:tbl>
    <w:p w14:paraId="67BB3106">
      <w:pPr>
        <w:spacing w:line="420" w:lineRule="exact"/>
        <w:rPr>
          <w:rFonts w:ascii="宋体" w:hAnsi="宋体"/>
          <w:b/>
          <w:bCs/>
          <w:color w:val="000000"/>
          <w:kern w:val="44"/>
          <w:sz w:val="30"/>
          <w:szCs w:val="30"/>
          <w:highlight w:val="none"/>
        </w:rPr>
      </w:pPr>
    </w:p>
    <w:p w14:paraId="25A440FB">
      <w:pPr>
        <w:spacing w:line="420" w:lineRule="exact"/>
        <w:rPr>
          <w:rFonts w:ascii="宋体" w:hAnsi="宋体"/>
          <w:b/>
          <w:bCs/>
          <w:color w:val="000000"/>
          <w:kern w:val="44"/>
          <w:sz w:val="30"/>
          <w:szCs w:val="30"/>
          <w:highlight w:val="none"/>
        </w:rPr>
      </w:pPr>
    </w:p>
    <w:p w14:paraId="4EA8656A">
      <w:pPr>
        <w:ind w:firstLine="420" w:firstLineChars="200"/>
        <w:jc w:val="lef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注：1、公路工程相关专业包括公路工程、桥梁工程、公路与桥梁工程、交通土建、隧道（地下结构）工程、交通工程、道路与桥梁等专业。</w:t>
      </w:r>
    </w:p>
    <w:p w14:paraId="0A10BD20">
      <w:pPr>
        <w:numPr>
          <w:ilvl w:val="0"/>
          <w:numId w:val="1"/>
        </w:numPr>
        <w:ind w:firstLine="840" w:firstLineChars="400"/>
        <w:jc w:val="lef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项目负责人必须是本企业合法在职人员（提供近3个月【2024年12月至2025年2月】本企业为其缴纳的养老保险证明，建办市函【2019】92号文件中规定的6类情形人员除外，但退休人员须提供退休的佐证材料）。</w:t>
      </w:r>
    </w:p>
    <w:p w14:paraId="394D7EBD">
      <w:pPr>
        <w:numPr>
          <w:ilvl w:val="0"/>
          <w:numId w:val="1"/>
        </w:numPr>
        <w:ind w:firstLine="840" w:firstLineChars="400"/>
        <w:jc w:val="left"/>
        <w:rPr>
          <w:rFonts w:hint="eastAsia" w:ascii="宋体" w:hAnsi="宋体" w:eastAsia="宋体" w:cs="Times New Roman"/>
          <w:color w:val="000000"/>
          <w:szCs w:val="21"/>
          <w:highlight w:val="none"/>
          <w:lang w:val="en-US" w:eastAsia="zh-CN"/>
        </w:rPr>
        <w:sectPr>
          <w:footerReference r:id="rId3" w:type="first"/>
          <w:pgSz w:w="11906" w:h="16838"/>
          <w:pgMar w:top="1440" w:right="1797" w:bottom="1440" w:left="1797" w:header="850" w:footer="850"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Times New Roman"/>
          <w:color w:val="000000"/>
          <w:szCs w:val="21"/>
          <w:highlight w:val="none"/>
          <w:lang w:val="en-US" w:eastAsia="zh-CN"/>
        </w:rPr>
        <w:t>投标人如不满足上述资格审查条件，将被认为审查不合格。</w:t>
      </w:r>
    </w:p>
    <w:p w14:paraId="6B6E780E">
      <w:pPr>
        <w:pStyle w:val="5"/>
        <w:rPr>
          <w:rFonts w:hint="eastAsia" w:ascii="黑体"/>
          <w:color w:val="000000"/>
          <w:highlight w:val="none"/>
        </w:rPr>
      </w:pPr>
      <w:bookmarkStart w:id="18" w:name="_Toc28472"/>
      <w:r>
        <w:rPr>
          <w:rFonts w:hint="eastAsia" w:ascii="黑体"/>
          <w:color w:val="000000"/>
          <w:highlight w:val="none"/>
        </w:rPr>
        <w:t>附录</w:t>
      </w:r>
      <w:r>
        <w:rPr>
          <w:rFonts w:hint="eastAsia" w:ascii="黑体"/>
          <w:color w:val="000000"/>
          <w:highlight w:val="none"/>
          <w:lang w:val="en-US" w:eastAsia="zh-CN"/>
        </w:rPr>
        <w:t>5</w:t>
      </w:r>
      <w:r>
        <w:rPr>
          <w:rFonts w:hint="eastAsia" w:ascii="黑体"/>
          <w:color w:val="000000"/>
          <w:highlight w:val="none"/>
        </w:rPr>
        <w:t>　资格审查条件(</w:t>
      </w:r>
      <w:r>
        <w:rPr>
          <w:rFonts w:hint="eastAsia" w:ascii="黑体"/>
          <w:color w:val="000000"/>
          <w:highlight w:val="none"/>
          <w:lang w:eastAsia="zh-CN"/>
        </w:rPr>
        <w:t>分项</w:t>
      </w:r>
      <w:r>
        <w:rPr>
          <w:rFonts w:hint="eastAsia" w:ascii="黑体"/>
          <w:color w:val="000000"/>
          <w:highlight w:val="none"/>
        </w:rPr>
        <w:t>负责人最低要求)</w:t>
      </w:r>
      <w:bookmarkEnd w:id="18"/>
    </w:p>
    <w:p w14:paraId="1317F51C">
      <w:pPr>
        <w:rPr>
          <w:rFonts w:ascii="Calibri" w:hAnsi="Calibri" w:eastAsia="宋体" w:cs="Times New Roman"/>
          <w:bCs/>
          <w:color w:val="000000"/>
          <w:szCs w:val="22"/>
          <w:highlight w:val="none"/>
        </w:rPr>
      </w:pPr>
    </w:p>
    <w:tbl>
      <w:tblPr>
        <w:tblStyle w:val="14"/>
        <w:tblW w:w="9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3"/>
        <w:gridCol w:w="2306"/>
        <w:gridCol w:w="851"/>
        <w:gridCol w:w="5210"/>
      </w:tblGrid>
      <w:tr w14:paraId="4ED58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853" w:type="dxa"/>
            <w:noWrap w:val="0"/>
            <w:vAlign w:val="center"/>
          </w:tcPr>
          <w:p w14:paraId="2521F918">
            <w:pPr>
              <w:jc w:val="center"/>
              <w:rPr>
                <w:rFonts w:ascii="Calibri" w:hAnsi="Calibri" w:eastAsia="宋体" w:cs="Times New Roman"/>
                <w:b/>
                <w:bCs/>
                <w:color w:val="000000"/>
                <w:szCs w:val="22"/>
                <w:highlight w:val="none"/>
              </w:rPr>
            </w:pPr>
            <w:r>
              <w:rPr>
                <w:rFonts w:hint="eastAsia" w:ascii="Calibri" w:hAnsi="Calibri" w:eastAsia="宋体" w:cs="Times New Roman"/>
                <w:b/>
                <w:bCs/>
                <w:color w:val="000000"/>
                <w:szCs w:val="22"/>
                <w:highlight w:val="none"/>
              </w:rPr>
              <w:t>标段</w:t>
            </w:r>
          </w:p>
        </w:tc>
        <w:tc>
          <w:tcPr>
            <w:tcW w:w="2306" w:type="dxa"/>
            <w:noWrap w:val="0"/>
            <w:vAlign w:val="center"/>
          </w:tcPr>
          <w:p w14:paraId="184AC252">
            <w:pPr>
              <w:jc w:val="center"/>
              <w:rPr>
                <w:rFonts w:ascii="Calibri" w:hAnsi="Calibri" w:eastAsia="宋体" w:cs="Times New Roman"/>
                <w:b/>
                <w:bCs/>
                <w:color w:val="000000"/>
                <w:szCs w:val="22"/>
                <w:highlight w:val="none"/>
              </w:rPr>
            </w:pPr>
            <w:r>
              <w:rPr>
                <w:rFonts w:ascii="Calibri" w:hAnsi="Calibri" w:eastAsia="宋体" w:cs="Times New Roman"/>
                <w:b/>
                <w:bCs/>
                <w:color w:val="000000"/>
                <w:szCs w:val="22"/>
                <w:highlight w:val="none"/>
              </w:rPr>
              <w:t>人员</w:t>
            </w:r>
          </w:p>
        </w:tc>
        <w:tc>
          <w:tcPr>
            <w:tcW w:w="851" w:type="dxa"/>
            <w:noWrap w:val="0"/>
            <w:vAlign w:val="center"/>
          </w:tcPr>
          <w:p w14:paraId="05078CCA">
            <w:pPr>
              <w:jc w:val="center"/>
              <w:rPr>
                <w:rFonts w:ascii="Calibri" w:hAnsi="Calibri" w:eastAsia="宋体" w:cs="Times New Roman"/>
                <w:b/>
                <w:bCs/>
                <w:color w:val="000000"/>
                <w:szCs w:val="22"/>
                <w:highlight w:val="none"/>
              </w:rPr>
            </w:pPr>
            <w:r>
              <w:rPr>
                <w:rFonts w:ascii="Calibri" w:hAnsi="Calibri" w:eastAsia="宋体" w:cs="Times New Roman"/>
                <w:b/>
                <w:bCs/>
                <w:color w:val="000000"/>
                <w:szCs w:val="22"/>
                <w:highlight w:val="none"/>
              </w:rPr>
              <w:t>数量</w:t>
            </w:r>
          </w:p>
        </w:tc>
        <w:tc>
          <w:tcPr>
            <w:tcW w:w="5210" w:type="dxa"/>
            <w:noWrap w:val="0"/>
            <w:vAlign w:val="center"/>
          </w:tcPr>
          <w:p w14:paraId="6F9185D7">
            <w:pPr>
              <w:jc w:val="center"/>
              <w:rPr>
                <w:rFonts w:ascii="Calibri" w:hAnsi="Calibri" w:eastAsia="宋体" w:cs="Times New Roman"/>
                <w:b/>
                <w:bCs/>
                <w:color w:val="000000"/>
                <w:szCs w:val="22"/>
                <w:highlight w:val="none"/>
              </w:rPr>
            </w:pPr>
            <w:r>
              <w:rPr>
                <w:rFonts w:ascii="Calibri" w:hAnsi="Calibri" w:eastAsia="宋体" w:cs="Times New Roman"/>
                <w:b/>
                <w:bCs/>
                <w:color w:val="000000"/>
                <w:szCs w:val="22"/>
                <w:highlight w:val="none"/>
              </w:rPr>
              <w:t>资 格 要 求</w:t>
            </w:r>
          </w:p>
        </w:tc>
      </w:tr>
      <w:tr w14:paraId="1799D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53" w:type="dxa"/>
            <w:vMerge w:val="restart"/>
            <w:noWrap w:val="0"/>
            <w:vAlign w:val="center"/>
          </w:tcPr>
          <w:p w14:paraId="12C2C1FB">
            <w:pPr>
              <w:jc w:val="center"/>
              <w:rPr>
                <w:rFonts w:ascii="宋体" w:hAnsi="宋体" w:cs="宋体"/>
                <w:color w:val="000000"/>
                <w:szCs w:val="22"/>
                <w:highlight w:val="none"/>
              </w:rPr>
            </w:pPr>
            <w:r>
              <w:rPr>
                <w:rFonts w:hint="eastAsia" w:ascii="宋体" w:hAnsi="宋体" w:cs="宋体"/>
                <w:color w:val="000000"/>
                <w:szCs w:val="22"/>
                <w:highlight w:val="none"/>
              </w:rPr>
              <w:t>SJ</w:t>
            </w:r>
            <w:r>
              <w:rPr>
                <w:rFonts w:ascii="宋体" w:hAnsi="宋体" w:cs="宋体"/>
                <w:color w:val="000000"/>
                <w:szCs w:val="22"/>
                <w:highlight w:val="none"/>
              </w:rPr>
              <w:t>1</w:t>
            </w:r>
          </w:p>
        </w:tc>
        <w:tc>
          <w:tcPr>
            <w:tcW w:w="2306" w:type="dxa"/>
            <w:noWrap w:val="0"/>
            <w:vAlign w:val="center"/>
          </w:tcPr>
          <w:p w14:paraId="64C307E4">
            <w:pPr>
              <w:jc w:val="center"/>
              <w:rPr>
                <w:rFonts w:ascii="宋体" w:hAnsi="宋体" w:cs="宋体"/>
                <w:color w:val="000000"/>
                <w:szCs w:val="22"/>
                <w:highlight w:val="none"/>
              </w:rPr>
            </w:pPr>
            <w:r>
              <w:rPr>
                <w:rFonts w:hint="eastAsia" w:ascii="宋体" w:hAnsi="宋体" w:cs="宋体"/>
                <w:color w:val="000000"/>
                <w:szCs w:val="22"/>
                <w:highlight w:val="none"/>
              </w:rPr>
              <w:t>路基路面分项负责人</w:t>
            </w:r>
          </w:p>
        </w:tc>
        <w:tc>
          <w:tcPr>
            <w:tcW w:w="851" w:type="dxa"/>
            <w:noWrap w:val="0"/>
            <w:vAlign w:val="center"/>
          </w:tcPr>
          <w:p w14:paraId="297B1F92">
            <w:pPr>
              <w:jc w:val="center"/>
              <w:rPr>
                <w:rFonts w:ascii="宋体" w:hAnsi="宋体" w:cs="宋体"/>
                <w:color w:val="000000"/>
                <w:szCs w:val="22"/>
                <w:highlight w:val="none"/>
              </w:rPr>
            </w:pPr>
            <w:r>
              <w:rPr>
                <w:rFonts w:hint="eastAsia" w:ascii="宋体" w:hAnsi="宋体" w:cs="宋体"/>
                <w:color w:val="000000"/>
                <w:szCs w:val="22"/>
                <w:highlight w:val="none"/>
              </w:rPr>
              <w:t>1</w:t>
            </w:r>
          </w:p>
        </w:tc>
        <w:tc>
          <w:tcPr>
            <w:tcW w:w="5210" w:type="dxa"/>
            <w:noWrap w:val="0"/>
            <w:vAlign w:val="center"/>
          </w:tcPr>
          <w:p w14:paraId="265B59CC">
            <w:pPr>
              <w:rPr>
                <w:rFonts w:ascii="宋体" w:hAnsi="宋体" w:cs="宋体"/>
                <w:color w:val="000000"/>
                <w:szCs w:val="22"/>
                <w:highlight w:val="none"/>
              </w:rPr>
            </w:pPr>
            <w:r>
              <w:rPr>
                <w:rFonts w:hint="eastAsia" w:ascii="宋体" w:hAnsi="宋体" w:cs="宋体"/>
                <w:color w:val="000000"/>
                <w:szCs w:val="22"/>
                <w:highlight w:val="none"/>
              </w:rPr>
              <w:t>公路工程相关专业高级工程师。</w:t>
            </w:r>
          </w:p>
        </w:tc>
      </w:tr>
      <w:tr w14:paraId="6842A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53" w:type="dxa"/>
            <w:vMerge w:val="continue"/>
            <w:noWrap w:val="0"/>
            <w:vAlign w:val="center"/>
          </w:tcPr>
          <w:p w14:paraId="367EF1C5">
            <w:pPr>
              <w:jc w:val="center"/>
              <w:rPr>
                <w:rFonts w:ascii="宋体" w:hAnsi="宋体" w:cs="宋体"/>
                <w:color w:val="000000"/>
                <w:szCs w:val="22"/>
                <w:highlight w:val="none"/>
              </w:rPr>
            </w:pPr>
          </w:p>
        </w:tc>
        <w:tc>
          <w:tcPr>
            <w:tcW w:w="2306" w:type="dxa"/>
            <w:noWrap w:val="0"/>
            <w:vAlign w:val="center"/>
          </w:tcPr>
          <w:p w14:paraId="2537925B">
            <w:pPr>
              <w:jc w:val="center"/>
              <w:rPr>
                <w:rFonts w:ascii="宋体" w:hAnsi="宋体" w:cs="宋体"/>
                <w:color w:val="000000"/>
                <w:szCs w:val="22"/>
                <w:highlight w:val="none"/>
              </w:rPr>
            </w:pPr>
            <w:r>
              <w:rPr>
                <w:rFonts w:hint="eastAsia" w:ascii="宋体" w:hAnsi="宋体" w:cs="宋体"/>
                <w:color w:val="000000"/>
                <w:szCs w:val="22"/>
                <w:highlight w:val="none"/>
              </w:rPr>
              <w:t>路线分项负责人</w:t>
            </w:r>
          </w:p>
        </w:tc>
        <w:tc>
          <w:tcPr>
            <w:tcW w:w="851" w:type="dxa"/>
            <w:noWrap w:val="0"/>
            <w:vAlign w:val="center"/>
          </w:tcPr>
          <w:p w14:paraId="6786341C">
            <w:pPr>
              <w:jc w:val="center"/>
              <w:rPr>
                <w:rFonts w:ascii="宋体" w:hAnsi="宋体" w:cs="宋体"/>
                <w:color w:val="000000"/>
                <w:szCs w:val="22"/>
                <w:highlight w:val="none"/>
              </w:rPr>
            </w:pPr>
            <w:r>
              <w:rPr>
                <w:rFonts w:hint="eastAsia" w:ascii="宋体" w:hAnsi="宋体" w:cs="宋体"/>
                <w:color w:val="000000"/>
                <w:szCs w:val="22"/>
                <w:highlight w:val="none"/>
              </w:rPr>
              <w:t>1</w:t>
            </w:r>
          </w:p>
        </w:tc>
        <w:tc>
          <w:tcPr>
            <w:tcW w:w="5210" w:type="dxa"/>
            <w:noWrap w:val="0"/>
            <w:vAlign w:val="center"/>
          </w:tcPr>
          <w:p w14:paraId="6FE58DAD">
            <w:pPr>
              <w:rPr>
                <w:rFonts w:ascii="宋体" w:hAnsi="宋体" w:cs="宋体"/>
                <w:color w:val="000000"/>
                <w:szCs w:val="22"/>
                <w:highlight w:val="none"/>
              </w:rPr>
            </w:pPr>
            <w:r>
              <w:rPr>
                <w:rFonts w:hint="eastAsia" w:ascii="宋体" w:hAnsi="宋体" w:cs="宋体"/>
                <w:color w:val="000000"/>
                <w:szCs w:val="22"/>
                <w:highlight w:val="none"/>
              </w:rPr>
              <w:t>公路工程相关专业高级工程师。</w:t>
            </w:r>
          </w:p>
        </w:tc>
      </w:tr>
      <w:tr w14:paraId="46FCD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53" w:type="dxa"/>
            <w:vMerge w:val="continue"/>
            <w:noWrap w:val="0"/>
            <w:vAlign w:val="center"/>
          </w:tcPr>
          <w:p w14:paraId="0B9D2CEE">
            <w:pPr>
              <w:jc w:val="center"/>
              <w:rPr>
                <w:rFonts w:ascii="宋体" w:hAnsi="宋体" w:cs="宋体"/>
                <w:color w:val="000000"/>
                <w:szCs w:val="22"/>
                <w:highlight w:val="none"/>
              </w:rPr>
            </w:pPr>
          </w:p>
        </w:tc>
        <w:tc>
          <w:tcPr>
            <w:tcW w:w="2306" w:type="dxa"/>
            <w:noWrap w:val="0"/>
            <w:vAlign w:val="center"/>
          </w:tcPr>
          <w:p w14:paraId="1DA356E3">
            <w:pPr>
              <w:jc w:val="center"/>
              <w:rPr>
                <w:rFonts w:ascii="宋体" w:hAnsi="宋体" w:cs="宋体"/>
                <w:color w:val="000000"/>
                <w:szCs w:val="22"/>
                <w:highlight w:val="none"/>
              </w:rPr>
            </w:pPr>
            <w:r>
              <w:rPr>
                <w:rFonts w:hint="eastAsia" w:ascii="宋体" w:hAnsi="宋体" w:cs="宋体"/>
                <w:color w:val="000000"/>
                <w:szCs w:val="22"/>
                <w:highlight w:val="none"/>
              </w:rPr>
              <w:t>工程勘察分项负责人</w:t>
            </w:r>
          </w:p>
        </w:tc>
        <w:tc>
          <w:tcPr>
            <w:tcW w:w="851" w:type="dxa"/>
            <w:noWrap w:val="0"/>
            <w:vAlign w:val="center"/>
          </w:tcPr>
          <w:p w14:paraId="0DC9F01E">
            <w:pPr>
              <w:jc w:val="center"/>
              <w:rPr>
                <w:rFonts w:ascii="宋体" w:hAnsi="宋体" w:cs="宋体"/>
                <w:color w:val="000000"/>
                <w:szCs w:val="22"/>
                <w:highlight w:val="none"/>
              </w:rPr>
            </w:pPr>
            <w:r>
              <w:rPr>
                <w:rFonts w:hint="eastAsia" w:ascii="宋体" w:hAnsi="宋体" w:cs="宋体"/>
                <w:color w:val="000000"/>
                <w:szCs w:val="22"/>
                <w:highlight w:val="none"/>
              </w:rPr>
              <w:t>1</w:t>
            </w:r>
          </w:p>
        </w:tc>
        <w:tc>
          <w:tcPr>
            <w:tcW w:w="5210" w:type="dxa"/>
            <w:noWrap w:val="0"/>
            <w:vAlign w:val="center"/>
          </w:tcPr>
          <w:p w14:paraId="4D6EA613">
            <w:pPr>
              <w:rPr>
                <w:rFonts w:ascii="宋体" w:hAnsi="宋体" w:cs="宋体"/>
                <w:color w:val="000000"/>
                <w:szCs w:val="22"/>
                <w:highlight w:val="none"/>
              </w:rPr>
            </w:pPr>
            <w:r>
              <w:rPr>
                <w:rFonts w:hint="eastAsia" w:ascii="宋体" w:hAnsi="宋体" w:cs="宋体"/>
                <w:color w:val="000000"/>
                <w:szCs w:val="22"/>
                <w:highlight w:val="none"/>
              </w:rPr>
              <w:t>注册岩土工程师。</w:t>
            </w:r>
          </w:p>
        </w:tc>
      </w:tr>
      <w:tr w14:paraId="18E8E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53" w:type="dxa"/>
            <w:vMerge w:val="continue"/>
            <w:noWrap w:val="0"/>
            <w:vAlign w:val="center"/>
          </w:tcPr>
          <w:p w14:paraId="19BEBC83">
            <w:pPr>
              <w:jc w:val="center"/>
              <w:rPr>
                <w:rFonts w:ascii="宋体" w:hAnsi="宋体" w:cs="宋体"/>
                <w:color w:val="000000"/>
                <w:szCs w:val="22"/>
                <w:highlight w:val="none"/>
              </w:rPr>
            </w:pPr>
          </w:p>
        </w:tc>
        <w:tc>
          <w:tcPr>
            <w:tcW w:w="2306" w:type="dxa"/>
            <w:noWrap w:val="0"/>
            <w:vAlign w:val="center"/>
          </w:tcPr>
          <w:p w14:paraId="58662B06">
            <w:pPr>
              <w:jc w:val="center"/>
              <w:rPr>
                <w:rFonts w:ascii="宋体" w:hAnsi="宋体" w:cs="宋体"/>
                <w:color w:val="000000"/>
                <w:szCs w:val="22"/>
                <w:highlight w:val="none"/>
              </w:rPr>
            </w:pPr>
            <w:r>
              <w:rPr>
                <w:rFonts w:hint="eastAsia" w:ascii="宋体" w:hAnsi="宋体" w:cs="宋体"/>
                <w:color w:val="000000"/>
                <w:szCs w:val="22"/>
                <w:highlight w:val="none"/>
              </w:rPr>
              <w:t>工程造价分项负责人</w:t>
            </w:r>
          </w:p>
        </w:tc>
        <w:tc>
          <w:tcPr>
            <w:tcW w:w="851" w:type="dxa"/>
            <w:noWrap w:val="0"/>
            <w:vAlign w:val="center"/>
          </w:tcPr>
          <w:p w14:paraId="711A715E">
            <w:pPr>
              <w:jc w:val="center"/>
              <w:rPr>
                <w:rFonts w:ascii="宋体" w:hAnsi="宋体" w:cs="宋体"/>
                <w:color w:val="000000"/>
                <w:szCs w:val="22"/>
                <w:highlight w:val="none"/>
              </w:rPr>
            </w:pPr>
            <w:r>
              <w:rPr>
                <w:rFonts w:hint="eastAsia" w:ascii="宋体" w:hAnsi="宋体" w:cs="宋体"/>
                <w:color w:val="000000"/>
                <w:szCs w:val="22"/>
                <w:highlight w:val="none"/>
              </w:rPr>
              <w:t>1</w:t>
            </w:r>
          </w:p>
        </w:tc>
        <w:tc>
          <w:tcPr>
            <w:tcW w:w="5210" w:type="dxa"/>
            <w:noWrap w:val="0"/>
            <w:vAlign w:val="center"/>
          </w:tcPr>
          <w:p w14:paraId="1E6F724C">
            <w:pPr>
              <w:rPr>
                <w:rFonts w:ascii="宋体" w:hAnsi="宋体" w:cs="宋体"/>
                <w:color w:val="000000"/>
                <w:szCs w:val="22"/>
                <w:highlight w:val="none"/>
              </w:rPr>
            </w:pPr>
            <w:r>
              <w:rPr>
                <w:rFonts w:hint="eastAsia" w:ascii="宋体" w:hAnsi="宋体" w:cs="宋体"/>
                <w:color w:val="000000"/>
                <w:szCs w:val="22"/>
                <w:highlight w:val="none"/>
              </w:rPr>
              <w:t>注册一级造价工程师（交通运输工程</w:t>
            </w:r>
            <w:r>
              <w:rPr>
                <w:rFonts w:hint="eastAsia" w:ascii="宋体" w:hAnsi="宋体" w:cs="宋体"/>
                <w:color w:val="000000"/>
                <w:szCs w:val="22"/>
                <w:highlight w:val="none"/>
                <w:lang w:eastAsia="zh-CN"/>
              </w:rPr>
              <w:t>（</w:t>
            </w:r>
            <w:r>
              <w:rPr>
                <w:rFonts w:hint="eastAsia" w:ascii="宋体" w:hAnsi="宋体" w:cs="宋体"/>
                <w:color w:val="000000"/>
                <w:szCs w:val="22"/>
                <w:highlight w:val="none"/>
                <w:lang w:val="en-US" w:eastAsia="zh-CN"/>
              </w:rPr>
              <w:t>公路工程</w:t>
            </w:r>
            <w:r>
              <w:rPr>
                <w:rFonts w:hint="eastAsia" w:ascii="宋体" w:hAnsi="宋体" w:cs="宋体"/>
                <w:color w:val="000000"/>
                <w:szCs w:val="22"/>
                <w:highlight w:val="none"/>
                <w:lang w:eastAsia="zh-CN"/>
              </w:rPr>
              <w:t>）</w:t>
            </w:r>
            <w:r>
              <w:rPr>
                <w:rFonts w:hint="eastAsia" w:ascii="宋体" w:hAnsi="宋体" w:cs="宋体"/>
                <w:color w:val="000000"/>
                <w:szCs w:val="22"/>
                <w:highlight w:val="none"/>
              </w:rPr>
              <w:t>）</w:t>
            </w:r>
          </w:p>
        </w:tc>
      </w:tr>
      <w:tr w14:paraId="5C963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53" w:type="dxa"/>
            <w:vMerge w:val="continue"/>
            <w:noWrap w:val="0"/>
            <w:vAlign w:val="center"/>
          </w:tcPr>
          <w:p w14:paraId="28A6909F">
            <w:pPr>
              <w:jc w:val="center"/>
              <w:rPr>
                <w:rFonts w:ascii="宋体" w:hAnsi="宋体" w:cs="宋体"/>
                <w:color w:val="000000"/>
                <w:szCs w:val="22"/>
                <w:highlight w:val="none"/>
              </w:rPr>
            </w:pPr>
          </w:p>
        </w:tc>
        <w:tc>
          <w:tcPr>
            <w:tcW w:w="2306" w:type="dxa"/>
            <w:noWrap w:val="0"/>
            <w:vAlign w:val="center"/>
          </w:tcPr>
          <w:p w14:paraId="5554E873">
            <w:pPr>
              <w:jc w:val="center"/>
              <w:rPr>
                <w:rFonts w:ascii="宋体" w:hAnsi="宋体" w:cs="宋体"/>
                <w:color w:val="000000"/>
                <w:szCs w:val="22"/>
                <w:highlight w:val="none"/>
              </w:rPr>
            </w:pPr>
            <w:r>
              <w:rPr>
                <w:rFonts w:hint="eastAsia" w:ascii="宋体" w:hAnsi="宋体" w:cs="宋体"/>
                <w:color w:val="000000"/>
                <w:szCs w:val="22"/>
                <w:highlight w:val="none"/>
              </w:rPr>
              <w:t>桥涵分项负责人</w:t>
            </w:r>
          </w:p>
        </w:tc>
        <w:tc>
          <w:tcPr>
            <w:tcW w:w="851" w:type="dxa"/>
            <w:noWrap w:val="0"/>
            <w:vAlign w:val="center"/>
          </w:tcPr>
          <w:p w14:paraId="59839A75">
            <w:pPr>
              <w:jc w:val="center"/>
              <w:rPr>
                <w:rFonts w:ascii="宋体" w:hAnsi="宋体" w:cs="宋体"/>
                <w:color w:val="000000"/>
                <w:szCs w:val="22"/>
                <w:highlight w:val="none"/>
              </w:rPr>
            </w:pPr>
            <w:r>
              <w:rPr>
                <w:rFonts w:hint="eastAsia" w:ascii="宋体" w:hAnsi="宋体" w:cs="宋体"/>
                <w:color w:val="000000"/>
                <w:szCs w:val="22"/>
                <w:highlight w:val="none"/>
              </w:rPr>
              <w:t>1</w:t>
            </w:r>
          </w:p>
        </w:tc>
        <w:tc>
          <w:tcPr>
            <w:tcW w:w="5210" w:type="dxa"/>
            <w:noWrap w:val="0"/>
            <w:vAlign w:val="center"/>
          </w:tcPr>
          <w:p w14:paraId="40FB14B2">
            <w:pPr>
              <w:rPr>
                <w:rFonts w:ascii="宋体" w:hAnsi="宋体" w:cs="宋体"/>
                <w:color w:val="000000"/>
                <w:szCs w:val="22"/>
                <w:highlight w:val="none"/>
              </w:rPr>
            </w:pPr>
            <w:r>
              <w:rPr>
                <w:rFonts w:hint="eastAsia" w:ascii="宋体" w:hAnsi="宋体" w:cs="宋体"/>
                <w:color w:val="000000"/>
                <w:szCs w:val="22"/>
                <w:highlight w:val="none"/>
              </w:rPr>
              <w:t>公路工程相关专业高级工程师。</w:t>
            </w:r>
          </w:p>
        </w:tc>
      </w:tr>
      <w:tr w14:paraId="3C053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53" w:type="dxa"/>
            <w:vMerge w:val="continue"/>
            <w:noWrap w:val="0"/>
            <w:vAlign w:val="center"/>
          </w:tcPr>
          <w:p w14:paraId="073E7150">
            <w:pPr>
              <w:jc w:val="center"/>
              <w:rPr>
                <w:rFonts w:ascii="宋体" w:hAnsi="宋体" w:cs="宋体"/>
                <w:color w:val="000000"/>
                <w:szCs w:val="22"/>
                <w:highlight w:val="none"/>
              </w:rPr>
            </w:pPr>
          </w:p>
        </w:tc>
        <w:tc>
          <w:tcPr>
            <w:tcW w:w="2306" w:type="dxa"/>
            <w:noWrap w:val="0"/>
            <w:vAlign w:val="center"/>
          </w:tcPr>
          <w:p w14:paraId="4FF0F88E">
            <w:pPr>
              <w:jc w:val="center"/>
              <w:rPr>
                <w:rFonts w:ascii="宋体" w:hAnsi="宋体" w:cs="宋体"/>
                <w:color w:val="000000"/>
                <w:szCs w:val="22"/>
                <w:highlight w:val="none"/>
              </w:rPr>
            </w:pPr>
            <w:r>
              <w:rPr>
                <w:rFonts w:hint="eastAsia" w:ascii="宋体" w:hAnsi="宋体" w:cs="宋体"/>
                <w:color w:val="000000"/>
                <w:szCs w:val="22"/>
                <w:highlight w:val="none"/>
              </w:rPr>
              <w:t>交通工程分项负责人</w:t>
            </w:r>
          </w:p>
        </w:tc>
        <w:tc>
          <w:tcPr>
            <w:tcW w:w="851" w:type="dxa"/>
            <w:noWrap w:val="0"/>
            <w:vAlign w:val="center"/>
          </w:tcPr>
          <w:p w14:paraId="25ECB08F">
            <w:pPr>
              <w:jc w:val="center"/>
              <w:rPr>
                <w:rFonts w:ascii="宋体" w:hAnsi="宋体" w:cs="宋体"/>
                <w:color w:val="000000"/>
                <w:szCs w:val="22"/>
                <w:highlight w:val="none"/>
              </w:rPr>
            </w:pPr>
            <w:r>
              <w:rPr>
                <w:rFonts w:hint="eastAsia" w:ascii="宋体" w:hAnsi="宋体" w:cs="宋体"/>
                <w:color w:val="000000"/>
                <w:szCs w:val="22"/>
                <w:highlight w:val="none"/>
              </w:rPr>
              <w:t>1</w:t>
            </w:r>
          </w:p>
        </w:tc>
        <w:tc>
          <w:tcPr>
            <w:tcW w:w="5210" w:type="dxa"/>
            <w:noWrap w:val="0"/>
            <w:vAlign w:val="center"/>
          </w:tcPr>
          <w:p w14:paraId="66BE550C">
            <w:pPr>
              <w:rPr>
                <w:rFonts w:ascii="宋体" w:hAnsi="宋体" w:cs="宋体"/>
                <w:color w:val="000000"/>
                <w:szCs w:val="22"/>
                <w:highlight w:val="none"/>
              </w:rPr>
            </w:pPr>
            <w:r>
              <w:rPr>
                <w:rFonts w:hint="eastAsia" w:ascii="宋体" w:hAnsi="宋体" w:cs="宋体"/>
                <w:color w:val="000000"/>
                <w:szCs w:val="22"/>
                <w:highlight w:val="none"/>
              </w:rPr>
              <w:t>公路工程相关专业高级工程师。</w:t>
            </w:r>
          </w:p>
        </w:tc>
      </w:tr>
    </w:tbl>
    <w:p w14:paraId="4A67D91C">
      <w:pPr>
        <w:spacing w:line="300" w:lineRule="exact"/>
        <w:rPr>
          <w:rFonts w:ascii="宋体" w:hAnsi="宋体" w:cs="宋体"/>
          <w:color w:val="000000"/>
          <w:szCs w:val="22"/>
          <w:highlight w:val="none"/>
        </w:rPr>
      </w:pPr>
      <w:r>
        <w:rPr>
          <w:rFonts w:hint="eastAsia" w:ascii="宋体" w:hAnsi="宋体" w:cs="宋体"/>
          <w:color w:val="000000"/>
          <w:szCs w:val="22"/>
          <w:highlight w:val="none"/>
        </w:rPr>
        <w:t>注：1.公路工程相关专业：公路工程、桥梁工程、公路与桥梁工程、交通土建、隧道（地下结构）工程、交通工程；</w:t>
      </w:r>
    </w:p>
    <w:p w14:paraId="1A350005">
      <w:pPr>
        <w:spacing w:line="300" w:lineRule="exact"/>
        <w:ind w:firstLine="420" w:firstLineChars="200"/>
        <w:rPr>
          <w:rFonts w:ascii="宋体" w:hAnsi="宋体" w:cs="宋体"/>
          <w:color w:val="000000"/>
          <w:szCs w:val="22"/>
          <w:highlight w:val="none"/>
        </w:rPr>
      </w:pPr>
      <w:r>
        <w:rPr>
          <w:rFonts w:hint="eastAsia" w:ascii="宋体" w:hAnsi="宋体" w:cs="宋体"/>
          <w:color w:val="000000"/>
          <w:szCs w:val="22"/>
          <w:highlight w:val="none"/>
        </w:rPr>
        <w:t>2.其他管理和技术人员在投标文件中不用填报，中标后在合同谈判阶段确定，在经招标人审批后作为投入本标段的其他管理和技术人员，且未经招标人允许不得更换。</w:t>
      </w:r>
    </w:p>
    <w:p w14:paraId="0BDE7971">
      <w:pPr>
        <w:spacing w:line="300" w:lineRule="exact"/>
        <w:ind w:firstLine="420" w:firstLineChars="200"/>
        <w:rPr>
          <w:rFonts w:ascii="宋体" w:hAnsi="宋体" w:cs="宋体"/>
          <w:color w:val="000000"/>
          <w:szCs w:val="22"/>
          <w:highlight w:val="none"/>
        </w:rPr>
      </w:pPr>
      <w:r>
        <w:rPr>
          <w:rFonts w:hint="eastAsia" w:ascii="宋体" w:hAnsi="宋体" w:cs="宋体"/>
          <w:color w:val="000000"/>
          <w:szCs w:val="22"/>
          <w:highlight w:val="none"/>
        </w:rPr>
        <w:t>3.本表所列人员仅为完成本项目实施的最低人员要求，发包人保留要求承包人按工程实际需要增派人员的权力，承包人应无条件执行，由此产生的费用包含在投标报价中。</w:t>
      </w:r>
    </w:p>
    <w:p w14:paraId="6AA7E72E">
      <w:pPr>
        <w:numPr>
          <w:ilvl w:val="0"/>
          <w:numId w:val="0"/>
        </w:numPr>
        <w:spacing w:line="360" w:lineRule="auto"/>
        <w:jc w:val="center"/>
        <w:outlineLvl w:val="0"/>
        <w:rPr>
          <w:rFonts w:hint="eastAsia" w:ascii="黑体" w:hAnsi="黑体" w:eastAsia="黑体"/>
          <w:b/>
          <w:color w:val="000000"/>
          <w:sz w:val="36"/>
          <w:szCs w:val="36"/>
          <w:highlight w:val="none"/>
        </w:rPr>
      </w:pPr>
      <w:r>
        <w:rPr>
          <w:rFonts w:ascii="宋体" w:hAnsi="宋体"/>
          <w:b/>
          <w:bCs/>
          <w:color w:val="000000"/>
          <w:kern w:val="44"/>
          <w:sz w:val="30"/>
          <w:szCs w:val="30"/>
          <w:highlight w:val="none"/>
        </w:rPr>
        <w:br w:type="page"/>
      </w:r>
      <w:bookmarkStart w:id="19" w:name="_Toc4518"/>
      <w:bookmarkStart w:id="20" w:name="_Toc18166"/>
      <w:bookmarkStart w:id="21" w:name="_Toc25006"/>
      <w:r>
        <w:rPr>
          <w:rFonts w:hint="eastAsia" w:ascii="黑体" w:hAnsi="黑体" w:eastAsia="黑体"/>
          <w:b/>
          <w:color w:val="000000"/>
          <w:sz w:val="36"/>
          <w:szCs w:val="36"/>
          <w:highlight w:val="none"/>
          <w:lang w:eastAsia="zh-CN"/>
        </w:rPr>
        <w:t>附录</w:t>
      </w:r>
      <w:r>
        <w:rPr>
          <w:rFonts w:hint="eastAsia" w:ascii="黑体" w:hAnsi="黑体" w:eastAsia="黑体"/>
          <w:b/>
          <w:color w:val="000000"/>
          <w:sz w:val="36"/>
          <w:szCs w:val="36"/>
          <w:highlight w:val="none"/>
          <w:lang w:val="en-US" w:eastAsia="zh-CN"/>
        </w:rPr>
        <w:t>6</w:t>
      </w:r>
      <w:r>
        <w:rPr>
          <w:rFonts w:hint="eastAsia" w:ascii="黑体" w:hAnsi="黑体" w:eastAsia="黑体"/>
          <w:b/>
          <w:color w:val="000000"/>
          <w:sz w:val="36"/>
          <w:szCs w:val="36"/>
          <w:highlight w:val="none"/>
        </w:rPr>
        <w:t>评标办法（综合评估法）</w:t>
      </w:r>
      <w:bookmarkEnd w:id="19"/>
      <w:bookmarkEnd w:id="20"/>
      <w:bookmarkEnd w:id="21"/>
    </w:p>
    <w:p w14:paraId="111B0DF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6" w:afterAutospacing="0"/>
        <w:ind w:left="0" w:right="0" w:firstLine="0"/>
        <w:jc w:val="center"/>
        <w:rPr>
          <w:rFonts w:hint="eastAsia" w:ascii="微软雅黑" w:hAnsi="微软雅黑" w:eastAsia="微软雅黑" w:cs="微软雅黑"/>
          <w:i w:val="0"/>
          <w:iCs w:val="0"/>
          <w:caps w:val="0"/>
          <w:color w:val="000000"/>
          <w:spacing w:val="0"/>
          <w:sz w:val="21"/>
          <w:szCs w:val="21"/>
          <w:highlight w:val="none"/>
        </w:rPr>
      </w:pPr>
      <w:r>
        <w:rPr>
          <w:rFonts w:hint="eastAsia" w:ascii="黑体" w:hAnsi="黑体" w:eastAsia="黑体"/>
          <w:b/>
          <w:color w:val="000000"/>
          <w:sz w:val="36"/>
          <w:szCs w:val="36"/>
          <w:highlight w:val="none"/>
        </w:rPr>
        <w:t>评标办法前附表</w:t>
      </w:r>
    </w:p>
    <w:tbl>
      <w:tblPr>
        <w:tblStyle w:val="14"/>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00"/>
        <w:gridCol w:w="1209"/>
        <w:gridCol w:w="6209"/>
      </w:tblGrid>
      <w:tr w14:paraId="340458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Header/>
        </w:trPr>
        <w:tc>
          <w:tcPr>
            <w:tcW w:w="1312" w:type="pct"/>
            <w:gridSpan w:val="2"/>
            <w:tcBorders>
              <w:top w:val="single" w:color="auto" w:sz="12" w:space="0"/>
              <w:left w:val="single" w:color="auto" w:sz="12" w:space="0"/>
              <w:bottom w:val="single" w:color="auto" w:sz="8" w:space="0"/>
              <w:right w:val="single" w:color="auto" w:sz="8" w:space="0"/>
            </w:tcBorders>
            <w:shd w:val="clear" w:color="auto" w:fill="FFFFFF"/>
            <w:noWrap w:val="0"/>
            <w:tcMar>
              <w:top w:w="57" w:type="dxa"/>
              <w:left w:w="57" w:type="dxa"/>
              <w:bottom w:w="57" w:type="dxa"/>
              <w:right w:w="57" w:type="dxa"/>
            </w:tcMar>
            <w:vAlign w:val="bottom"/>
          </w:tcPr>
          <w:p w14:paraId="3FD6378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bCs/>
                <w:i w:val="0"/>
                <w:iCs w:val="0"/>
                <w:caps w:val="0"/>
                <w:color w:val="000000"/>
                <w:spacing w:val="0"/>
                <w:sz w:val="18"/>
                <w:szCs w:val="18"/>
                <w:highlight w:val="none"/>
                <w:shd w:val="clear" w:color="auto" w:fill="FFFFFF"/>
              </w:rPr>
              <w:t>条款号</w:t>
            </w:r>
          </w:p>
        </w:tc>
        <w:tc>
          <w:tcPr>
            <w:tcW w:w="3687" w:type="pct"/>
            <w:tcBorders>
              <w:top w:val="single" w:color="auto" w:sz="12" w:space="0"/>
              <w:left w:val="nil"/>
              <w:bottom w:val="single" w:color="auto" w:sz="8" w:space="0"/>
              <w:right w:val="single" w:color="auto" w:sz="12" w:space="0"/>
            </w:tcBorders>
            <w:shd w:val="clear" w:color="auto" w:fill="FFFFFF"/>
            <w:noWrap w:val="0"/>
            <w:tcMar>
              <w:top w:w="57" w:type="dxa"/>
              <w:left w:w="57" w:type="dxa"/>
              <w:bottom w:w="57" w:type="dxa"/>
              <w:right w:w="57" w:type="dxa"/>
            </w:tcMar>
            <w:vAlign w:val="bottom"/>
          </w:tcPr>
          <w:p w14:paraId="7E1284C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bCs/>
                <w:i w:val="0"/>
                <w:iCs w:val="0"/>
                <w:caps w:val="0"/>
                <w:color w:val="000000"/>
                <w:spacing w:val="0"/>
                <w:sz w:val="18"/>
                <w:szCs w:val="18"/>
                <w:highlight w:val="none"/>
                <w:shd w:val="clear" w:color="auto" w:fill="FFFFFF"/>
              </w:rPr>
              <w:t>评审因素与评审标准</w:t>
            </w:r>
          </w:p>
        </w:tc>
      </w:tr>
      <w:tr w14:paraId="43722D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94" w:type="pct"/>
            <w:tcBorders>
              <w:top w:val="nil"/>
              <w:left w:val="single" w:color="auto" w:sz="12" w:space="0"/>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3FF22A8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1</w:t>
            </w:r>
          </w:p>
        </w:tc>
        <w:tc>
          <w:tcPr>
            <w:tcW w:w="718"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2837620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评标方法</w:t>
            </w:r>
          </w:p>
        </w:tc>
        <w:tc>
          <w:tcPr>
            <w:tcW w:w="3687" w:type="pct"/>
            <w:tcBorders>
              <w:top w:val="nil"/>
              <w:left w:val="nil"/>
              <w:bottom w:val="single" w:color="auto" w:sz="8" w:space="0"/>
              <w:right w:val="single" w:color="auto" w:sz="12" w:space="0"/>
            </w:tcBorders>
            <w:shd w:val="clear" w:color="auto" w:fill="FFFFFF"/>
            <w:noWrap w:val="0"/>
            <w:tcMar>
              <w:top w:w="57" w:type="dxa"/>
              <w:left w:w="57" w:type="dxa"/>
              <w:bottom w:w="57" w:type="dxa"/>
              <w:right w:w="57" w:type="dxa"/>
            </w:tcMar>
            <w:vAlign w:val="center"/>
          </w:tcPr>
          <w:p w14:paraId="04EA797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综合评分相等时，评标委员会依次按照以下优先顺序推荐中标候选人或确定中标人：</w:t>
            </w:r>
          </w:p>
          <w:p w14:paraId="54A02A6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（1）评标价低的投标人优先；</w:t>
            </w:r>
          </w:p>
          <w:p w14:paraId="32F0389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（2）202</w:t>
            </w:r>
            <w:r>
              <w:rPr>
                <w:rFonts w:hint="eastAsia" w:ascii="宋体" w:hAnsi="宋体" w:eastAsia="宋体" w:cs="宋体"/>
                <w:i w:val="0"/>
                <w:iCs w:val="0"/>
                <w:caps w:val="0"/>
                <w:color w:val="000000"/>
                <w:spacing w:val="0"/>
                <w:sz w:val="18"/>
                <w:szCs w:val="18"/>
                <w:highlight w:val="none"/>
                <w:shd w:val="clear" w:color="auto" w:fill="FFFFFF"/>
                <w:lang w:val="en-US" w:eastAsia="zh-CN"/>
              </w:rPr>
              <w:t>3</w:t>
            </w:r>
            <w:r>
              <w:rPr>
                <w:rFonts w:hint="eastAsia" w:ascii="宋体" w:hAnsi="宋体" w:eastAsia="宋体" w:cs="宋体"/>
                <w:i w:val="0"/>
                <w:iCs w:val="0"/>
                <w:caps w:val="0"/>
                <w:color w:val="000000"/>
                <w:spacing w:val="0"/>
                <w:sz w:val="18"/>
                <w:szCs w:val="18"/>
                <w:highlight w:val="none"/>
                <w:shd w:val="clear" w:color="auto" w:fill="FFFFFF"/>
              </w:rPr>
              <w:t>年被黑龙江省交通运输厅或202</w:t>
            </w:r>
            <w:r>
              <w:rPr>
                <w:rFonts w:hint="eastAsia" w:ascii="宋体" w:hAnsi="宋体" w:eastAsia="宋体" w:cs="宋体"/>
                <w:i w:val="0"/>
                <w:iCs w:val="0"/>
                <w:caps w:val="0"/>
                <w:color w:val="000000"/>
                <w:spacing w:val="0"/>
                <w:sz w:val="18"/>
                <w:szCs w:val="18"/>
                <w:highlight w:val="none"/>
                <w:shd w:val="clear" w:color="auto" w:fill="FFFFFF"/>
                <w:lang w:val="en-US" w:eastAsia="zh-CN"/>
              </w:rPr>
              <w:t>3</w:t>
            </w:r>
            <w:r>
              <w:rPr>
                <w:rFonts w:hint="eastAsia" w:ascii="宋体" w:hAnsi="宋体" w:eastAsia="宋体" w:cs="宋体"/>
                <w:i w:val="0"/>
                <w:iCs w:val="0"/>
                <w:caps w:val="0"/>
                <w:color w:val="000000"/>
                <w:spacing w:val="0"/>
                <w:sz w:val="18"/>
                <w:szCs w:val="18"/>
                <w:highlight w:val="none"/>
                <w:shd w:val="clear" w:color="auto" w:fill="FFFFFF"/>
              </w:rPr>
              <w:t>年被交通运输部评为较高信用等级的投标人优先（如果省级和部级评价等级不一致，以最高的信用评价等级认定）；</w:t>
            </w:r>
          </w:p>
          <w:p w14:paraId="60F513B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rPr>
              <w:t>（3）</w:t>
            </w:r>
            <w:r>
              <w:rPr>
                <w:rFonts w:hint="eastAsia" w:ascii="宋体" w:hAnsi="宋体" w:eastAsia="宋体" w:cs="宋体"/>
                <w:i w:val="0"/>
                <w:iCs w:val="0"/>
                <w:caps w:val="0"/>
                <w:color w:val="000000"/>
                <w:spacing w:val="0"/>
                <w:sz w:val="18"/>
                <w:szCs w:val="18"/>
                <w:highlight w:val="none"/>
                <w:shd w:val="clear" w:color="auto" w:fill="FFFFFF"/>
              </w:rPr>
              <w:t>商务和技术得分较高的投标人优先。</w:t>
            </w:r>
          </w:p>
        </w:tc>
      </w:tr>
      <w:tr w14:paraId="546C58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94" w:type="pct"/>
            <w:tcBorders>
              <w:top w:val="nil"/>
              <w:left w:val="single" w:color="auto" w:sz="12" w:space="0"/>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2E6FF9A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2.1.1</w:t>
            </w:r>
          </w:p>
          <w:p w14:paraId="2D63057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2.1.3</w:t>
            </w:r>
          </w:p>
        </w:tc>
        <w:tc>
          <w:tcPr>
            <w:tcW w:w="718"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6E8F4C8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形式评审与 响应性评审 标准</w:t>
            </w:r>
          </w:p>
        </w:tc>
        <w:tc>
          <w:tcPr>
            <w:tcW w:w="3687" w:type="pct"/>
            <w:tcBorders>
              <w:top w:val="nil"/>
              <w:left w:val="nil"/>
              <w:bottom w:val="single" w:color="auto" w:sz="8" w:space="0"/>
              <w:right w:val="single" w:color="auto" w:sz="12" w:space="0"/>
            </w:tcBorders>
            <w:shd w:val="clear" w:color="auto" w:fill="FFFFFF"/>
            <w:noWrap w:val="0"/>
            <w:tcMar>
              <w:top w:w="57" w:type="dxa"/>
              <w:left w:w="57" w:type="dxa"/>
              <w:bottom w:w="57" w:type="dxa"/>
              <w:right w:w="57" w:type="dxa"/>
            </w:tcMar>
            <w:vAlign w:val="center"/>
          </w:tcPr>
          <w:p w14:paraId="364649C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2"/>
              <w:jc w:val="both"/>
              <w:rPr>
                <w:color w:val="000000"/>
                <w:sz w:val="18"/>
                <w:szCs w:val="18"/>
                <w:highlight w:val="none"/>
              </w:rPr>
            </w:pPr>
            <w:r>
              <w:rPr>
                <w:rFonts w:hint="eastAsia" w:ascii="宋体" w:hAnsi="宋体" w:eastAsia="宋体" w:cs="宋体"/>
                <w:b/>
                <w:bCs/>
                <w:i w:val="0"/>
                <w:iCs w:val="0"/>
                <w:caps w:val="0"/>
                <w:color w:val="000000"/>
                <w:spacing w:val="0"/>
                <w:sz w:val="18"/>
                <w:szCs w:val="18"/>
                <w:highlight w:val="none"/>
                <w:shd w:val="clear" w:color="auto" w:fill="FFFFFF"/>
              </w:rPr>
              <w:t>第一个信封（商务及技术文件）评审标准：</w:t>
            </w:r>
          </w:p>
          <w:p w14:paraId="2EDBBE4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（1）投标文件按照招标文件规定的格式、内容填写，字迹清晰可辨：</w:t>
            </w:r>
          </w:p>
          <w:p w14:paraId="19C7735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a．投标函按招标文件规定填报了项目名称、标段号、补遗书编号（如有)、勘察设计服务期限、质量要求及安全目标；</w:t>
            </w:r>
          </w:p>
          <w:p w14:paraId="0213D84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b．承诺函内容与招标文件规定一致，未进行修改和删减；</w:t>
            </w:r>
          </w:p>
          <w:p w14:paraId="53697DA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c.投标文件组成齐全完整，内容均按规定填写。</w:t>
            </w:r>
          </w:p>
          <w:p w14:paraId="559A271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（2）投标文件上法定代表人或其委托代理人的签字、投标人的单位章盖章齐全，符合招标文件规定。</w:t>
            </w:r>
          </w:p>
          <w:p w14:paraId="4C28D52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（3）投标人按照招标文件的规定提供了投标保证金：</w:t>
            </w:r>
          </w:p>
          <w:p w14:paraId="0C72FEE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9" w:lineRule="atLeast"/>
              <w:ind w:left="0" w:right="0" w:firstLine="424"/>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a.投标保证金金额符合招标文件规定的金额，且投标保证金有效期不少于投标有效期；</w:t>
            </w:r>
          </w:p>
          <w:p w14:paraId="41CD984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b.若投标保证金采用电汇形式提交，投标人应在投标保证金递交截止时间之前，将投标保证金由投标人的基本账户转入黑龙江省公共资源交易电子平台指定账户；</w:t>
            </w:r>
          </w:p>
          <w:p w14:paraId="7452F07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c</w:t>
            </w:r>
            <w:r>
              <w:rPr>
                <w:rFonts w:hint="eastAsia" w:ascii="宋体" w:hAnsi="宋体" w:eastAsia="宋体" w:cs="宋体"/>
                <w:i w:val="0"/>
                <w:iCs w:val="0"/>
                <w:caps w:val="0"/>
                <w:color w:val="000000"/>
                <w:spacing w:val="0"/>
                <w:sz w:val="18"/>
                <w:szCs w:val="18"/>
                <w:highlight w:val="none"/>
              </w:rPr>
              <w:t>.</w:t>
            </w:r>
            <w:r>
              <w:rPr>
                <w:rFonts w:hint="eastAsia" w:ascii="宋体" w:hAnsi="宋体" w:eastAsia="宋体" w:cs="宋体"/>
                <w:i w:val="0"/>
                <w:iCs w:val="0"/>
                <w:caps w:val="0"/>
                <w:color w:val="000000"/>
                <w:spacing w:val="0"/>
                <w:sz w:val="18"/>
                <w:szCs w:val="18"/>
                <w:highlight w:val="none"/>
                <w:shd w:val="clear" w:color="auto" w:fill="FFFFFF"/>
              </w:rPr>
              <w:t>采用电子保函方式提交，须满足黑龙江省公共资源交易中心的相关规定。</w:t>
            </w:r>
          </w:p>
          <w:p w14:paraId="571EB14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（4）投标人法定代表人授权委托代理人签署投标文件的，须提交授权委托书，且授权人和被授权人均在授权委托书上签名，按照招标文件第六章投标文件格式的要求进行签字或电子签章。</w:t>
            </w:r>
          </w:p>
          <w:p w14:paraId="1F166F9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（5）投标人法定代表人亲自签署投标文件的，提供了法定代表人身份证明，且法定代表人在法定代表人身份证明上签名，按照招标文件第六章投标文件格式的要求进行签字或电子签章。</w:t>
            </w:r>
          </w:p>
          <w:p w14:paraId="22670B1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（6）同一投标人未提交两个以上不同的投标文件。</w:t>
            </w:r>
          </w:p>
          <w:p w14:paraId="73134A9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（7）投标文件中未出现有关投标报价的内容。</w:t>
            </w:r>
          </w:p>
          <w:p w14:paraId="4947C0D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（8）投标文件载明的招标项目完成期限未超过招标文件规定的时限。</w:t>
            </w:r>
          </w:p>
          <w:p w14:paraId="66369A2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（9）投标文件对招标文件的实质性要求和条件作出响应。</w:t>
            </w:r>
          </w:p>
          <w:p w14:paraId="659AEA1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（10）权利义务符合招标文件规定：</w:t>
            </w:r>
          </w:p>
          <w:p w14:paraId="0A114FD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a.投标人应接受招标文件规定的风险划分原则，未提出新的风险划分办法；</w:t>
            </w:r>
          </w:p>
          <w:p w14:paraId="5E43641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b.投标人未增加发包人的责任范围，或减少投标人义务；</w:t>
            </w:r>
          </w:p>
          <w:p w14:paraId="7367484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c.投标人未提出不同的支付办法；</w:t>
            </w:r>
          </w:p>
          <w:p w14:paraId="73D8439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d.投标人对合同纠纷、事故处理办法未提出异议；</w:t>
            </w:r>
          </w:p>
          <w:p w14:paraId="76C1A00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e.投标人在投标活动中无欺诈行为；</w:t>
            </w:r>
          </w:p>
          <w:p w14:paraId="6953236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f.投标人未对合同条款有重要保留。</w:t>
            </w:r>
          </w:p>
          <w:p w14:paraId="62CADC4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（11）不存在违反法律、法规的其他情形。</w:t>
            </w:r>
          </w:p>
        </w:tc>
      </w:tr>
      <w:tr w14:paraId="45A801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94" w:type="pct"/>
            <w:tcBorders>
              <w:top w:val="nil"/>
              <w:left w:val="single" w:color="auto" w:sz="12" w:space="0"/>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25E086F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2.1.1</w:t>
            </w:r>
          </w:p>
          <w:p w14:paraId="7003FB3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2.1.3</w:t>
            </w:r>
          </w:p>
        </w:tc>
        <w:tc>
          <w:tcPr>
            <w:tcW w:w="718"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363E0DA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形式评审与 响应性评审 标准</w:t>
            </w:r>
          </w:p>
        </w:tc>
        <w:tc>
          <w:tcPr>
            <w:tcW w:w="3687" w:type="pct"/>
            <w:tcBorders>
              <w:top w:val="nil"/>
              <w:left w:val="nil"/>
              <w:bottom w:val="single" w:color="auto" w:sz="8" w:space="0"/>
              <w:right w:val="single" w:color="auto" w:sz="12" w:space="0"/>
            </w:tcBorders>
            <w:shd w:val="clear" w:color="auto" w:fill="FFFFFF"/>
            <w:noWrap w:val="0"/>
            <w:tcMar>
              <w:top w:w="57" w:type="dxa"/>
              <w:left w:w="57" w:type="dxa"/>
              <w:bottom w:w="57" w:type="dxa"/>
              <w:right w:w="57" w:type="dxa"/>
            </w:tcMar>
            <w:vAlign w:val="center"/>
          </w:tcPr>
          <w:p w14:paraId="27A5F57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2"/>
              <w:jc w:val="both"/>
              <w:rPr>
                <w:color w:val="000000"/>
                <w:sz w:val="18"/>
                <w:szCs w:val="18"/>
                <w:highlight w:val="none"/>
              </w:rPr>
            </w:pPr>
            <w:r>
              <w:rPr>
                <w:rFonts w:hint="eastAsia" w:ascii="宋体" w:hAnsi="宋体" w:eastAsia="宋体" w:cs="宋体"/>
                <w:b/>
                <w:bCs/>
                <w:i w:val="0"/>
                <w:iCs w:val="0"/>
                <w:caps w:val="0"/>
                <w:color w:val="000000"/>
                <w:spacing w:val="0"/>
                <w:sz w:val="18"/>
                <w:szCs w:val="18"/>
                <w:highlight w:val="none"/>
                <w:shd w:val="clear" w:color="auto" w:fill="FFFFFF"/>
              </w:rPr>
              <w:t>第二个信封（报价文件）评审标准：</w:t>
            </w:r>
          </w:p>
          <w:p w14:paraId="080F210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（1）投标文件按照招标文件规定的格式、内容填写，字迹清晰可辨，内容齐全完整：</w:t>
            </w:r>
          </w:p>
          <w:p w14:paraId="4A2A740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a.投标函按招标文件规定填报了项目名称、标段号、补遗书编号（如有)、投标价（包括大写金额和小写金额)；</w:t>
            </w:r>
          </w:p>
          <w:p w14:paraId="69D363E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b.已标价报价清单说明文字与招标文件规定一致，未进行实质性修改和删减；</w:t>
            </w:r>
          </w:p>
          <w:p w14:paraId="5692DA8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c.投标文件组成齐全完整，内容均按规定填写。</w:t>
            </w:r>
          </w:p>
          <w:p w14:paraId="26C0605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（2）投标文件上法定代表人或其委托代理人的签字、投标人的单位章盖章齐全，符合招标文件规定。</w:t>
            </w:r>
          </w:p>
          <w:p w14:paraId="2ABB075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（3）投标报价未超过招标文件设定的最高投标限价。</w:t>
            </w:r>
          </w:p>
          <w:p w14:paraId="2433021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（4）投标报价的大写金额能够确定具体数值。</w:t>
            </w:r>
          </w:p>
          <w:p w14:paraId="58F6627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（5）同一投标人未提交两个以上不同的投标报价。</w:t>
            </w:r>
          </w:p>
          <w:p w14:paraId="2BE576C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4"/>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（6）不存在违反法律、法规的其他情形。</w:t>
            </w:r>
          </w:p>
        </w:tc>
      </w:tr>
      <w:tr w14:paraId="3A09F7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9" w:hRule="atLeast"/>
        </w:trPr>
        <w:tc>
          <w:tcPr>
            <w:tcW w:w="594" w:type="pct"/>
            <w:tcBorders>
              <w:top w:val="nil"/>
              <w:left w:val="single" w:color="auto" w:sz="12" w:space="0"/>
              <w:bottom w:val="single" w:color="auto" w:sz="12" w:space="0"/>
              <w:right w:val="single" w:color="auto" w:sz="8" w:space="0"/>
            </w:tcBorders>
            <w:shd w:val="clear" w:color="auto" w:fill="FFFFFF"/>
            <w:noWrap w:val="0"/>
            <w:tcMar>
              <w:top w:w="57" w:type="dxa"/>
              <w:left w:w="57" w:type="dxa"/>
              <w:bottom w:w="57" w:type="dxa"/>
              <w:right w:w="57" w:type="dxa"/>
            </w:tcMar>
            <w:vAlign w:val="center"/>
          </w:tcPr>
          <w:p w14:paraId="335E7AF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2.1.2</w:t>
            </w:r>
          </w:p>
        </w:tc>
        <w:tc>
          <w:tcPr>
            <w:tcW w:w="718" w:type="pct"/>
            <w:tcBorders>
              <w:top w:val="nil"/>
              <w:left w:val="nil"/>
              <w:bottom w:val="single" w:color="auto" w:sz="12" w:space="0"/>
              <w:right w:val="single" w:color="auto" w:sz="8" w:space="0"/>
            </w:tcBorders>
            <w:shd w:val="clear" w:color="auto" w:fill="FFFFFF"/>
            <w:noWrap w:val="0"/>
            <w:tcMar>
              <w:top w:w="57" w:type="dxa"/>
              <w:left w:w="57" w:type="dxa"/>
              <w:bottom w:w="57" w:type="dxa"/>
              <w:right w:w="57" w:type="dxa"/>
            </w:tcMar>
            <w:vAlign w:val="center"/>
          </w:tcPr>
          <w:p w14:paraId="2406EE3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资格评审标 准</w:t>
            </w:r>
          </w:p>
        </w:tc>
        <w:tc>
          <w:tcPr>
            <w:tcW w:w="3687" w:type="pct"/>
            <w:tcBorders>
              <w:top w:val="nil"/>
              <w:left w:val="nil"/>
              <w:bottom w:val="single" w:color="auto" w:sz="12" w:space="0"/>
              <w:right w:val="single" w:color="auto" w:sz="12" w:space="0"/>
            </w:tcBorders>
            <w:shd w:val="clear" w:color="auto" w:fill="FFFFFF"/>
            <w:noWrap w:val="0"/>
            <w:tcMar>
              <w:top w:w="57" w:type="dxa"/>
              <w:left w:w="57" w:type="dxa"/>
              <w:bottom w:w="57" w:type="dxa"/>
              <w:right w:w="57" w:type="dxa"/>
            </w:tcMar>
            <w:vAlign w:val="center"/>
          </w:tcPr>
          <w:p w14:paraId="448403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（1）投标人具备有效的营业执照、组织机构代码证</w:t>
            </w:r>
            <w:r>
              <w:rPr>
                <w:rFonts w:hint="eastAsia" w:ascii="宋体" w:hAnsi="宋体" w:eastAsia="宋体" w:cs="宋体"/>
                <w:i w:val="0"/>
                <w:iCs w:val="0"/>
                <w:caps w:val="0"/>
                <w:color w:val="000000"/>
                <w:spacing w:val="0"/>
                <w:sz w:val="18"/>
                <w:szCs w:val="18"/>
                <w:highlight w:val="none"/>
              </w:rPr>
              <w:t>（按照三证合一、五证合一登记制度进行登记的，可仅提供营业执照）</w:t>
            </w:r>
            <w:r>
              <w:rPr>
                <w:rFonts w:hint="eastAsia" w:ascii="宋体" w:hAnsi="宋体" w:eastAsia="宋体" w:cs="宋体"/>
                <w:i w:val="0"/>
                <w:iCs w:val="0"/>
                <w:caps w:val="0"/>
                <w:color w:val="000000"/>
                <w:spacing w:val="0"/>
                <w:sz w:val="18"/>
                <w:szCs w:val="18"/>
                <w:highlight w:val="none"/>
                <w:shd w:val="clear" w:color="auto" w:fill="FFFFFF"/>
              </w:rPr>
              <w:t>、勘察资质证书、设计资质证书和基本账户开户许可证</w:t>
            </w:r>
            <w:r>
              <w:rPr>
                <w:rFonts w:hint="eastAsia" w:ascii="宋体" w:hAnsi="宋体" w:eastAsia="宋体" w:cs="宋体"/>
                <w:b/>
                <w:bCs/>
                <w:i w:val="0"/>
                <w:iCs w:val="0"/>
                <w:caps w:val="0"/>
                <w:color w:val="000000"/>
                <w:spacing w:val="0"/>
                <w:sz w:val="18"/>
                <w:szCs w:val="18"/>
                <w:highlight w:val="none"/>
                <w:shd w:val="clear" w:color="auto" w:fill="FFFFFF"/>
              </w:rPr>
              <w:t>（或经基本账户开户银行出具的基本账户信息证明）</w:t>
            </w:r>
            <w:r>
              <w:rPr>
                <w:rFonts w:hint="eastAsia" w:ascii="宋体" w:hAnsi="宋体" w:eastAsia="宋体" w:cs="宋体"/>
                <w:i w:val="0"/>
                <w:iCs w:val="0"/>
                <w:caps w:val="0"/>
                <w:color w:val="000000"/>
                <w:spacing w:val="0"/>
                <w:sz w:val="18"/>
                <w:szCs w:val="18"/>
                <w:highlight w:val="none"/>
                <w:shd w:val="clear" w:color="auto" w:fill="FFFFFF"/>
              </w:rPr>
              <w:t>。</w:t>
            </w:r>
          </w:p>
          <w:p w14:paraId="53F4B62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（2）投标人的资质等级符合招标文件规定。</w:t>
            </w:r>
          </w:p>
          <w:p w14:paraId="405C4B8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（3）投标人的类似项目业绩符合招标文件规定。</w:t>
            </w:r>
          </w:p>
          <w:p w14:paraId="36F280F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（4）投标人的信誉符合招标文件规定。</w:t>
            </w:r>
          </w:p>
          <w:p w14:paraId="10C49D2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（5）投标人的项目负责人资格符合招标文件规定。</w:t>
            </w:r>
          </w:p>
          <w:p w14:paraId="6E13660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（6）投标人的其他要求符合招标文件规定。</w:t>
            </w:r>
          </w:p>
          <w:p w14:paraId="4596530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21" w:firstLine="42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（7）投标人不存在第二章“投标人须知”第1.4.3项或第1.4.4项规定的任何一种情形。</w:t>
            </w:r>
          </w:p>
          <w:p w14:paraId="6D7876B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21"/>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    </w:t>
            </w:r>
            <w:r>
              <w:rPr>
                <w:rFonts w:hint="eastAsia" w:ascii="宋体" w:hAnsi="宋体" w:eastAsia="宋体" w:cs="宋体"/>
                <w:b/>
                <w:bCs/>
                <w:i w:val="0"/>
                <w:iCs w:val="0"/>
                <w:caps w:val="0"/>
                <w:color w:val="000000"/>
                <w:spacing w:val="0"/>
                <w:sz w:val="18"/>
                <w:szCs w:val="18"/>
                <w:highlight w:val="none"/>
              </w:rPr>
              <w:t>1.4.3投标人不得与本标段相关单位存在下列关联情形：</w:t>
            </w:r>
          </w:p>
          <w:p w14:paraId="14392AB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①为招标人不具有独立法人资格的附属机构（单位）；</w:t>
            </w:r>
          </w:p>
          <w:p w14:paraId="7514C8F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②与招标人存在利害关系且可能影响招标公正性；</w:t>
            </w:r>
          </w:p>
          <w:p w14:paraId="7A6E50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③与本标段的其他投标人同为一个单位负责人；</w:t>
            </w:r>
          </w:p>
          <w:p w14:paraId="7A09F17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④与本标段的其他投标人存在控股、管理关系；</w:t>
            </w:r>
          </w:p>
          <w:p w14:paraId="256256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⑤为本标段的代建人；</w:t>
            </w:r>
          </w:p>
          <w:p w14:paraId="49E281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⑥为本标段的招标代理机构；</w:t>
            </w:r>
          </w:p>
          <w:p w14:paraId="57C213C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⑦与本标段的代建人或招标代理机构同为一个法定代表人；</w:t>
            </w:r>
          </w:p>
          <w:p w14:paraId="234CF86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⑧与本标段的代建人或招标代理机构存在控股或参股关系；</w:t>
            </w:r>
          </w:p>
          <w:p w14:paraId="6537923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⑨法律法规或投标人须知前附表规定的其他情形。</w:t>
            </w:r>
          </w:p>
          <w:p w14:paraId="46FF874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21"/>
              <w:jc w:val="left"/>
              <w:rPr>
                <w:color w:val="000000"/>
                <w:sz w:val="18"/>
                <w:szCs w:val="18"/>
                <w:highlight w:val="none"/>
              </w:rPr>
            </w:pPr>
            <w:r>
              <w:rPr>
                <w:rFonts w:hint="eastAsia" w:ascii="宋体" w:hAnsi="宋体" w:eastAsia="宋体" w:cs="宋体"/>
                <w:b/>
                <w:bCs/>
                <w:i w:val="0"/>
                <w:iCs w:val="0"/>
                <w:caps w:val="0"/>
                <w:color w:val="000000"/>
                <w:spacing w:val="0"/>
                <w:sz w:val="18"/>
                <w:szCs w:val="18"/>
                <w:highlight w:val="none"/>
              </w:rPr>
              <w:t>    1.4.4 投标人不得存在下列不良状况或不良信用记录：</w:t>
            </w:r>
          </w:p>
          <w:p w14:paraId="0A2EE47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①被省级及以上交通运输主管部门取消招标项目所在地的投标资格且处于有效期内；</w:t>
            </w:r>
          </w:p>
          <w:p w14:paraId="09837E6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②被责令停业，暂扣或吊销执照，或吊销资质证书；</w:t>
            </w:r>
          </w:p>
          <w:p w14:paraId="7B173EF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③进入清算程序，或被宣告破产，或其他丧失履约能力的情形；</w:t>
            </w:r>
          </w:p>
          <w:p w14:paraId="27F34AA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④在国家企业信用信息公示系统（http://www.gsxt.gov.cn/）中被列入严重违法失信企业名单（仅需企业单位提供）；</w:t>
            </w:r>
          </w:p>
          <w:p w14:paraId="3ED6E4C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⑤在“信用中国”网（http://www.creditchina.gov.cn）中被列入失信被执行人名单；</w:t>
            </w:r>
          </w:p>
          <w:p w14:paraId="4DFA4E5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⑥投标人或其法定代表人、拟委任的项目负责人在近三年内有行贿犯罪行为的（行贿犯罪行为的认定以投标人提供的在中国裁判文书（http://wenshu.court.gov.cn/）网站上无行贿犯罪查询记录为准）；</w:t>
            </w:r>
          </w:p>
          <w:p w14:paraId="4A81A68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⑦法律法规或投标人须知前附表规定的其他情形。</w:t>
            </w:r>
          </w:p>
          <w:p w14:paraId="7AFC835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w:t>
            </w:r>
            <w:r>
              <w:rPr>
                <w:rFonts w:hint="eastAsia" w:ascii="宋体" w:hAnsi="宋体" w:eastAsia="宋体" w:cs="宋体"/>
                <w:i w:val="0"/>
                <w:iCs w:val="0"/>
                <w:caps w:val="0"/>
                <w:color w:val="000000"/>
                <w:spacing w:val="0"/>
                <w:sz w:val="18"/>
                <w:szCs w:val="18"/>
                <w:highlight w:val="none"/>
                <w:lang w:val="en-US" w:eastAsia="zh-CN"/>
              </w:rPr>
              <w:t>1</w:t>
            </w:r>
            <w:r>
              <w:rPr>
                <w:rFonts w:hint="eastAsia" w:ascii="宋体" w:hAnsi="宋体" w:eastAsia="宋体" w:cs="宋体"/>
                <w:i w:val="0"/>
                <w:iCs w:val="0"/>
                <w:caps w:val="0"/>
                <w:color w:val="000000"/>
                <w:spacing w:val="0"/>
                <w:sz w:val="18"/>
                <w:szCs w:val="18"/>
                <w:highlight w:val="none"/>
              </w:rPr>
              <w:t>）投标人在近三年中不得在合同中违约、被驱逐出现场、亦不曾因任何原因而被废除合同。</w:t>
            </w:r>
          </w:p>
          <w:p w14:paraId="3DBA4A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w:t>
            </w:r>
            <w:r>
              <w:rPr>
                <w:rFonts w:hint="eastAsia" w:ascii="宋体" w:hAnsi="宋体" w:eastAsia="宋体" w:cs="宋体"/>
                <w:i w:val="0"/>
                <w:iCs w:val="0"/>
                <w:caps w:val="0"/>
                <w:color w:val="000000"/>
                <w:spacing w:val="0"/>
                <w:sz w:val="18"/>
                <w:szCs w:val="18"/>
                <w:highlight w:val="none"/>
                <w:lang w:val="en-US" w:eastAsia="zh-CN"/>
              </w:rPr>
              <w:t>2</w:t>
            </w:r>
            <w:r>
              <w:rPr>
                <w:rFonts w:hint="eastAsia" w:ascii="宋体" w:hAnsi="宋体" w:eastAsia="宋体" w:cs="宋体"/>
                <w:i w:val="0"/>
                <w:iCs w:val="0"/>
                <w:caps w:val="0"/>
                <w:color w:val="000000"/>
                <w:spacing w:val="0"/>
                <w:sz w:val="18"/>
                <w:szCs w:val="18"/>
                <w:highlight w:val="none"/>
              </w:rPr>
              <w:t>）投标人在近三年中不得有重大质量、安全事故被有关部门处罚。</w:t>
            </w:r>
          </w:p>
          <w:p w14:paraId="0277827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w:t>
            </w:r>
            <w:r>
              <w:rPr>
                <w:rFonts w:hint="eastAsia" w:ascii="宋体" w:hAnsi="宋体" w:eastAsia="宋体" w:cs="宋体"/>
                <w:i w:val="0"/>
                <w:iCs w:val="0"/>
                <w:caps w:val="0"/>
                <w:color w:val="000000"/>
                <w:spacing w:val="0"/>
                <w:sz w:val="18"/>
                <w:szCs w:val="18"/>
                <w:highlight w:val="none"/>
                <w:lang w:val="en-US" w:eastAsia="zh-CN"/>
              </w:rPr>
              <w:t>3</w:t>
            </w:r>
            <w:r>
              <w:rPr>
                <w:rFonts w:hint="eastAsia" w:ascii="宋体" w:hAnsi="宋体" w:eastAsia="宋体" w:cs="宋体"/>
                <w:i w:val="0"/>
                <w:iCs w:val="0"/>
                <w:caps w:val="0"/>
                <w:color w:val="000000"/>
                <w:spacing w:val="0"/>
                <w:sz w:val="18"/>
                <w:szCs w:val="18"/>
                <w:highlight w:val="none"/>
              </w:rPr>
              <w:t>）投标人在近三年中不得拖欠农民工工资情况。</w:t>
            </w:r>
          </w:p>
          <w:p w14:paraId="212651E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lang w:val="en-US" w:eastAsia="zh-CN"/>
              </w:rPr>
              <w:t>（4）本次招标不接受黑龙江省交通运输厅2023年度或交通运输部2023年度公路设计企业信用评价中认定为D级信用评价等级的投标人提出投标申请。</w:t>
            </w:r>
          </w:p>
        </w:tc>
      </w:tr>
    </w:tbl>
    <w:p w14:paraId="1122AEBD">
      <w:pPr>
        <w:rPr>
          <w:rFonts w:hint="eastAsia"/>
          <w:color w:val="000000"/>
          <w:sz w:val="18"/>
          <w:szCs w:val="18"/>
          <w:highlight w:val="none"/>
        </w:rPr>
      </w:pPr>
    </w:p>
    <w:p w14:paraId="6BD5AB27">
      <w:pPr>
        <w:rPr>
          <w:rFonts w:hint="eastAsia"/>
          <w:color w:val="000000"/>
          <w:sz w:val="18"/>
          <w:szCs w:val="18"/>
          <w:highlight w:val="none"/>
        </w:rPr>
      </w:pPr>
      <w:r>
        <w:rPr>
          <w:rFonts w:hint="eastAsia"/>
          <w:color w:val="000000"/>
          <w:sz w:val="18"/>
          <w:szCs w:val="18"/>
          <w:highlight w:val="none"/>
        </w:rPr>
        <w:br w:type="page"/>
      </w:r>
    </w:p>
    <w:tbl>
      <w:tblPr>
        <w:tblStyle w:val="14"/>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47"/>
        <w:gridCol w:w="1216"/>
        <w:gridCol w:w="6171"/>
      </w:tblGrid>
      <w:tr w14:paraId="2B15CD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68" w:type="pct"/>
            <w:tcBorders>
              <w:top w:val="single" w:color="auto" w:sz="12" w:space="0"/>
              <w:left w:val="single" w:color="auto" w:sz="12" w:space="0"/>
              <w:bottom w:val="single" w:color="auto" w:sz="8" w:space="0"/>
              <w:right w:val="single" w:color="auto" w:sz="8" w:space="0"/>
            </w:tcBorders>
            <w:shd w:val="clear" w:color="auto" w:fill="FFFFFF"/>
            <w:noWrap w:val="0"/>
            <w:tcMar>
              <w:left w:w="10" w:type="dxa"/>
              <w:right w:w="10" w:type="dxa"/>
            </w:tcMar>
            <w:vAlign w:val="center"/>
          </w:tcPr>
          <w:p w14:paraId="54ACF5A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bCs/>
                <w:i w:val="0"/>
                <w:iCs w:val="0"/>
                <w:caps w:val="0"/>
                <w:color w:val="000000"/>
                <w:spacing w:val="0"/>
                <w:sz w:val="18"/>
                <w:szCs w:val="18"/>
                <w:highlight w:val="none"/>
              </w:rPr>
              <w:t>条款号</w:t>
            </w:r>
          </w:p>
        </w:tc>
        <w:tc>
          <w:tcPr>
            <w:tcW w:w="729" w:type="pct"/>
            <w:tcBorders>
              <w:top w:val="single" w:color="auto" w:sz="12" w:space="0"/>
              <w:left w:val="nil"/>
              <w:bottom w:val="single" w:color="auto" w:sz="8" w:space="0"/>
              <w:right w:val="single" w:color="auto" w:sz="8" w:space="0"/>
            </w:tcBorders>
            <w:shd w:val="clear" w:color="auto" w:fill="FFFFFF"/>
            <w:noWrap w:val="0"/>
            <w:tcMar>
              <w:left w:w="10" w:type="dxa"/>
              <w:right w:w="10" w:type="dxa"/>
            </w:tcMar>
            <w:vAlign w:val="center"/>
          </w:tcPr>
          <w:p w14:paraId="1C6772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bCs/>
                <w:i w:val="0"/>
                <w:iCs w:val="0"/>
                <w:caps w:val="0"/>
                <w:color w:val="000000"/>
                <w:spacing w:val="0"/>
                <w:sz w:val="18"/>
                <w:szCs w:val="18"/>
                <w:highlight w:val="none"/>
              </w:rPr>
              <w:t>条款内容</w:t>
            </w:r>
          </w:p>
        </w:tc>
        <w:tc>
          <w:tcPr>
            <w:tcW w:w="3701" w:type="pct"/>
            <w:tcBorders>
              <w:top w:val="single" w:color="auto" w:sz="12" w:space="0"/>
              <w:left w:val="nil"/>
              <w:bottom w:val="single" w:color="auto" w:sz="8" w:space="0"/>
              <w:right w:val="single" w:color="auto" w:sz="12" w:space="0"/>
            </w:tcBorders>
            <w:shd w:val="clear" w:color="auto" w:fill="FFFFFF"/>
            <w:noWrap w:val="0"/>
            <w:tcMar>
              <w:left w:w="10" w:type="dxa"/>
              <w:right w:w="10" w:type="dxa"/>
            </w:tcMar>
            <w:vAlign w:val="center"/>
          </w:tcPr>
          <w:p w14:paraId="359AC89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bCs/>
                <w:i w:val="0"/>
                <w:iCs w:val="0"/>
                <w:caps w:val="0"/>
                <w:color w:val="000000"/>
                <w:spacing w:val="0"/>
                <w:sz w:val="18"/>
                <w:szCs w:val="18"/>
                <w:highlight w:val="none"/>
              </w:rPr>
              <w:t>编列内容</w:t>
            </w:r>
          </w:p>
        </w:tc>
      </w:tr>
      <w:tr w14:paraId="215D14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8" w:type="pct"/>
            <w:tcBorders>
              <w:top w:val="nil"/>
              <w:left w:val="single" w:color="auto" w:sz="12" w:space="0"/>
              <w:bottom w:val="single" w:color="auto" w:sz="8" w:space="0"/>
              <w:right w:val="single" w:color="auto" w:sz="8" w:space="0"/>
            </w:tcBorders>
            <w:shd w:val="clear" w:color="auto" w:fill="FFFFFF"/>
            <w:noWrap w:val="0"/>
            <w:tcMar>
              <w:left w:w="10" w:type="dxa"/>
              <w:right w:w="10" w:type="dxa"/>
            </w:tcMar>
            <w:vAlign w:val="center"/>
          </w:tcPr>
          <w:p w14:paraId="0B5638F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val="0"/>
                <w:bCs w:val="0"/>
                <w:i w:val="0"/>
                <w:iCs w:val="0"/>
                <w:caps w:val="0"/>
                <w:color w:val="000000"/>
                <w:spacing w:val="0"/>
                <w:sz w:val="18"/>
                <w:szCs w:val="18"/>
                <w:highlight w:val="none"/>
                <w:shd w:val="clear" w:color="auto" w:fill="FFFFFF"/>
              </w:rPr>
              <w:t>2.2.1</w:t>
            </w:r>
          </w:p>
        </w:tc>
        <w:tc>
          <w:tcPr>
            <w:tcW w:w="729" w:type="pct"/>
            <w:tcBorders>
              <w:top w:val="nil"/>
              <w:left w:val="nil"/>
              <w:bottom w:val="single" w:color="auto" w:sz="8" w:space="0"/>
              <w:right w:val="single" w:color="auto" w:sz="8" w:space="0"/>
            </w:tcBorders>
            <w:shd w:val="clear" w:color="auto" w:fill="FFFFFF"/>
            <w:noWrap w:val="0"/>
            <w:tcMar>
              <w:left w:w="10" w:type="dxa"/>
              <w:right w:w="10" w:type="dxa"/>
            </w:tcMar>
            <w:vAlign w:val="center"/>
          </w:tcPr>
          <w:p w14:paraId="091E2B0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分值构成</w:t>
            </w:r>
          </w:p>
          <w:p w14:paraId="4FA2B33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(总分100分）</w:t>
            </w:r>
          </w:p>
        </w:tc>
        <w:tc>
          <w:tcPr>
            <w:tcW w:w="3701" w:type="pct"/>
            <w:tcBorders>
              <w:top w:val="nil"/>
              <w:left w:val="nil"/>
              <w:bottom w:val="single" w:color="auto" w:sz="8" w:space="0"/>
              <w:right w:val="single" w:color="auto" w:sz="12" w:space="0"/>
            </w:tcBorders>
            <w:shd w:val="clear" w:color="auto" w:fill="FFFFFF"/>
            <w:noWrap w:val="0"/>
            <w:tcMar>
              <w:left w:w="10" w:type="dxa"/>
              <w:right w:w="10" w:type="dxa"/>
            </w:tcMar>
            <w:vAlign w:val="center"/>
          </w:tcPr>
          <w:p w14:paraId="3243C6A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2"/>
              <w:jc w:val="both"/>
              <w:rPr>
                <w:color w:val="000000"/>
                <w:sz w:val="18"/>
                <w:szCs w:val="18"/>
                <w:highlight w:val="none"/>
              </w:rPr>
            </w:pPr>
            <w:r>
              <w:rPr>
                <w:rFonts w:hint="eastAsia" w:ascii="宋体" w:hAnsi="宋体" w:eastAsia="宋体" w:cs="宋体"/>
                <w:b/>
                <w:bCs/>
                <w:i w:val="0"/>
                <w:iCs w:val="0"/>
                <w:caps w:val="0"/>
                <w:color w:val="000000"/>
                <w:spacing w:val="0"/>
                <w:sz w:val="18"/>
                <w:szCs w:val="18"/>
                <w:highlight w:val="none"/>
              </w:rPr>
              <w:t>第一个信封（商务及技术文件）评分分值构成：</w:t>
            </w:r>
          </w:p>
          <w:p w14:paraId="06132B4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技术建议书：</w:t>
            </w:r>
            <w:r>
              <w:rPr>
                <w:rFonts w:hint="eastAsia" w:ascii="宋体" w:hAnsi="宋体" w:eastAsia="宋体" w:cs="宋体"/>
                <w:i w:val="0"/>
                <w:iCs w:val="0"/>
                <w:caps w:val="0"/>
                <w:color w:val="000000"/>
                <w:spacing w:val="0"/>
                <w:sz w:val="18"/>
                <w:szCs w:val="18"/>
                <w:highlight w:val="none"/>
                <w:u w:val="single"/>
                <w:shd w:val="clear" w:color="auto" w:fill="FFFFFF"/>
              </w:rPr>
              <w:t>4</w:t>
            </w:r>
            <w:r>
              <w:rPr>
                <w:rFonts w:hint="eastAsia" w:ascii="宋体" w:hAnsi="宋体" w:eastAsia="宋体" w:cs="宋体"/>
                <w:i w:val="0"/>
                <w:iCs w:val="0"/>
                <w:caps w:val="0"/>
                <w:color w:val="000000"/>
                <w:spacing w:val="0"/>
                <w:sz w:val="18"/>
                <w:szCs w:val="18"/>
                <w:highlight w:val="none"/>
                <w:u w:val="single"/>
                <w:shd w:val="clear" w:color="auto" w:fill="FFFFFF"/>
                <w:lang w:val="en-US" w:eastAsia="zh-CN"/>
              </w:rPr>
              <w:t>0</w:t>
            </w:r>
            <w:r>
              <w:rPr>
                <w:rFonts w:hint="eastAsia" w:ascii="宋体" w:hAnsi="宋体" w:eastAsia="宋体" w:cs="宋体"/>
                <w:i w:val="0"/>
                <w:iCs w:val="0"/>
                <w:caps w:val="0"/>
                <w:color w:val="000000"/>
                <w:spacing w:val="0"/>
                <w:sz w:val="18"/>
                <w:szCs w:val="18"/>
                <w:highlight w:val="none"/>
                <w:shd w:val="clear" w:color="auto" w:fill="FFFFFF"/>
              </w:rPr>
              <w:t>分</w:t>
            </w:r>
          </w:p>
          <w:p w14:paraId="425EA0B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主要人员：</w:t>
            </w:r>
            <w:r>
              <w:rPr>
                <w:rFonts w:hint="eastAsia" w:ascii="宋体" w:hAnsi="宋体" w:eastAsia="宋体" w:cs="宋体"/>
                <w:i w:val="0"/>
                <w:iCs w:val="0"/>
                <w:caps w:val="0"/>
                <w:color w:val="000000"/>
                <w:spacing w:val="0"/>
                <w:sz w:val="18"/>
                <w:szCs w:val="18"/>
                <w:highlight w:val="none"/>
                <w:u w:val="single"/>
                <w:shd w:val="clear" w:color="auto" w:fill="FFFFFF"/>
              </w:rPr>
              <w:t>20</w:t>
            </w:r>
            <w:r>
              <w:rPr>
                <w:rFonts w:hint="eastAsia" w:ascii="宋体" w:hAnsi="宋体" w:eastAsia="宋体" w:cs="宋体"/>
                <w:i w:val="0"/>
                <w:iCs w:val="0"/>
                <w:caps w:val="0"/>
                <w:color w:val="000000"/>
                <w:spacing w:val="0"/>
                <w:sz w:val="18"/>
                <w:szCs w:val="18"/>
                <w:highlight w:val="none"/>
                <w:shd w:val="clear" w:color="auto" w:fill="FFFFFF"/>
              </w:rPr>
              <w:t>分</w:t>
            </w:r>
          </w:p>
          <w:p w14:paraId="6151916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业绩：</w:t>
            </w:r>
            <w:r>
              <w:rPr>
                <w:rFonts w:hint="eastAsia" w:ascii="宋体" w:hAnsi="宋体" w:eastAsia="宋体" w:cs="宋体"/>
                <w:i w:val="0"/>
                <w:iCs w:val="0"/>
                <w:caps w:val="0"/>
                <w:color w:val="000000"/>
                <w:spacing w:val="0"/>
                <w:sz w:val="18"/>
                <w:szCs w:val="18"/>
                <w:highlight w:val="none"/>
                <w:u w:val="single"/>
                <w:shd w:val="clear" w:color="auto" w:fill="FFFFFF"/>
              </w:rPr>
              <w:t>25</w:t>
            </w:r>
            <w:r>
              <w:rPr>
                <w:rFonts w:hint="eastAsia" w:ascii="宋体" w:hAnsi="宋体" w:eastAsia="宋体" w:cs="宋体"/>
                <w:i w:val="0"/>
                <w:iCs w:val="0"/>
                <w:caps w:val="0"/>
                <w:color w:val="000000"/>
                <w:spacing w:val="0"/>
                <w:sz w:val="18"/>
                <w:szCs w:val="18"/>
                <w:highlight w:val="none"/>
                <w:shd w:val="clear" w:color="auto" w:fill="FFFFFF"/>
              </w:rPr>
              <w:t>分</w:t>
            </w:r>
          </w:p>
          <w:p w14:paraId="658B0B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履约信誉：</w:t>
            </w:r>
            <w:r>
              <w:rPr>
                <w:rFonts w:hint="eastAsia" w:ascii="宋体" w:hAnsi="宋体" w:eastAsia="宋体" w:cs="宋体"/>
                <w:i w:val="0"/>
                <w:iCs w:val="0"/>
                <w:caps w:val="0"/>
                <w:color w:val="000000"/>
                <w:spacing w:val="0"/>
                <w:sz w:val="18"/>
                <w:szCs w:val="18"/>
                <w:highlight w:val="none"/>
                <w:u w:val="single"/>
                <w:shd w:val="clear" w:color="auto" w:fill="FFFFFF"/>
              </w:rPr>
              <w:t>5</w:t>
            </w:r>
            <w:r>
              <w:rPr>
                <w:rFonts w:hint="eastAsia" w:ascii="宋体" w:hAnsi="宋体" w:eastAsia="宋体" w:cs="宋体"/>
                <w:i w:val="0"/>
                <w:iCs w:val="0"/>
                <w:caps w:val="0"/>
                <w:color w:val="000000"/>
                <w:spacing w:val="0"/>
                <w:sz w:val="18"/>
                <w:szCs w:val="18"/>
                <w:highlight w:val="none"/>
                <w:shd w:val="clear" w:color="auto" w:fill="FFFFFF"/>
              </w:rPr>
              <w:t>分</w:t>
            </w:r>
          </w:p>
          <w:p w14:paraId="7D31078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2"/>
              <w:jc w:val="both"/>
              <w:rPr>
                <w:color w:val="000000"/>
                <w:sz w:val="18"/>
                <w:szCs w:val="18"/>
                <w:highlight w:val="none"/>
              </w:rPr>
            </w:pPr>
            <w:r>
              <w:rPr>
                <w:rFonts w:hint="eastAsia" w:ascii="宋体" w:hAnsi="宋体" w:eastAsia="宋体" w:cs="宋体"/>
                <w:b/>
                <w:bCs/>
                <w:i w:val="0"/>
                <w:iCs w:val="0"/>
                <w:caps w:val="0"/>
                <w:color w:val="000000"/>
                <w:spacing w:val="0"/>
                <w:sz w:val="18"/>
                <w:szCs w:val="18"/>
                <w:highlight w:val="none"/>
              </w:rPr>
              <w:t>第二个信封（报价文件）评分分值构成：</w:t>
            </w:r>
          </w:p>
          <w:p w14:paraId="0B271D6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评标价: </w:t>
            </w:r>
            <w:r>
              <w:rPr>
                <w:rFonts w:hint="eastAsia" w:ascii="宋体" w:hAnsi="宋体" w:eastAsia="宋体" w:cs="宋体"/>
                <w:i w:val="0"/>
                <w:iCs w:val="0"/>
                <w:caps w:val="0"/>
                <w:color w:val="000000"/>
                <w:spacing w:val="0"/>
                <w:sz w:val="18"/>
                <w:szCs w:val="18"/>
                <w:highlight w:val="none"/>
                <w:u w:val="single"/>
                <w:shd w:val="clear" w:color="auto" w:fill="FFFFFF"/>
              </w:rPr>
              <w:t>10</w:t>
            </w:r>
            <w:r>
              <w:rPr>
                <w:rFonts w:hint="eastAsia" w:ascii="宋体" w:hAnsi="宋体" w:eastAsia="宋体" w:cs="宋体"/>
                <w:i w:val="0"/>
                <w:iCs w:val="0"/>
                <w:caps w:val="0"/>
                <w:color w:val="000000"/>
                <w:spacing w:val="0"/>
                <w:sz w:val="18"/>
                <w:szCs w:val="18"/>
                <w:highlight w:val="none"/>
                <w:shd w:val="clear" w:color="auto" w:fill="FFFFFF"/>
              </w:rPr>
              <w:t>分</w:t>
            </w:r>
          </w:p>
        </w:tc>
      </w:tr>
      <w:tr w14:paraId="40A935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8" w:type="pct"/>
            <w:tcBorders>
              <w:top w:val="nil"/>
              <w:left w:val="single" w:color="auto" w:sz="12" w:space="0"/>
              <w:bottom w:val="single" w:color="auto" w:sz="8" w:space="0"/>
              <w:right w:val="single" w:color="auto" w:sz="8" w:space="0"/>
            </w:tcBorders>
            <w:shd w:val="clear" w:color="auto" w:fill="FFFFFF"/>
            <w:noWrap w:val="0"/>
            <w:tcMar>
              <w:left w:w="10" w:type="dxa"/>
              <w:right w:w="10" w:type="dxa"/>
            </w:tcMar>
            <w:vAlign w:val="center"/>
          </w:tcPr>
          <w:p w14:paraId="1BAFCBD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val="0"/>
                <w:bCs w:val="0"/>
                <w:i w:val="0"/>
                <w:iCs w:val="0"/>
                <w:caps w:val="0"/>
                <w:color w:val="000000"/>
                <w:spacing w:val="0"/>
                <w:sz w:val="18"/>
                <w:szCs w:val="18"/>
                <w:highlight w:val="none"/>
                <w:shd w:val="clear" w:color="auto" w:fill="FFFFFF"/>
              </w:rPr>
              <w:t>2.2.2</w:t>
            </w:r>
          </w:p>
        </w:tc>
        <w:tc>
          <w:tcPr>
            <w:tcW w:w="729" w:type="pct"/>
            <w:tcBorders>
              <w:top w:val="nil"/>
              <w:left w:val="nil"/>
              <w:bottom w:val="single" w:color="auto" w:sz="8" w:space="0"/>
              <w:right w:val="single" w:color="auto" w:sz="8" w:space="0"/>
            </w:tcBorders>
            <w:shd w:val="clear" w:color="auto" w:fill="FFFFFF"/>
            <w:noWrap w:val="0"/>
            <w:tcMar>
              <w:left w:w="10" w:type="dxa"/>
              <w:right w:w="10" w:type="dxa"/>
            </w:tcMar>
            <w:vAlign w:val="center"/>
          </w:tcPr>
          <w:p w14:paraId="1006B82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评标基准价 计算方法</w:t>
            </w:r>
          </w:p>
        </w:tc>
        <w:tc>
          <w:tcPr>
            <w:tcW w:w="3701" w:type="pct"/>
            <w:tcBorders>
              <w:top w:val="nil"/>
              <w:left w:val="nil"/>
              <w:bottom w:val="single" w:color="auto" w:sz="8" w:space="0"/>
              <w:right w:val="single" w:color="auto" w:sz="12" w:space="0"/>
            </w:tcBorders>
            <w:shd w:val="clear" w:color="auto" w:fill="FFFFFF"/>
            <w:noWrap w:val="0"/>
            <w:tcMar>
              <w:left w:w="10" w:type="dxa"/>
              <w:right w:w="10" w:type="dxa"/>
            </w:tcMar>
            <w:vAlign w:val="center"/>
          </w:tcPr>
          <w:p w14:paraId="2B53098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评标基准价的计算：</w:t>
            </w:r>
          </w:p>
          <w:p w14:paraId="452837A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在开标现场，招标人将当场计算并宣布评标基准价。</w:t>
            </w:r>
          </w:p>
          <w:p w14:paraId="37A49CC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rFonts w:hint="eastAsia" w:ascii="宋体" w:hAnsi="宋体" w:eastAsia="宋体" w:cs="宋体"/>
                <w:color w:val="000000"/>
                <w:sz w:val="18"/>
                <w:szCs w:val="18"/>
                <w:highlight w:val="none"/>
              </w:rPr>
            </w:pPr>
            <w:r>
              <w:rPr>
                <w:rFonts w:hint="eastAsia" w:ascii="宋体" w:hAnsi="宋体" w:eastAsia="宋体" w:cs="宋体"/>
                <w:i w:val="0"/>
                <w:iCs w:val="0"/>
                <w:caps w:val="0"/>
                <w:color w:val="000000"/>
                <w:spacing w:val="0"/>
                <w:sz w:val="18"/>
                <w:szCs w:val="18"/>
                <w:highlight w:val="none"/>
              </w:rPr>
              <w:t>(1)</w:t>
            </w:r>
            <w:r>
              <w:rPr>
                <w:rFonts w:hint="eastAsia" w:ascii="宋体" w:hAnsi="宋体" w:eastAsia="宋体" w:cs="宋体"/>
                <w:i w:val="0"/>
                <w:iCs w:val="0"/>
                <w:caps w:val="0"/>
                <w:color w:val="000000"/>
                <w:spacing w:val="0"/>
                <w:sz w:val="18"/>
                <w:szCs w:val="18"/>
                <w:highlight w:val="none"/>
                <w:shd w:val="clear" w:color="auto" w:fill="FFFFFF"/>
              </w:rPr>
              <w:t>评标价的确定：</w:t>
            </w:r>
          </w:p>
          <w:p w14:paraId="3590222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rFonts w:hint="eastAsia" w:ascii="宋体" w:hAnsi="宋体" w:eastAsia="宋体" w:cs="宋体"/>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评标价=投标函文字报价</w:t>
            </w:r>
          </w:p>
          <w:p w14:paraId="6CB7FFE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rFonts w:hint="eastAsia" w:ascii="宋体" w:hAnsi="宋体" w:eastAsia="宋体" w:cs="宋体"/>
                <w:color w:val="000000"/>
                <w:sz w:val="18"/>
                <w:szCs w:val="18"/>
                <w:highlight w:val="none"/>
              </w:rPr>
            </w:pPr>
            <w:r>
              <w:rPr>
                <w:rFonts w:hint="eastAsia" w:ascii="宋体" w:hAnsi="宋体" w:eastAsia="宋体" w:cs="宋体"/>
                <w:i w:val="0"/>
                <w:iCs w:val="0"/>
                <w:caps w:val="0"/>
                <w:color w:val="000000"/>
                <w:spacing w:val="0"/>
                <w:sz w:val="18"/>
                <w:szCs w:val="18"/>
                <w:highlight w:val="none"/>
              </w:rPr>
              <w:t>(2)</w:t>
            </w:r>
            <w:r>
              <w:rPr>
                <w:rFonts w:hint="eastAsia" w:ascii="宋体" w:hAnsi="宋体" w:eastAsia="宋体" w:cs="宋体"/>
                <w:i w:val="0"/>
                <w:iCs w:val="0"/>
                <w:caps w:val="0"/>
                <w:color w:val="000000"/>
                <w:spacing w:val="0"/>
                <w:sz w:val="18"/>
                <w:szCs w:val="18"/>
                <w:highlight w:val="none"/>
                <w:shd w:val="clear" w:color="auto" w:fill="FFFFFF"/>
              </w:rPr>
              <w:t>评标价平均值的计算：</w:t>
            </w:r>
          </w:p>
          <w:p w14:paraId="389CAA8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rFonts w:hint="eastAsia" w:ascii="宋体" w:hAnsi="宋体" w:eastAsia="宋体" w:cs="宋体"/>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除按第二章“投标人须知”第</w:t>
            </w:r>
            <w:r>
              <w:rPr>
                <w:rFonts w:hint="eastAsia" w:ascii="宋体" w:hAnsi="宋体" w:eastAsia="宋体" w:cs="宋体"/>
                <w:b/>
                <w:bCs/>
                <w:i w:val="0"/>
                <w:iCs w:val="0"/>
                <w:caps w:val="0"/>
                <w:color w:val="000000"/>
                <w:spacing w:val="0"/>
                <w:sz w:val="18"/>
                <w:szCs w:val="18"/>
                <w:highlight w:val="none"/>
                <w:shd w:val="clear" w:color="auto" w:fill="FFFFFF"/>
              </w:rPr>
              <w:t>5.2.4</w:t>
            </w:r>
            <w:r>
              <w:rPr>
                <w:rFonts w:hint="eastAsia" w:ascii="宋体" w:hAnsi="宋体" w:eastAsia="宋体" w:cs="宋体"/>
                <w:i w:val="0"/>
                <w:iCs w:val="0"/>
                <w:caps w:val="0"/>
                <w:color w:val="000000"/>
                <w:spacing w:val="0"/>
                <w:sz w:val="18"/>
                <w:szCs w:val="18"/>
                <w:highlight w:val="none"/>
                <w:shd w:val="clear" w:color="auto" w:fill="FFFFFF"/>
              </w:rPr>
              <w:t>项规定开标现场被宣布为不进入评标基准价计算的投标报价之外，所有投标人的评标价去掉一个最高值和一个最低值后的算术平均值即为评标价平均值（如果参与评标价平均值计算的有效投标人少于</w:t>
            </w:r>
            <w:r>
              <w:rPr>
                <w:rFonts w:hint="eastAsia" w:ascii="宋体" w:hAnsi="宋体" w:eastAsia="宋体" w:cs="宋体"/>
                <w:b/>
                <w:bCs/>
                <w:i w:val="0"/>
                <w:iCs w:val="0"/>
                <w:caps w:val="0"/>
                <w:color w:val="000000"/>
                <w:spacing w:val="0"/>
                <w:sz w:val="18"/>
                <w:szCs w:val="18"/>
                <w:highlight w:val="none"/>
                <w:shd w:val="clear" w:color="auto" w:fill="FFFFFF"/>
              </w:rPr>
              <w:t>5</w:t>
            </w:r>
            <w:r>
              <w:rPr>
                <w:rFonts w:hint="eastAsia" w:ascii="宋体" w:hAnsi="宋体" w:eastAsia="宋体" w:cs="宋体"/>
                <w:i w:val="0"/>
                <w:iCs w:val="0"/>
                <w:caps w:val="0"/>
                <w:color w:val="000000"/>
                <w:spacing w:val="0"/>
                <w:sz w:val="18"/>
                <w:szCs w:val="18"/>
                <w:highlight w:val="none"/>
                <w:shd w:val="clear" w:color="auto" w:fill="FFFFFF"/>
              </w:rPr>
              <w:t>家时，则计算评标价平均值时不去掉最高值和最低值)。</w:t>
            </w:r>
          </w:p>
          <w:p w14:paraId="5ABC70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rPr>
              <w:t>(3)</w:t>
            </w:r>
            <w:r>
              <w:rPr>
                <w:rFonts w:hint="eastAsia" w:ascii="宋体" w:hAnsi="宋体" w:eastAsia="宋体" w:cs="宋体"/>
                <w:i w:val="0"/>
                <w:iCs w:val="0"/>
                <w:caps w:val="0"/>
                <w:color w:val="000000"/>
                <w:spacing w:val="0"/>
                <w:sz w:val="18"/>
                <w:szCs w:val="18"/>
                <w:highlight w:val="none"/>
                <w:shd w:val="clear" w:color="auto" w:fill="FFFFFF"/>
              </w:rPr>
              <w:t>评标基准价的确定：</w:t>
            </w:r>
          </w:p>
          <w:p w14:paraId="0429FB0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将评标价平均值直接作为评标基准价。</w:t>
            </w:r>
          </w:p>
          <w:p w14:paraId="32200AB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03E162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4" w:hRule="atLeast"/>
        </w:trPr>
        <w:tc>
          <w:tcPr>
            <w:tcW w:w="568" w:type="pct"/>
            <w:tcBorders>
              <w:top w:val="nil"/>
              <w:left w:val="single" w:color="auto" w:sz="12" w:space="0"/>
              <w:bottom w:val="single" w:color="auto" w:sz="12" w:space="0"/>
              <w:right w:val="single" w:color="auto" w:sz="8" w:space="0"/>
            </w:tcBorders>
            <w:shd w:val="clear" w:color="auto" w:fill="FFFFFF"/>
            <w:noWrap w:val="0"/>
            <w:tcMar>
              <w:left w:w="10" w:type="dxa"/>
              <w:right w:w="10" w:type="dxa"/>
            </w:tcMar>
            <w:vAlign w:val="center"/>
          </w:tcPr>
          <w:p w14:paraId="16C930F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2.2.3</w:t>
            </w:r>
          </w:p>
        </w:tc>
        <w:tc>
          <w:tcPr>
            <w:tcW w:w="729" w:type="pct"/>
            <w:tcBorders>
              <w:top w:val="nil"/>
              <w:left w:val="nil"/>
              <w:bottom w:val="single" w:color="auto" w:sz="12" w:space="0"/>
              <w:right w:val="single" w:color="auto" w:sz="8" w:space="0"/>
            </w:tcBorders>
            <w:shd w:val="clear" w:color="auto" w:fill="FFFFFF"/>
            <w:noWrap w:val="0"/>
            <w:tcMar>
              <w:left w:w="10" w:type="dxa"/>
              <w:right w:w="10" w:type="dxa"/>
            </w:tcMar>
            <w:vAlign w:val="center"/>
          </w:tcPr>
          <w:p w14:paraId="31BC736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评标价的偏差率计算公式</w:t>
            </w:r>
          </w:p>
        </w:tc>
        <w:tc>
          <w:tcPr>
            <w:tcW w:w="3701" w:type="pct"/>
            <w:tcBorders>
              <w:top w:val="nil"/>
              <w:left w:val="nil"/>
              <w:bottom w:val="single" w:color="auto" w:sz="12" w:space="0"/>
              <w:right w:val="single" w:color="auto" w:sz="12" w:space="0"/>
            </w:tcBorders>
            <w:shd w:val="clear" w:color="auto" w:fill="FFFFFF"/>
            <w:noWrap w:val="0"/>
            <w:tcMar>
              <w:left w:w="10" w:type="dxa"/>
              <w:right w:w="10" w:type="dxa"/>
            </w:tcMar>
            <w:vAlign w:val="center"/>
          </w:tcPr>
          <w:p w14:paraId="32E4777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偏差率=100%×(投标人评标价-评标基准价）/评标基准价</w:t>
            </w:r>
          </w:p>
          <w:p w14:paraId="4DBBC88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2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偏差率保留</w:t>
            </w:r>
            <w:r>
              <w:rPr>
                <w:rFonts w:hint="eastAsia" w:ascii="宋体" w:hAnsi="宋体" w:eastAsia="宋体" w:cs="宋体"/>
                <w:i w:val="0"/>
                <w:iCs w:val="0"/>
                <w:caps w:val="0"/>
                <w:color w:val="000000"/>
                <w:spacing w:val="0"/>
                <w:sz w:val="18"/>
                <w:szCs w:val="18"/>
                <w:highlight w:val="none"/>
                <w:u w:val="single"/>
                <w:shd w:val="clear" w:color="auto" w:fill="FFFFFF"/>
              </w:rPr>
              <w:t>二</w:t>
            </w:r>
            <w:r>
              <w:rPr>
                <w:rFonts w:hint="eastAsia" w:ascii="宋体" w:hAnsi="宋体" w:eastAsia="宋体" w:cs="宋体"/>
                <w:i w:val="0"/>
                <w:iCs w:val="0"/>
                <w:caps w:val="0"/>
                <w:color w:val="000000"/>
                <w:spacing w:val="0"/>
                <w:sz w:val="18"/>
                <w:szCs w:val="18"/>
                <w:highlight w:val="none"/>
                <w:shd w:val="clear" w:color="auto" w:fill="FFFFFF"/>
              </w:rPr>
              <w:t>位小数</w:t>
            </w:r>
          </w:p>
        </w:tc>
      </w:tr>
    </w:tbl>
    <w:p w14:paraId="35C7EE7D">
      <w:pPr>
        <w:rPr>
          <w:rFonts w:hint="eastAsia"/>
          <w:color w:val="000000"/>
          <w:sz w:val="18"/>
          <w:szCs w:val="18"/>
          <w:highlight w:val="none"/>
        </w:rPr>
      </w:pPr>
    </w:p>
    <w:tbl>
      <w:tblPr>
        <w:tblStyle w:val="14"/>
        <w:tblpPr w:vertAnchor="text" w:tblpX="-178"/>
        <w:tblW w:w="510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64"/>
        <w:gridCol w:w="860"/>
        <w:gridCol w:w="784"/>
        <w:gridCol w:w="1180"/>
        <w:gridCol w:w="667"/>
        <w:gridCol w:w="3942"/>
      </w:tblGrid>
      <w:tr w14:paraId="455CE4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6" w:hRule="atLeast"/>
          <w:tblHeader/>
        </w:trPr>
        <w:tc>
          <w:tcPr>
            <w:tcW w:w="2707" w:type="pct"/>
            <w:gridSpan w:val="5"/>
            <w:tcBorders>
              <w:top w:val="single" w:color="auto" w:sz="12" w:space="0"/>
              <w:left w:val="single" w:color="auto" w:sz="12" w:space="0"/>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7002661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bCs/>
                <w:i w:val="0"/>
                <w:iCs w:val="0"/>
                <w:caps w:val="0"/>
                <w:color w:val="000000"/>
                <w:spacing w:val="0"/>
                <w:sz w:val="18"/>
                <w:szCs w:val="18"/>
                <w:highlight w:val="none"/>
                <w:shd w:val="clear" w:color="auto" w:fill="FFFFFF"/>
              </w:rPr>
              <w:t>评分因素与权重分值</w:t>
            </w:r>
          </w:p>
        </w:tc>
        <w:tc>
          <w:tcPr>
            <w:tcW w:w="2292" w:type="pct"/>
            <w:vMerge w:val="restart"/>
            <w:tcBorders>
              <w:top w:val="single" w:color="auto" w:sz="12" w:space="0"/>
              <w:left w:val="nil"/>
              <w:bottom w:val="single" w:color="auto" w:sz="8" w:space="0"/>
              <w:right w:val="single" w:color="auto" w:sz="12" w:space="0"/>
            </w:tcBorders>
            <w:shd w:val="clear" w:color="auto" w:fill="FFFFFF"/>
            <w:noWrap w:val="0"/>
            <w:tcMar>
              <w:top w:w="57" w:type="dxa"/>
              <w:left w:w="57" w:type="dxa"/>
              <w:bottom w:w="57" w:type="dxa"/>
              <w:right w:w="57" w:type="dxa"/>
            </w:tcMar>
            <w:vAlign w:val="center"/>
          </w:tcPr>
          <w:p w14:paraId="242DE77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bCs/>
                <w:i w:val="0"/>
                <w:iCs w:val="0"/>
                <w:caps w:val="0"/>
                <w:color w:val="000000"/>
                <w:spacing w:val="0"/>
                <w:sz w:val="18"/>
                <w:szCs w:val="18"/>
                <w:highlight w:val="none"/>
                <w:shd w:val="clear" w:color="auto" w:fill="FFFFFF"/>
              </w:rPr>
              <w:t>评分标准</w:t>
            </w:r>
          </w:p>
        </w:tc>
      </w:tr>
      <w:tr w14:paraId="7E2A8F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1" w:hRule="atLeast"/>
          <w:tblHeader/>
        </w:trPr>
        <w:tc>
          <w:tcPr>
            <w:tcW w:w="677" w:type="pct"/>
            <w:tcBorders>
              <w:top w:val="nil"/>
              <w:left w:val="single" w:color="auto" w:sz="12" w:space="0"/>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61532CB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bCs/>
                <w:i w:val="0"/>
                <w:iCs w:val="0"/>
                <w:caps w:val="0"/>
                <w:color w:val="000000"/>
                <w:spacing w:val="0"/>
                <w:sz w:val="18"/>
                <w:szCs w:val="18"/>
                <w:highlight w:val="none"/>
                <w:shd w:val="clear" w:color="auto" w:fill="FFFFFF"/>
              </w:rPr>
              <w:t>条款号</w:t>
            </w:r>
          </w:p>
        </w:tc>
        <w:tc>
          <w:tcPr>
            <w:tcW w:w="500"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6B3741F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bCs/>
                <w:i w:val="0"/>
                <w:iCs w:val="0"/>
                <w:caps w:val="0"/>
                <w:color w:val="000000"/>
                <w:spacing w:val="0"/>
                <w:sz w:val="18"/>
                <w:szCs w:val="18"/>
                <w:highlight w:val="none"/>
                <w:shd w:val="clear" w:color="auto" w:fill="FFFFFF"/>
              </w:rPr>
              <w:t>评分因素</w:t>
            </w:r>
          </w:p>
        </w:tc>
        <w:tc>
          <w:tcPr>
            <w:tcW w:w="456"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0CFCD20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bCs/>
                <w:i w:val="0"/>
                <w:iCs w:val="0"/>
                <w:caps w:val="0"/>
                <w:color w:val="000000"/>
                <w:spacing w:val="0"/>
                <w:sz w:val="18"/>
                <w:szCs w:val="18"/>
                <w:highlight w:val="none"/>
                <w:shd w:val="clear" w:color="auto" w:fill="FFFFFF"/>
              </w:rPr>
              <w:t>评分因素权重分值</w:t>
            </w:r>
          </w:p>
        </w:tc>
        <w:tc>
          <w:tcPr>
            <w:tcW w:w="686"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101E006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bCs/>
                <w:i w:val="0"/>
                <w:iCs w:val="0"/>
                <w:caps w:val="0"/>
                <w:color w:val="000000"/>
                <w:spacing w:val="0"/>
                <w:sz w:val="18"/>
                <w:szCs w:val="18"/>
                <w:highlight w:val="none"/>
                <w:shd w:val="clear" w:color="auto" w:fill="FFFFFF"/>
              </w:rPr>
              <w:t>各评分因素细分项</w:t>
            </w:r>
          </w:p>
        </w:tc>
        <w:tc>
          <w:tcPr>
            <w:tcW w:w="385"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10A72AD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b/>
                <w:bCs/>
                <w:i w:val="0"/>
                <w:iCs w:val="0"/>
                <w:caps w:val="0"/>
                <w:color w:val="000000"/>
                <w:spacing w:val="0"/>
                <w:sz w:val="18"/>
                <w:szCs w:val="18"/>
                <w:highlight w:val="none"/>
                <w:shd w:val="clear" w:color="auto" w:fill="FFFFFF"/>
              </w:rPr>
              <w:t>分值</w:t>
            </w:r>
          </w:p>
        </w:tc>
        <w:tc>
          <w:tcPr>
            <w:tcW w:w="2292" w:type="pct"/>
            <w:vMerge w:val="continue"/>
            <w:tcBorders>
              <w:top w:val="single" w:color="auto" w:sz="12" w:space="0"/>
              <w:left w:val="nil"/>
              <w:bottom w:val="single" w:color="auto" w:sz="8" w:space="0"/>
              <w:right w:val="single" w:color="auto" w:sz="12" w:space="0"/>
            </w:tcBorders>
            <w:shd w:val="clear" w:color="auto" w:fill="FFFFFF"/>
            <w:noWrap w:val="0"/>
            <w:tcMar>
              <w:top w:w="57" w:type="dxa"/>
              <w:left w:w="57" w:type="dxa"/>
              <w:bottom w:w="57" w:type="dxa"/>
              <w:right w:w="57" w:type="dxa"/>
            </w:tcMar>
            <w:vAlign w:val="center"/>
          </w:tcPr>
          <w:p w14:paraId="3EE99476">
            <w:pPr>
              <w:rPr>
                <w:rFonts w:hint="eastAsia" w:ascii="微软雅黑" w:hAnsi="微软雅黑" w:eastAsia="微软雅黑" w:cs="微软雅黑"/>
                <w:i w:val="0"/>
                <w:iCs w:val="0"/>
                <w:caps w:val="0"/>
                <w:color w:val="000000"/>
                <w:spacing w:val="0"/>
                <w:sz w:val="18"/>
                <w:szCs w:val="18"/>
                <w:highlight w:val="none"/>
              </w:rPr>
            </w:pPr>
          </w:p>
        </w:tc>
      </w:tr>
      <w:tr w14:paraId="1B2D19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43" w:hRule="atLeast"/>
          <w:tblHeader/>
        </w:trPr>
        <w:tc>
          <w:tcPr>
            <w:tcW w:w="677" w:type="pct"/>
            <w:vMerge w:val="restart"/>
            <w:tcBorders>
              <w:top w:val="nil"/>
              <w:left w:val="single" w:color="auto" w:sz="12" w:space="0"/>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5BC632C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2.2.4(1)</w:t>
            </w:r>
          </w:p>
        </w:tc>
        <w:tc>
          <w:tcPr>
            <w:tcW w:w="500" w:type="pct"/>
            <w:vMerge w:val="restar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320FC66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技术建议书</w:t>
            </w:r>
          </w:p>
        </w:tc>
        <w:tc>
          <w:tcPr>
            <w:tcW w:w="456" w:type="pct"/>
            <w:vMerge w:val="restar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655B4ED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40分</w:t>
            </w:r>
          </w:p>
        </w:tc>
        <w:tc>
          <w:tcPr>
            <w:tcW w:w="686"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56EAAF5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对招标项目的理解和总体设计思路</w:t>
            </w:r>
          </w:p>
        </w:tc>
        <w:tc>
          <w:tcPr>
            <w:tcW w:w="385"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751B1EF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10分</w:t>
            </w:r>
          </w:p>
        </w:tc>
        <w:tc>
          <w:tcPr>
            <w:tcW w:w="2292" w:type="pct"/>
            <w:tcBorders>
              <w:top w:val="nil"/>
              <w:left w:val="nil"/>
              <w:bottom w:val="single" w:color="auto" w:sz="8" w:space="0"/>
              <w:right w:val="single" w:color="auto" w:sz="12" w:space="0"/>
            </w:tcBorders>
            <w:shd w:val="clear" w:color="auto" w:fill="FFFFFF"/>
            <w:noWrap w:val="0"/>
            <w:tcMar>
              <w:top w:w="57" w:type="dxa"/>
              <w:left w:w="57" w:type="dxa"/>
              <w:bottom w:w="57" w:type="dxa"/>
              <w:right w:w="57" w:type="dxa"/>
            </w:tcMar>
            <w:vAlign w:val="center"/>
          </w:tcPr>
          <w:p w14:paraId="679795B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投标文件须对招标项目理解、项目区域建设条件、地域特点调查和认识程度总体设计思路、科学合理程度工程造价控制思路及措施等内容进行阐述。</w:t>
            </w:r>
          </w:p>
          <w:p w14:paraId="753290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理解透彻、思路清晰、措施完善可行的，得9～10分；</w:t>
            </w:r>
          </w:p>
          <w:p w14:paraId="1D8E6E2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理解基本透彻、思路基本清晰、措施基本完善可行的，得7～9分；</w:t>
            </w:r>
          </w:p>
          <w:p w14:paraId="5394417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rPr>
              <w:t>理解的透彻性、思路的清晰性、措施的完善可行性一般的，得6～7分。</w:t>
            </w:r>
          </w:p>
        </w:tc>
      </w:tr>
      <w:tr w14:paraId="720711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59" w:hRule="atLeast"/>
          <w:tblHeader/>
        </w:trPr>
        <w:tc>
          <w:tcPr>
            <w:tcW w:w="677" w:type="pct"/>
            <w:vMerge w:val="continue"/>
            <w:tcBorders>
              <w:top w:val="nil"/>
              <w:left w:val="single" w:color="auto" w:sz="12" w:space="0"/>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1FF49E00">
            <w:pPr>
              <w:rPr>
                <w:rFonts w:hint="eastAsia" w:ascii="微软雅黑" w:hAnsi="微软雅黑" w:eastAsia="微软雅黑" w:cs="微软雅黑"/>
                <w:i w:val="0"/>
                <w:iCs w:val="0"/>
                <w:caps w:val="0"/>
                <w:color w:val="000000"/>
                <w:spacing w:val="0"/>
                <w:sz w:val="18"/>
                <w:szCs w:val="18"/>
                <w:highlight w:val="none"/>
              </w:rPr>
            </w:pPr>
          </w:p>
        </w:tc>
        <w:tc>
          <w:tcPr>
            <w:tcW w:w="500" w:type="pct"/>
            <w:vMerge w:val="continue"/>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07F0F1F2">
            <w:pPr>
              <w:rPr>
                <w:rFonts w:hint="eastAsia" w:ascii="微软雅黑" w:hAnsi="微软雅黑" w:eastAsia="微软雅黑" w:cs="微软雅黑"/>
                <w:i w:val="0"/>
                <w:iCs w:val="0"/>
                <w:caps w:val="0"/>
                <w:color w:val="000000"/>
                <w:spacing w:val="0"/>
                <w:sz w:val="18"/>
                <w:szCs w:val="18"/>
                <w:highlight w:val="none"/>
              </w:rPr>
            </w:pPr>
          </w:p>
        </w:tc>
        <w:tc>
          <w:tcPr>
            <w:tcW w:w="456" w:type="pct"/>
            <w:vMerge w:val="continue"/>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34FF506F">
            <w:pPr>
              <w:rPr>
                <w:rFonts w:hint="eastAsia" w:ascii="微软雅黑" w:hAnsi="微软雅黑" w:eastAsia="微软雅黑" w:cs="微软雅黑"/>
                <w:i w:val="0"/>
                <w:iCs w:val="0"/>
                <w:caps w:val="0"/>
                <w:color w:val="000000"/>
                <w:spacing w:val="0"/>
                <w:sz w:val="18"/>
                <w:szCs w:val="18"/>
                <w:highlight w:val="none"/>
              </w:rPr>
            </w:pPr>
          </w:p>
        </w:tc>
        <w:tc>
          <w:tcPr>
            <w:tcW w:w="686"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54F9EFD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lang w:eastAsia="zh-CN"/>
              </w:rPr>
              <w:t>招标项目勘察设计的特点、关键技术问题的认识及其对策措施</w:t>
            </w:r>
          </w:p>
        </w:tc>
        <w:tc>
          <w:tcPr>
            <w:tcW w:w="385"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03B0491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10分</w:t>
            </w:r>
          </w:p>
        </w:tc>
        <w:tc>
          <w:tcPr>
            <w:tcW w:w="2292" w:type="pct"/>
            <w:tcBorders>
              <w:top w:val="nil"/>
              <w:left w:val="nil"/>
              <w:bottom w:val="single" w:color="auto" w:sz="8" w:space="0"/>
              <w:right w:val="single" w:color="auto" w:sz="12" w:space="0"/>
            </w:tcBorders>
            <w:shd w:val="clear" w:color="auto" w:fill="FFFFFF"/>
            <w:noWrap w:val="0"/>
            <w:tcMar>
              <w:top w:w="57" w:type="dxa"/>
              <w:left w:w="57" w:type="dxa"/>
              <w:bottom w:w="57" w:type="dxa"/>
              <w:right w:w="57" w:type="dxa"/>
            </w:tcMar>
            <w:vAlign w:val="center"/>
          </w:tcPr>
          <w:p w14:paraId="4D7130C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投标文件须对本项目勘察设计特点、勘察设计大纲</w:t>
            </w:r>
            <w:r>
              <w:rPr>
                <w:rFonts w:hint="eastAsia" w:ascii="宋体" w:hAnsi="宋体" w:eastAsia="宋体" w:cs="宋体"/>
                <w:i w:val="0"/>
                <w:iCs w:val="0"/>
                <w:caps w:val="0"/>
                <w:color w:val="000000"/>
                <w:spacing w:val="0"/>
                <w:sz w:val="18"/>
                <w:szCs w:val="18"/>
                <w:highlight w:val="none"/>
                <w:lang w:eastAsia="zh-CN"/>
              </w:rPr>
              <w:t>及</w:t>
            </w:r>
            <w:r>
              <w:rPr>
                <w:rFonts w:hint="eastAsia" w:ascii="宋体" w:hAnsi="宋体" w:eastAsia="宋体" w:cs="宋体"/>
                <w:i w:val="0"/>
                <w:iCs w:val="0"/>
                <w:caps w:val="0"/>
                <w:color w:val="000000"/>
                <w:spacing w:val="0"/>
                <w:sz w:val="18"/>
                <w:szCs w:val="18"/>
                <w:highlight w:val="none"/>
                <w:lang w:val="en-US" w:eastAsia="zh-CN"/>
              </w:rPr>
              <w:t>多年</w:t>
            </w:r>
            <w:r>
              <w:rPr>
                <w:rFonts w:hint="eastAsia" w:ascii="宋体" w:hAnsi="宋体" w:eastAsia="宋体" w:cs="宋体"/>
                <w:i w:val="0"/>
                <w:iCs w:val="0"/>
                <w:caps w:val="0"/>
                <w:color w:val="000000"/>
                <w:spacing w:val="0"/>
                <w:sz w:val="18"/>
                <w:szCs w:val="18"/>
                <w:highlight w:val="none"/>
              </w:rPr>
              <w:t>冻土处理</w:t>
            </w:r>
            <w:r>
              <w:rPr>
                <w:rFonts w:hint="eastAsia" w:ascii="宋体" w:hAnsi="宋体" w:eastAsia="宋体" w:cs="宋体"/>
                <w:i w:val="0"/>
                <w:iCs w:val="0"/>
                <w:caps w:val="0"/>
                <w:color w:val="000000"/>
                <w:spacing w:val="0"/>
                <w:sz w:val="18"/>
                <w:szCs w:val="18"/>
                <w:highlight w:val="none"/>
                <w:lang w:eastAsia="zh-CN"/>
              </w:rPr>
              <w:t>、</w:t>
            </w:r>
            <w:r>
              <w:rPr>
                <w:rFonts w:hint="eastAsia" w:ascii="宋体" w:hAnsi="宋体" w:eastAsia="宋体" w:cs="宋体"/>
                <w:i w:val="0"/>
                <w:iCs w:val="0"/>
                <w:caps w:val="0"/>
                <w:color w:val="000000"/>
                <w:spacing w:val="0"/>
                <w:sz w:val="18"/>
                <w:szCs w:val="18"/>
                <w:highlight w:val="none"/>
              </w:rPr>
              <w:t>理解</w:t>
            </w:r>
            <w:r>
              <w:rPr>
                <w:rFonts w:hint="eastAsia" w:ascii="宋体" w:hAnsi="宋体" w:eastAsia="宋体" w:cs="宋体"/>
                <w:i w:val="0"/>
                <w:iCs w:val="0"/>
                <w:caps w:val="0"/>
                <w:color w:val="000000"/>
                <w:spacing w:val="0"/>
                <w:sz w:val="18"/>
                <w:szCs w:val="18"/>
                <w:highlight w:val="none"/>
                <w:lang w:eastAsia="zh-CN"/>
              </w:rPr>
              <w:t>、</w:t>
            </w:r>
            <w:r>
              <w:rPr>
                <w:rFonts w:hint="eastAsia" w:ascii="宋体" w:hAnsi="宋体" w:eastAsia="宋体" w:cs="宋体"/>
                <w:i w:val="0"/>
                <w:iCs w:val="0"/>
                <w:caps w:val="0"/>
                <w:color w:val="000000"/>
                <w:spacing w:val="0"/>
                <w:sz w:val="18"/>
                <w:szCs w:val="18"/>
                <w:highlight w:val="none"/>
              </w:rPr>
              <w:t>分析及对应技术建议与措施等内容进行阐述。</w:t>
            </w:r>
          </w:p>
          <w:p w14:paraId="12A190C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认识、理解的深入性、对策措施的可行性优秀的，得9-10分；</w:t>
            </w:r>
          </w:p>
          <w:p w14:paraId="3E09A6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认识、理解的深入性、对策措施的可行性较好的，得7-9分；</w:t>
            </w:r>
          </w:p>
          <w:p w14:paraId="278E40C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认识、理解的深入性、对策措施的可行性一般的，得6-7分。</w:t>
            </w:r>
          </w:p>
        </w:tc>
      </w:tr>
      <w:tr w14:paraId="0F4D7F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677" w:type="pct"/>
            <w:vMerge w:val="continue"/>
            <w:tcBorders>
              <w:top w:val="nil"/>
              <w:left w:val="single" w:color="auto" w:sz="12" w:space="0"/>
              <w:bottom w:val="nil"/>
              <w:right w:val="single" w:color="auto" w:sz="8" w:space="0"/>
            </w:tcBorders>
            <w:shd w:val="clear" w:color="auto" w:fill="FFFFFF"/>
            <w:noWrap w:val="0"/>
            <w:tcMar>
              <w:top w:w="57" w:type="dxa"/>
              <w:left w:w="57" w:type="dxa"/>
              <w:bottom w:w="57" w:type="dxa"/>
              <w:right w:w="57" w:type="dxa"/>
            </w:tcMar>
            <w:vAlign w:val="center"/>
          </w:tcPr>
          <w:p w14:paraId="4EA2BF3E">
            <w:pPr>
              <w:rPr>
                <w:rFonts w:hint="eastAsia" w:ascii="微软雅黑" w:hAnsi="微软雅黑" w:eastAsia="微软雅黑" w:cs="微软雅黑"/>
                <w:i w:val="0"/>
                <w:iCs w:val="0"/>
                <w:caps w:val="0"/>
                <w:color w:val="000000"/>
                <w:spacing w:val="0"/>
                <w:sz w:val="18"/>
                <w:szCs w:val="18"/>
                <w:highlight w:val="none"/>
              </w:rPr>
            </w:pPr>
          </w:p>
        </w:tc>
        <w:tc>
          <w:tcPr>
            <w:tcW w:w="500" w:type="pct"/>
            <w:vMerge w:val="continue"/>
            <w:tcBorders>
              <w:top w:val="nil"/>
              <w:left w:val="nil"/>
              <w:bottom w:val="nil"/>
              <w:right w:val="single" w:color="auto" w:sz="8" w:space="0"/>
            </w:tcBorders>
            <w:shd w:val="clear" w:color="auto" w:fill="FFFFFF"/>
            <w:noWrap w:val="0"/>
            <w:tcMar>
              <w:top w:w="57" w:type="dxa"/>
              <w:left w:w="57" w:type="dxa"/>
              <w:bottom w:w="57" w:type="dxa"/>
              <w:right w:w="57" w:type="dxa"/>
            </w:tcMar>
            <w:vAlign w:val="center"/>
          </w:tcPr>
          <w:p w14:paraId="4F669BB1">
            <w:pPr>
              <w:rPr>
                <w:rFonts w:hint="eastAsia" w:ascii="微软雅黑" w:hAnsi="微软雅黑" w:eastAsia="微软雅黑" w:cs="微软雅黑"/>
                <w:i w:val="0"/>
                <w:iCs w:val="0"/>
                <w:caps w:val="0"/>
                <w:color w:val="000000"/>
                <w:spacing w:val="0"/>
                <w:sz w:val="18"/>
                <w:szCs w:val="18"/>
                <w:highlight w:val="none"/>
              </w:rPr>
            </w:pPr>
          </w:p>
        </w:tc>
        <w:tc>
          <w:tcPr>
            <w:tcW w:w="456" w:type="pct"/>
            <w:vMerge w:val="continue"/>
            <w:tcBorders>
              <w:top w:val="nil"/>
              <w:left w:val="nil"/>
              <w:bottom w:val="nil"/>
              <w:right w:val="single" w:color="auto" w:sz="8" w:space="0"/>
            </w:tcBorders>
            <w:shd w:val="clear" w:color="auto" w:fill="FFFFFF"/>
            <w:noWrap w:val="0"/>
            <w:tcMar>
              <w:top w:w="57" w:type="dxa"/>
              <w:left w:w="57" w:type="dxa"/>
              <w:bottom w:w="57" w:type="dxa"/>
              <w:right w:w="57" w:type="dxa"/>
            </w:tcMar>
            <w:vAlign w:val="center"/>
          </w:tcPr>
          <w:p w14:paraId="76644177">
            <w:pPr>
              <w:rPr>
                <w:rFonts w:hint="eastAsia" w:ascii="微软雅黑" w:hAnsi="微软雅黑" w:eastAsia="微软雅黑" w:cs="微软雅黑"/>
                <w:i w:val="0"/>
                <w:iCs w:val="0"/>
                <w:caps w:val="0"/>
                <w:color w:val="000000"/>
                <w:spacing w:val="0"/>
                <w:sz w:val="18"/>
                <w:szCs w:val="18"/>
                <w:highlight w:val="none"/>
              </w:rPr>
            </w:pPr>
          </w:p>
        </w:tc>
        <w:tc>
          <w:tcPr>
            <w:tcW w:w="686" w:type="pct"/>
            <w:tcBorders>
              <w:top w:val="nil"/>
              <w:left w:val="nil"/>
              <w:bottom w:val="nil"/>
              <w:right w:val="single" w:color="auto" w:sz="8" w:space="0"/>
            </w:tcBorders>
            <w:shd w:val="clear" w:color="auto" w:fill="FFFFFF"/>
            <w:noWrap w:val="0"/>
            <w:tcMar>
              <w:top w:w="57" w:type="dxa"/>
              <w:left w:w="57" w:type="dxa"/>
              <w:bottom w:w="57" w:type="dxa"/>
              <w:right w:w="57" w:type="dxa"/>
            </w:tcMar>
            <w:vAlign w:val="center"/>
          </w:tcPr>
          <w:p w14:paraId="67F55A7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勘察设计工作量及计划安排</w:t>
            </w:r>
          </w:p>
        </w:tc>
        <w:tc>
          <w:tcPr>
            <w:tcW w:w="385" w:type="pct"/>
            <w:tcBorders>
              <w:top w:val="nil"/>
              <w:left w:val="nil"/>
              <w:bottom w:val="nil"/>
              <w:right w:val="single" w:color="auto" w:sz="8" w:space="0"/>
            </w:tcBorders>
            <w:shd w:val="clear" w:color="auto" w:fill="FFFFFF"/>
            <w:noWrap w:val="0"/>
            <w:tcMar>
              <w:top w:w="57" w:type="dxa"/>
              <w:left w:w="57" w:type="dxa"/>
              <w:bottom w:w="57" w:type="dxa"/>
              <w:right w:w="57" w:type="dxa"/>
            </w:tcMar>
            <w:vAlign w:val="center"/>
          </w:tcPr>
          <w:p w14:paraId="5DE44CD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5分</w:t>
            </w:r>
          </w:p>
        </w:tc>
        <w:tc>
          <w:tcPr>
            <w:tcW w:w="2292" w:type="pct"/>
            <w:tcBorders>
              <w:top w:val="nil"/>
              <w:left w:val="nil"/>
              <w:bottom w:val="nil"/>
              <w:right w:val="single" w:color="auto" w:sz="12" w:space="0"/>
            </w:tcBorders>
            <w:shd w:val="clear" w:color="auto" w:fill="FFFFFF"/>
            <w:noWrap w:val="0"/>
            <w:tcMar>
              <w:top w:w="57" w:type="dxa"/>
              <w:left w:w="57" w:type="dxa"/>
              <w:bottom w:w="57" w:type="dxa"/>
              <w:right w:w="57" w:type="dxa"/>
            </w:tcMar>
            <w:vAlign w:val="center"/>
          </w:tcPr>
          <w:p w14:paraId="3CCF360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投标文件须对勘察设计工作量的认识、设计周期内的工作计划及各阶段工作安排等内容进行阐述。</w:t>
            </w:r>
          </w:p>
          <w:p w14:paraId="13B7938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内容完善、计划详细、安排合理的，得4.5～5分；</w:t>
            </w:r>
          </w:p>
          <w:p w14:paraId="643B03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内容基本完善、计划基本详细、安排基本合理的，得3.5～4.5分；</w:t>
            </w:r>
          </w:p>
          <w:p w14:paraId="11D0BC2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rPr>
              <w:t>内容的完善性、计划的详细性、安排的合理性一般的，得3～3.5分。</w:t>
            </w:r>
          </w:p>
        </w:tc>
      </w:tr>
      <w:tr w14:paraId="0C6613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677" w:type="pct"/>
            <w:tcBorders>
              <w:top w:val="nil"/>
              <w:left w:val="single" w:color="auto" w:sz="12" w:space="0"/>
              <w:bottom w:val="nil"/>
              <w:right w:val="single" w:color="auto" w:sz="8" w:space="0"/>
            </w:tcBorders>
            <w:shd w:val="clear" w:color="auto" w:fill="FFFFFF"/>
            <w:noWrap w:val="0"/>
            <w:tcMar>
              <w:top w:w="57" w:type="dxa"/>
              <w:left w:w="57" w:type="dxa"/>
              <w:bottom w:w="57" w:type="dxa"/>
              <w:right w:w="57" w:type="dxa"/>
            </w:tcMar>
            <w:vAlign w:val="center"/>
          </w:tcPr>
          <w:p w14:paraId="120DE0B4">
            <w:pPr>
              <w:rPr>
                <w:rFonts w:hint="eastAsia" w:ascii="微软雅黑" w:hAnsi="微软雅黑" w:eastAsia="微软雅黑" w:cs="微软雅黑"/>
                <w:i w:val="0"/>
                <w:iCs w:val="0"/>
                <w:caps w:val="0"/>
                <w:color w:val="000000"/>
                <w:spacing w:val="0"/>
                <w:sz w:val="18"/>
                <w:szCs w:val="18"/>
                <w:highlight w:val="none"/>
              </w:rPr>
            </w:pPr>
          </w:p>
        </w:tc>
        <w:tc>
          <w:tcPr>
            <w:tcW w:w="500" w:type="pct"/>
            <w:tcBorders>
              <w:top w:val="nil"/>
              <w:left w:val="nil"/>
              <w:bottom w:val="nil"/>
              <w:right w:val="single" w:color="auto" w:sz="8" w:space="0"/>
            </w:tcBorders>
            <w:shd w:val="clear" w:color="auto" w:fill="FFFFFF"/>
            <w:noWrap w:val="0"/>
            <w:tcMar>
              <w:top w:w="57" w:type="dxa"/>
              <w:left w:w="57" w:type="dxa"/>
              <w:bottom w:w="57" w:type="dxa"/>
              <w:right w:w="57" w:type="dxa"/>
            </w:tcMar>
            <w:vAlign w:val="center"/>
          </w:tcPr>
          <w:p w14:paraId="4B5E648C">
            <w:pPr>
              <w:rPr>
                <w:rFonts w:hint="eastAsia" w:ascii="微软雅黑" w:hAnsi="微软雅黑" w:eastAsia="微软雅黑" w:cs="微软雅黑"/>
                <w:i w:val="0"/>
                <w:iCs w:val="0"/>
                <w:caps w:val="0"/>
                <w:color w:val="000000"/>
                <w:spacing w:val="0"/>
                <w:sz w:val="18"/>
                <w:szCs w:val="18"/>
                <w:highlight w:val="none"/>
              </w:rPr>
            </w:pPr>
          </w:p>
        </w:tc>
        <w:tc>
          <w:tcPr>
            <w:tcW w:w="456" w:type="pct"/>
            <w:tcBorders>
              <w:top w:val="nil"/>
              <w:left w:val="nil"/>
              <w:bottom w:val="nil"/>
              <w:right w:val="single" w:color="auto" w:sz="8" w:space="0"/>
            </w:tcBorders>
            <w:shd w:val="clear" w:color="auto" w:fill="FFFFFF"/>
            <w:noWrap w:val="0"/>
            <w:tcMar>
              <w:top w:w="57" w:type="dxa"/>
              <w:left w:w="57" w:type="dxa"/>
              <w:bottom w:w="57" w:type="dxa"/>
              <w:right w:w="57" w:type="dxa"/>
            </w:tcMar>
            <w:vAlign w:val="center"/>
          </w:tcPr>
          <w:p w14:paraId="7A4258BF">
            <w:pPr>
              <w:rPr>
                <w:rFonts w:hint="eastAsia" w:ascii="微软雅黑" w:hAnsi="微软雅黑" w:eastAsia="微软雅黑" w:cs="微软雅黑"/>
                <w:i w:val="0"/>
                <w:iCs w:val="0"/>
                <w:caps w:val="0"/>
                <w:color w:val="000000"/>
                <w:spacing w:val="0"/>
                <w:sz w:val="18"/>
                <w:szCs w:val="18"/>
                <w:highlight w:val="none"/>
              </w:rPr>
            </w:pPr>
          </w:p>
        </w:tc>
        <w:tc>
          <w:tcPr>
            <w:tcW w:w="686" w:type="pct"/>
            <w:tcBorders>
              <w:top w:val="nil"/>
              <w:left w:val="nil"/>
              <w:bottom w:val="nil"/>
              <w:right w:val="single" w:color="auto" w:sz="8" w:space="0"/>
            </w:tcBorders>
            <w:shd w:val="clear" w:color="auto" w:fill="FFFFFF"/>
            <w:noWrap w:val="0"/>
            <w:tcMar>
              <w:top w:w="57" w:type="dxa"/>
              <w:left w:w="57" w:type="dxa"/>
              <w:bottom w:w="57" w:type="dxa"/>
              <w:right w:w="57" w:type="dxa"/>
            </w:tcMar>
            <w:vAlign w:val="center"/>
          </w:tcPr>
          <w:p w14:paraId="4E05210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leftChars="0" w:right="0" w:rightChars="0"/>
              <w:jc w:val="center"/>
              <w:rPr>
                <w:rFonts w:hint="eastAsia"/>
                <w:color w:val="000000"/>
                <w:kern w:val="0"/>
                <w:sz w:val="18"/>
                <w:szCs w:val="18"/>
                <w:highlight w:val="none"/>
                <w:lang w:val="en-US" w:eastAsia="zh-CN" w:bidi="ar-SA"/>
              </w:rPr>
            </w:pPr>
            <w:r>
              <w:rPr>
                <w:rFonts w:hint="eastAsia" w:ascii="宋体" w:hAnsi="宋体" w:eastAsia="宋体" w:cs="宋体"/>
                <w:i w:val="0"/>
                <w:iCs w:val="0"/>
                <w:caps w:val="0"/>
                <w:color w:val="000000"/>
                <w:spacing w:val="0"/>
                <w:sz w:val="18"/>
                <w:szCs w:val="18"/>
                <w:highlight w:val="none"/>
              </w:rPr>
              <w:t>勘察设计的质量保证措施、进度保证措施、安全保证措施</w:t>
            </w:r>
          </w:p>
        </w:tc>
        <w:tc>
          <w:tcPr>
            <w:tcW w:w="385" w:type="pct"/>
            <w:tcBorders>
              <w:top w:val="nil"/>
              <w:left w:val="nil"/>
              <w:bottom w:val="nil"/>
              <w:right w:val="single" w:color="auto" w:sz="8" w:space="0"/>
            </w:tcBorders>
            <w:shd w:val="clear" w:color="auto" w:fill="FFFFFF"/>
            <w:noWrap w:val="0"/>
            <w:tcMar>
              <w:top w:w="57" w:type="dxa"/>
              <w:left w:w="57" w:type="dxa"/>
              <w:bottom w:w="57" w:type="dxa"/>
              <w:right w:w="57" w:type="dxa"/>
            </w:tcMar>
            <w:vAlign w:val="center"/>
          </w:tcPr>
          <w:p w14:paraId="2091F07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leftChars="0" w:right="0" w:rightChars="0"/>
              <w:jc w:val="center"/>
              <w:rPr>
                <w:rFonts w:hint="eastAsia"/>
                <w:color w:val="000000"/>
                <w:kern w:val="0"/>
                <w:sz w:val="18"/>
                <w:szCs w:val="18"/>
                <w:highlight w:val="none"/>
                <w:lang w:val="en-US" w:eastAsia="zh-CN" w:bidi="ar-SA"/>
              </w:rPr>
            </w:pPr>
            <w:r>
              <w:rPr>
                <w:rFonts w:hint="eastAsia" w:ascii="宋体" w:hAnsi="宋体" w:eastAsia="宋体" w:cs="宋体"/>
                <w:i w:val="0"/>
                <w:iCs w:val="0"/>
                <w:caps w:val="0"/>
                <w:color w:val="000000"/>
                <w:spacing w:val="0"/>
                <w:sz w:val="18"/>
                <w:szCs w:val="18"/>
                <w:highlight w:val="none"/>
                <w:shd w:val="clear" w:color="auto" w:fill="FFFFFF"/>
              </w:rPr>
              <w:t>10分</w:t>
            </w:r>
          </w:p>
        </w:tc>
        <w:tc>
          <w:tcPr>
            <w:tcW w:w="2292" w:type="pct"/>
            <w:tcBorders>
              <w:top w:val="nil"/>
              <w:left w:val="nil"/>
              <w:bottom w:val="nil"/>
              <w:right w:val="single" w:color="auto" w:sz="12" w:space="0"/>
            </w:tcBorders>
            <w:shd w:val="clear" w:color="auto" w:fill="FFFFFF"/>
            <w:noWrap w:val="0"/>
            <w:tcMar>
              <w:top w:w="57" w:type="dxa"/>
              <w:left w:w="57" w:type="dxa"/>
              <w:bottom w:w="57" w:type="dxa"/>
              <w:right w:w="57" w:type="dxa"/>
            </w:tcMar>
            <w:vAlign w:val="center"/>
          </w:tcPr>
          <w:p w14:paraId="2BBEB93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投标文件须对人力物力及统筹安排保障措施、</w:t>
            </w:r>
          </w:p>
          <w:p w14:paraId="24F7B98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服务机构设置、服务方案、进度计划控制目标、各阶段进度保证措施、安全保证措施等内容进行阐述。</w:t>
            </w:r>
          </w:p>
          <w:p w14:paraId="6F13CB3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方案设置科学合理、针对性优秀的，得9～10分；</w:t>
            </w:r>
          </w:p>
          <w:p w14:paraId="12D5FBC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方案设置基本合理、针对性较好的，得7～9分；</w:t>
            </w:r>
          </w:p>
          <w:p w14:paraId="233C746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leftChars="0" w:right="0" w:rightChars="0"/>
              <w:jc w:val="both"/>
              <w:rPr>
                <w:rFonts w:hint="eastAsia"/>
                <w:color w:val="000000"/>
                <w:kern w:val="0"/>
                <w:sz w:val="18"/>
                <w:szCs w:val="18"/>
                <w:highlight w:val="none"/>
                <w:lang w:val="en-US" w:eastAsia="zh-CN" w:bidi="ar-SA"/>
              </w:rPr>
            </w:pPr>
            <w:r>
              <w:rPr>
                <w:rFonts w:hint="eastAsia" w:ascii="宋体" w:hAnsi="宋体" w:eastAsia="宋体" w:cs="宋体"/>
                <w:i w:val="0"/>
                <w:iCs w:val="0"/>
                <w:caps w:val="0"/>
                <w:color w:val="000000"/>
                <w:spacing w:val="0"/>
                <w:sz w:val="18"/>
                <w:szCs w:val="18"/>
                <w:highlight w:val="none"/>
              </w:rPr>
              <w:t>方案设置合理性、针对性一般的，得6～7分。</w:t>
            </w:r>
          </w:p>
        </w:tc>
      </w:tr>
      <w:tr w14:paraId="57D96E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677" w:type="pct"/>
            <w:tcBorders>
              <w:top w:val="nil"/>
              <w:left w:val="single" w:color="auto" w:sz="12" w:space="0"/>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42BC7A98">
            <w:pPr>
              <w:rPr>
                <w:rFonts w:hint="eastAsia" w:ascii="微软雅黑" w:hAnsi="微软雅黑" w:eastAsia="微软雅黑" w:cs="微软雅黑"/>
                <w:i w:val="0"/>
                <w:iCs w:val="0"/>
                <w:caps w:val="0"/>
                <w:color w:val="000000"/>
                <w:spacing w:val="0"/>
                <w:sz w:val="18"/>
                <w:szCs w:val="18"/>
                <w:highlight w:val="none"/>
              </w:rPr>
            </w:pPr>
          </w:p>
        </w:tc>
        <w:tc>
          <w:tcPr>
            <w:tcW w:w="500"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6096794E">
            <w:pPr>
              <w:rPr>
                <w:rFonts w:hint="eastAsia" w:ascii="微软雅黑" w:hAnsi="微软雅黑" w:eastAsia="微软雅黑" w:cs="微软雅黑"/>
                <w:i w:val="0"/>
                <w:iCs w:val="0"/>
                <w:caps w:val="0"/>
                <w:color w:val="000000"/>
                <w:spacing w:val="0"/>
                <w:sz w:val="18"/>
                <w:szCs w:val="18"/>
                <w:highlight w:val="none"/>
              </w:rPr>
            </w:pPr>
          </w:p>
        </w:tc>
        <w:tc>
          <w:tcPr>
            <w:tcW w:w="456"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0F7CE795">
            <w:pPr>
              <w:rPr>
                <w:rFonts w:hint="eastAsia" w:ascii="微软雅黑" w:hAnsi="微软雅黑" w:eastAsia="微软雅黑" w:cs="微软雅黑"/>
                <w:i w:val="0"/>
                <w:iCs w:val="0"/>
                <w:caps w:val="0"/>
                <w:color w:val="000000"/>
                <w:spacing w:val="0"/>
                <w:sz w:val="18"/>
                <w:szCs w:val="18"/>
                <w:highlight w:val="none"/>
              </w:rPr>
            </w:pPr>
          </w:p>
        </w:tc>
        <w:tc>
          <w:tcPr>
            <w:tcW w:w="686"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6F34C51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leftChars="0" w:right="0" w:rightChars="0"/>
              <w:jc w:val="center"/>
              <w:rPr>
                <w:rFonts w:hint="eastAsia"/>
                <w:color w:val="000000"/>
                <w:kern w:val="0"/>
                <w:sz w:val="18"/>
                <w:szCs w:val="18"/>
                <w:highlight w:val="none"/>
                <w:lang w:val="en-US" w:eastAsia="zh-CN" w:bidi="ar-SA"/>
              </w:rPr>
            </w:pPr>
            <w:r>
              <w:rPr>
                <w:rFonts w:hint="eastAsia" w:ascii="宋体" w:hAnsi="宋体" w:eastAsia="宋体" w:cs="宋体"/>
                <w:i w:val="0"/>
                <w:iCs w:val="0"/>
                <w:caps w:val="0"/>
                <w:color w:val="000000"/>
                <w:spacing w:val="0"/>
                <w:sz w:val="18"/>
                <w:szCs w:val="18"/>
                <w:highlight w:val="none"/>
              </w:rPr>
              <w:t>后续服务的安排及保证措施</w:t>
            </w:r>
          </w:p>
        </w:tc>
        <w:tc>
          <w:tcPr>
            <w:tcW w:w="385"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6F3A8E1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leftChars="0" w:right="0" w:rightChars="0"/>
              <w:jc w:val="center"/>
              <w:rPr>
                <w:rFonts w:hint="eastAsia"/>
                <w:color w:val="000000"/>
                <w:kern w:val="0"/>
                <w:sz w:val="18"/>
                <w:szCs w:val="18"/>
                <w:highlight w:val="none"/>
                <w:lang w:val="en-US" w:eastAsia="zh-CN" w:bidi="ar-SA"/>
              </w:rPr>
            </w:pPr>
            <w:r>
              <w:rPr>
                <w:rFonts w:hint="eastAsia" w:ascii="宋体" w:hAnsi="宋体" w:eastAsia="宋体" w:cs="宋体"/>
                <w:i w:val="0"/>
                <w:iCs w:val="0"/>
                <w:caps w:val="0"/>
                <w:color w:val="000000"/>
                <w:spacing w:val="0"/>
                <w:sz w:val="18"/>
                <w:szCs w:val="18"/>
                <w:highlight w:val="none"/>
                <w:shd w:val="clear" w:color="auto" w:fill="FFFFFF"/>
              </w:rPr>
              <w:t>5分</w:t>
            </w:r>
          </w:p>
        </w:tc>
        <w:tc>
          <w:tcPr>
            <w:tcW w:w="2292" w:type="pct"/>
            <w:tcBorders>
              <w:top w:val="nil"/>
              <w:left w:val="nil"/>
              <w:bottom w:val="single" w:color="auto" w:sz="8" w:space="0"/>
              <w:right w:val="single" w:color="auto" w:sz="12" w:space="0"/>
            </w:tcBorders>
            <w:shd w:val="clear" w:color="auto" w:fill="FFFFFF"/>
            <w:noWrap w:val="0"/>
            <w:tcMar>
              <w:top w:w="57" w:type="dxa"/>
              <w:left w:w="57" w:type="dxa"/>
              <w:bottom w:w="57" w:type="dxa"/>
              <w:right w:w="57" w:type="dxa"/>
            </w:tcMar>
            <w:vAlign w:val="center"/>
          </w:tcPr>
          <w:p w14:paraId="6B33481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投标文件须对售后服务责任人、解决招标人各项技术问题、售后服务响应时间及满足服务要求（服务期、服务内容及成果等）的承诺等明确的售后服务管理体系保证措施进行阐述。</w:t>
            </w:r>
          </w:p>
          <w:p w14:paraId="444CFC9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后续服务安排合理，保证措施完善可行的，得4.5～5分；</w:t>
            </w:r>
          </w:p>
          <w:p w14:paraId="0F8AB37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i w:val="0"/>
                <w:iCs w:val="0"/>
                <w:caps w:val="0"/>
                <w:color w:val="000000"/>
                <w:spacing w:val="0"/>
                <w:sz w:val="18"/>
                <w:szCs w:val="18"/>
                <w:highlight w:val="none"/>
              </w:rPr>
              <w:t>后续服务安排较合理，保证措施较完善可行的，得3.5～4.5分；</w:t>
            </w:r>
          </w:p>
          <w:p w14:paraId="531FF6F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leftChars="0" w:right="0" w:rightChars="0"/>
              <w:jc w:val="both"/>
              <w:rPr>
                <w:rFonts w:hint="eastAsia"/>
                <w:color w:val="000000"/>
                <w:kern w:val="0"/>
                <w:sz w:val="18"/>
                <w:szCs w:val="18"/>
                <w:highlight w:val="none"/>
                <w:lang w:val="en-US" w:eastAsia="zh-CN" w:bidi="ar-SA"/>
              </w:rPr>
            </w:pPr>
            <w:r>
              <w:rPr>
                <w:rFonts w:hint="eastAsia" w:ascii="宋体" w:hAnsi="宋体" w:eastAsia="宋体" w:cs="宋体"/>
                <w:i w:val="0"/>
                <w:iCs w:val="0"/>
                <w:caps w:val="0"/>
                <w:color w:val="000000"/>
                <w:spacing w:val="0"/>
                <w:sz w:val="18"/>
                <w:szCs w:val="18"/>
                <w:highlight w:val="none"/>
              </w:rPr>
              <w:t>后续服务安排合理性一般，保证措施完善可行性一般的，得3～3.5分。</w:t>
            </w:r>
          </w:p>
        </w:tc>
      </w:tr>
    </w:tbl>
    <w:p w14:paraId="32FFA876">
      <w:pPr>
        <w:rPr>
          <w:rFonts w:hint="eastAsia"/>
          <w:color w:val="000000"/>
          <w:sz w:val="18"/>
          <w:szCs w:val="18"/>
          <w:highlight w:val="none"/>
        </w:rPr>
      </w:pPr>
    </w:p>
    <w:tbl>
      <w:tblPr>
        <w:tblStyle w:val="14"/>
        <w:tblpPr w:vertAnchor="text"/>
        <w:tblW w:w="525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3"/>
        <w:gridCol w:w="490"/>
        <w:gridCol w:w="497"/>
        <w:gridCol w:w="648"/>
        <w:gridCol w:w="1172"/>
        <w:gridCol w:w="584"/>
        <w:gridCol w:w="4605"/>
      </w:tblGrid>
      <w:tr w14:paraId="39C12D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94" w:hRule="atLeast"/>
          <w:tblHeader/>
        </w:trPr>
        <w:tc>
          <w:tcPr>
            <w:tcW w:w="482" w:type="pct"/>
            <w:tcBorders>
              <w:top w:val="nil"/>
              <w:left w:val="single" w:color="auto" w:sz="12" w:space="0"/>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203273F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2.2.4(2)</w:t>
            </w:r>
          </w:p>
        </w:tc>
        <w:tc>
          <w:tcPr>
            <w:tcW w:w="558" w:type="pct"/>
            <w:gridSpan w:val="2"/>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68E49F3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主要人员</w:t>
            </w:r>
          </w:p>
        </w:tc>
        <w:tc>
          <w:tcPr>
            <w:tcW w:w="366"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1ABD839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rPr>
              <w:t>20分</w:t>
            </w:r>
          </w:p>
        </w:tc>
        <w:tc>
          <w:tcPr>
            <w:tcW w:w="662"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797742E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项目负责人任职资格与业绩</w:t>
            </w:r>
          </w:p>
        </w:tc>
        <w:tc>
          <w:tcPr>
            <w:tcW w:w="330"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4AAB965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20分</w:t>
            </w:r>
          </w:p>
        </w:tc>
        <w:tc>
          <w:tcPr>
            <w:tcW w:w="2599" w:type="pct"/>
            <w:tcBorders>
              <w:top w:val="nil"/>
              <w:left w:val="nil"/>
              <w:bottom w:val="single" w:color="auto" w:sz="8" w:space="0"/>
              <w:right w:val="single" w:color="auto" w:sz="12" w:space="0"/>
            </w:tcBorders>
            <w:shd w:val="clear" w:color="auto" w:fill="FFFFFF"/>
            <w:noWrap w:val="0"/>
            <w:tcMar>
              <w:top w:w="57" w:type="dxa"/>
              <w:left w:w="57" w:type="dxa"/>
              <w:bottom w:w="57" w:type="dxa"/>
              <w:right w:w="57" w:type="dxa"/>
            </w:tcMar>
            <w:vAlign w:val="center"/>
          </w:tcPr>
          <w:p w14:paraId="43E935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color w:val="000000"/>
                <w:sz w:val="18"/>
                <w:szCs w:val="18"/>
                <w:highlight w:val="none"/>
              </w:rPr>
            </w:pPr>
            <w:r>
              <w:rPr>
                <w:rFonts w:hint="eastAsia" w:ascii="宋体" w:hAnsi="宋体" w:eastAsia="宋体" w:cs="宋体"/>
                <w:i w:val="0"/>
                <w:iCs w:val="0"/>
                <w:caps w:val="0"/>
                <w:color w:val="000000"/>
                <w:spacing w:val="0"/>
                <w:sz w:val="18"/>
                <w:szCs w:val="18"/>
                <w:highlight w:val="none"/>
              </w:rPr>
              <w:t>①满足资格审查条件最低要求得1</w:t>
            </w:r>
            <w:r>
              <w:rPr>
                <w:rFonts w:hint="eastAsia" w:ascii="宋体" w:hAnsi="宋体" w:eastAsia="宋体" w:cs="宋体"/>
                <w:i w:val="0"/>
                <w:iCs w:val="0"/>
                <w:caps w:val="0"/>
                <w:color w:val="000000"/>
                <w:spacing w:val="0"/>
                <w:sz w:val="18"/>
                <w:szCs w:val="18"/>
                <w:highlight w:val="none"/>
                <w:lang w:val="en-US" w:eastAsia="zh-CN"/>
              </w:rPr>
              <w:t>2</w:t>
            </w:r>
            <w:r>
              <w:rPr>
                <w:rFonts w:hint="eastAsia" w:ascii="宋体" w:hAnsi="宋体" w:eastAsia="宋体" w:cs="宋体"/>
                <w:i w:val="0"/>
                <w:iCs w:val="0"/>
                <w:caps w:val="0"/>
                <w:color w:val="000000"/>
                <w:spacing w:val="0"/>
                <w:sz w:val="18"/>
                <w:szCs w:val="18"/>
                <w:highlight w:val="none"/>
              </w:rPr>
              <w:t>分；</w:t>
            </w:r>
          </w:p>
          <w:p w14:paraId="2CC20C08">
            <w:pPr>
              <w:spacing w:line="240" w:lineRule="auto"/>
              <w:ind w:firstLine="0" w:firstLineChars="0"/>
              <w:jc w:val="left"/>
              <w:rPr>
                <w:rFonts w:hint="eastAsia" w:ascii="宋体" w:eastAsia="宋体" w:cs="宋体"/>
                <w:color w:val="000000"/>
                <w:sz w:val="18"/>
                <w:szCs w:val="18"/>
                <w:highlight w:val="none"/>
                <w:shd w:val="solid" w:color="FFFFFF" w:fill="FFFFFF"/>
                <w:lang w:bidi="ar-SA"/>
              </w:rPr>
            </w:pPr>
            <w:r>
              <w:rPr>
                <w:rFonts w:hint="eastAsia" w:ascii="宋体" w:hAnsi="宋体" w:eastAsia="宋体" w:cs="宋体"/>
                <w:i w:val="0"/>
                <w:iCs w:val="0"/>
                <w:caps w:val="0"/>
                <w:color w:val="000000"/>
                <w:spacing w:val="0"/>
                <w:sz w:val="18"/>
                <w:szCs w:val="18"/>
                <w:highlight w:val="none"/>
              </w:rPr>
              <w:t>②</w:t>
            </w:r>
            <w:r>
              <w:rPr>
                <w:rFonts w:hint="eastAsia" w:ascii="宋体" w:hAnsi="宋体" w:eastAsia="宋体" w:cs="宋体"/>
                <w:i w:val="0"/>
                <w:iCs w:val="0"/>
                <w:caps w:val="0"/>
                <w:color w:val="000000"/>
                <w:spacing w:val="0"/>
                <w:kern w:val="0"/>
                <w:sz w:val="18"/>
                <w:szCs w:val="18"/>
                <w:highlight w:val="none"/>
                <w:lang w:val="en-US" w:eastAsia="zh-CN" w:bidi="ar-SA"/>
              </w:rPr>
              <w:t>项目负责人为</w:t>
            </w:r>
            <w:r>
              <w:rPr>
                <w:rFonts w:hint="eastAsia" w:ascii="宋体" w:hAnsi="宋体" w:eastAsia="宋体" w:cs="宋体"/>
                <w:i w:val="0"/>
                <w:iCs w:val="0"/>
                <w:caps w:val="0"/>
                <w:color w:val="000000"/>
                <w:spacing w:val="0"/>
                <w:kern w:val="0"/>
                <w:sz w:val="18"/>
                <w:szCs w:val="18"/>
                <w:highlight w:val="none"/>
                <w:lang w:val="zh-TW" w:eastAsia="zh-TW" w:bidi="ar-SA"/>
              </w:rPr>
              <w:t>教授级高级工程师或研究员级工程师</w:t>
            </w:r>
            <w:r>
              <w:rPr>
                <w:rFonts w:hint="eastAsia" w:ascii="宋体" w:hAnsi="宋体" w:eastAsia="宋体" w:cs="宋体"/>
                <w:i w:val="0"/>
                <w:iCs w:val="0"/>
                <w:caps w:val="0"/>
                <w:color w:val="000000"/>
                <w:spacing w:val="0"/>
                <w:kern w:val="0"/>
                <w:sz w:val="18"/>
                <w:szCs w:val="18"/>
                <w:highlight w:val="none"/>
                <w:lang w:val="en-US" w:eastAsia="zh-CN" w:bidi="ar-SA"/>
              </w:rPr>
              <w:t>的，加2分；</w:t>
            </w:r>
          </w:p>
          <w:p w14:paraId="21E14070">
            <w:pPr>
              <w:spacing w:line="240" w:lineRule="auto"/>
              <w:ind w:firstLine="0" w:firstLineChars="0"/>
              <w:jc w:val="left"/>
              <w:rPr>
                <w:rFonts w:hint="eastAsia" w:ascii="宋体" w:hAnsi="宋体" w:eastAsia="宋体" w:cs="宋体"/>
                <w:i w:val="0"/>
                <w:iCs w:val="0"/>
                <w:caps w:val="0"/>
                <w:color w:val="000000"/>
                <w:spacing w:val="0"/>
                <w:kern w:val="0"/>
                <w:sz w:val="18"/>
                <w:szCs w:val="18"/>
                <w:highlight w:val="none"/>
                <w:lang w:val="en-US" w:eastAsia="zh-CN" w:bidi="ar-SA"/>
              </w:rPr>
            </w:pPr>
            <w:r>
              <w:rPr>
                <w:rFonts w:hint="eastAsia" w:ascii="宋体" w:hAnsi="宋体" w:eastAsia="宋体" w:cs="宋体"/>
                <w:i w:val="0"/>
                <w:iCs w:val="0"/>
                <w:caps w:val="0"/>
                <w:color w:val="000000"/>
                <w:spacing w:val="0"/>
                <w:kern w:val="0"/>
                <w:sz w:val="18"/>
                <w:szCs w:val="18"/>
                <w:highlight w:val="none"/>
                <w:lang w:val="en-US" w:eastAsia="zh-CN" w:bidi="ar-SA"/>
              </w:rPr>
              <w:t>③</w:t>
            </w:r>
            <w:r>
              <w:rPr>
                <w:rFonts w:hint="default" w:ascii="宋体" w:hAnsi="宋体" w:eastAsia="宋体" w:cs="宋体"/>
                <w:i w:val="0"/>
                <w:iCs w:val="0"/>
                <w:caps w:val="0"/>
                <w:color w:val="000000"/>
                <w:spacing w:val="0"/>
                <w:kern w:val="0"/>
                <w:sz w:val="18"/>
                <w:szCs w:val="18"/>
                <w:highlight w:val="none"/>
                <w:lang w:val="en-US" w:eastAsia="zh-CN" w:bidi="ar-SA"/>
              </w:rPr>
              <w:t>作为项目负责人每同时提供一个</w:t>
            </w:r>
            <w:r>
              <w:rPr>
                <w:rFonts w:hint="eastAsia" w:ascii="宋体" w:hAnsi="宋体" w:eastAsia="宋体" w:cs="宋体"/>
                <w:i w:val="0"/>
                <w:iCs w:val="0"/>
                <w:caps w:val="0"/>
                <w:color w:val="000000"/>
                <w:spacing w:val="0"/>
                <w:kern w:val="0"/>
                <w:sz w:val="18"/>
                <w:szCs w:val="18"/>
                <w:highlight w:val="none"/>
                <w:lang w:val="en-US" w:eastAsia="zh-CN" w:bidi="ar-SA"/>
              </w:rPr>
              <w:t>二级及以上等级</w:t>
            </w:r>
            <w:r>
              <w:rPr>
                <w:rFonts w:hint="default" w:ascii="宋体" w:hAnsi="宋体" w:eastAsia="宋体" w:cs="宋体"/>
                <w:i w:val="0"/>
                <w:iCs w:val="0"/>
                <w:caps w:val="0"/>
                <w:color w:val="000000"/>
                <w:spacing w:val="0"/>
                <w:kern w:val="0"/>
                <w:sz w:val="18"/>
                <w:szCs w:val="18"/>
                <w:highlight w:val="none"/>
                <w:lang w:val="en-US" w:eastAsia="zh-CN" w:bidi="ar-SA"/>
              </w:rPr>
              <w:t>公路</w:t>
            </w:r>
            <w:r>
              <w:rPr>
                <w:rFonts w:hint="eastAsia" w:ascii="宋体" w:hAnsi="宋体" w:eastAsia="宋体" w:cs="宋体"/>
                <w:i w:val="0"/>
                <w:iCs w:val="0"/>
                <w:caps w:val="0"/>
                <w:color w:val="000000"/>
                <w:spacing w:val="0"/>
                <w:kern w:val="0"/>
                <w:sz w:val="18"/>
                <w:szCs w:val="18"/>
                <w:highlight w:val="none"/>
                <w:lang w:val="en-US" w:eastAsia="zh-CN" w:bidi="ar-SA"/>
              </w:rPr>
              <w:t>（单个项目规模二级公路不少于50公里）</w:t>
            </w:r>
            <w:r>
              <w:rPr>
                <w:rFonts w:hint="default" w:ascii="宋体" w:hAnsi="宋体" w:eastAsia="宋体" w:cs="宋体"/>
                <w:i w:val="0"/>
                <w:iCs w:val="0"/>
                <w:caps w:val="0"/>
                <w:color w:val="000000"/>
                <w:spacing w:val="0"/>
                <w:kern w:val="0"/>
                <w:sz w:val="18"/>
                <w:szCs w:val="18"/>
                <w:highlight w:val="none"/>
                <w:lang w:val="en-US" w:eastAsia="zh-CN" w:bidi="ar-SA"/>
              </w:rPr>
              <w:t xml:space="preserve">项目主体工程的初步勘察设计和施工图勘察设计项目负责人业绩，加 2 分，最多加 </w:t>
            </w:r>
            <w:r>
              <w:rPr>
                <w:rFonts w:hint="eastAsia" w:ascii="宋体" w:hAnsi="宋体" w:eastAsia="宋体" w:cs="宋体"/>
                <w:i w:val="0"/>
                <w:iCs w:val="0"/>
                <w:caps w:val="0"/>
                <w:color w:val="000000"/>
                <w:spacing w:val="0"/>
                <w:kern w:val="0"/>
                <w:sz w:val="18"/>
                <w:szCs w:val="18"/>
                <w:highlight w:val="none"/>
                <w:lang w:val="en-US" w:eastAsia="zh-CN" w:bidi="ar-SA"/>
              </w:rPr>
              <w:t>4</w:t>
            </w:r>
            <w:r>
              <w:rPr>
                <w:rFonts w:hint="default" w:ascii="宋体" w:hAnsi="宋体" w:eastAsia="宋体" w:cs="宋体"/>
                <w:i w:val="0"/>
                <w:iCs w:val="0"/>
                <w:caps w:val="0"/>
                <w:color w:val="000000"/>
                <w:spacing w:val="0"/>
                <w:kern w:val="0"/>
                <w:sz w:val="18"/>
                <w:szCs w:val="18"/>
                <w:highlight w:val="none"/>
                <w:lang w:val="en-US" w:eastAsia="zh-CN" w:bidi="ar-SA"/>
              </w:rPr>
              <w:t xml:space="preserve"> 分</w:t>
            </w:r>
            <w:r>
              <w:rPr>
                <w:rFonts w:hint="eastAsia" w:ascii="宋体" w:hAnsi="宋体" w:eastAsia="宋体" w:cs="宋体"/>
                <w:i w:val="0"/>
                <w:iCs w:val="0"/>
                <w:caps w:val="0"/>
                <w:color w:val="000000"/>
                <w:spacing w:val="0"/>
                <w:kern w:val="0"/>
                <w:sz w:val="18"/>
                <w:szCs w:val="18"/>
                <w:highlight w:val="none"/>
                <w:lang w:val="en-US" w:eastAsia="zh-CN" w:bidi="ar-SA"/>
              </w:rPr>
              <w:t>；</w:t>
            </w:r>
          </w:p>
          <w:p w14:paraId="06FE8CF3">
            <w:pPr>
              <w:spacing w:line="240" w:lineRule="auto"/>
              <w:ind w:firstLine="0" w:firstLineChars="0"/>
              <w:jc w:val="left"/>
              <w:rPr>
                <w:rFonts w:hint="default" w:ascii="宋体" w:hAnsi="宋体" w:eastAsia="宋体" w:cs="宋体"/>
                <w:i w:val="0"/>
                <w:iCs w:val="0"/>
                <w:caps w:val="0"/>
                <w:color w:val="000000"/>
                <w:spacing w:val="0"/>
                <w:kern w:val="0"/>
                <w:sz w:val="18"/>
                <w:szCs w:val="18"/>
                <w:highlight w:val="none"/>
                <w:lang w:val="en-US" w:eastAsia="zh-CN" w:bidi="ar-SA"/>
              </w:rPr>
            </w:pPr>
            <w:r>
              <w:rPr>
                <w:rFonts w:hint="eastAsia" w:ascii="宋体" w:hAnsi="宋体" w:eastAsia="宋体" w:cs="宋体"/>
                <w:i w:val="0"/>
                <w:iCs w:val="0"/>
                <w:caps w:val="0"/>
                <w:color w:val="000000"/>
                <w:spacing w:val="0"/>
                <w:kern w:val="0"/>
                <w:sz w:val="18"/>
                <w:szCs w:val="18"/>
                <w:highlight w:val="none"/>
                <w:lang w:val="en-US" w:eastAsia="zh-CN" w:bidi="ar-SA"/>
              </w:rPr>
              <w:t>④项目负责人提供多年冻土地区勘察设计业绩，加2分，最多加2分。</w:t>
            </w:r>
          </w:p>
          <w:p w14:paraId="25815D43">
            <w:pPr>
              <w:spacing w:line="240" w:lineRule="auto"/>
              <w:ind w:firstLine="0" w:firstLineChars="0"/>
              <w:jc w:val="left"/>
              <w:rPr>
                <w:rFonts w:hint="eastAsia" w:ascii="宋体" w:hAnsi="宋体" w:eastAsia="宋体" w:cs="宋体"/>
                <w:i w:val="0"/>
                <w:iCs w:val="0"/>
                <w:caps w:val="0"/>
                <w:color w:val="000000"/>
                <w:spacing w:val="0"/>
                <w:kern w:val="0"/>
                <w:sz w:val="18"/>
                <w:szCs w:val="18"/>
                <w:highlight w:val="none"/>
                <w:lang w:val="en-US" w:eastAsia="zh-CN" w:bidi="ar-SA"/>
              </w:rPr>
            </w:pPr>
            <w:r>
              <w:rPr>
                <w:rFonts w:hint="eastAsia" w:ascii="宋体" w:hAnsi="宋体" w:eastAsia="宋体" w:cs="宋体"/>
                <w:i w:val="0"/>
                <w:iCs w:val="0"/>
                <w:caps w:val="0"/>
                <w:color w:val="000000"/>
                <w:spacing w:val="0"/>
                <w:kern w:val="0"/>
                <w:sz w:val="18"/>
                <w:szCs w:val="18"/>
                <w:highlight w:val="none"/>
                <w:lang w:val="en-US" w:eastAsia="zh-CN" w:bidi="ar-SA"/>
              </w:rPr>
              <w:t>如投标人提供一级及以上此类公路业绩的，其公路里程可折算成2倍的二级公路里程。例如：投标人已完成某条一级（高速）公路的此类业绩里程为10公里，则评标时可折算为：投标人已完成二级公路的此类业绩里程为20公里。</w:t>
            </w:r>
          </w:p>
          <w:p w14:paraId="00F2FEC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b/>
                <w:bCs/>
                <w:i w:val="0"/>
                <w:iCs w:val="0"/>
                <w:caps w:val="0"/>
                <w:color w:val="000000"/>
                <w:spacing w:val="0"/>
                <w:sz w:val="18"/>
                <w:szCs w:val="18"/>
                <w:highlight w:val="none"/>
              </w:rPr>
              <w:t>注：①业绩证明材料按“投标人须知前附表”第3.5.4项规定执行；</w:t>
            </w:r>
          </w:p>
          <w:p w14:paraId="162FC0B4">
            <w:pPr>
              <w:spacing w:line="360" w:lineRule="exact"/>
              <w:rPr>
                <w:rFonts w:hint="default" w:ascii="宋体" w:hAnsi="宋体" w:eastAsia="宋体" w:cs="宋体"/>
                <w:b/>
                <w:bCs/>
                <w:i w:val="0"/>
                <w:iCs w:val="0"/>
                <w:caps w:val="0"/>
                <w:color w:val="000000"/>
                <w:spacing w:val="0"/>
                <w:kern w:val="0"/>
                <w:sz w:val="18"/>
                <w:szCs w:val="18"/>
                <w:highlight w:val="none"/>
                <w:lang w:val="en-US" w:eastAsia="zh-CN" w:bidi="ar-SA"/>
              </w:rPr>
            </w:pPr>
            <w:r>
              <w:rPr>
                <w:rFonts w:hint="eastAsia" w:ascii="宋体" w:hAnsi="宋体" w:eastAsia="宋体" w:cs="宋体"/>
                <w:b/>
                <w:bCs/>
                <w:i w:val="0"/>
                <w:iCs w:val="0"/>
                <w:caps w:val="0"/>
                <w:color w:val="000000"/>
                <w:spacing w:val="0"/>
                <w:kern w:val="0"/>
                <w:sz w:val="18"/>
                <w:szCs w:val="18"/>
                <w:highlight w:val="none"/>
                <w:lang w:val="en-US" w:eastAsia="zh-CN" w:bidi="ar-SA"/>
              </w:rPr>
              <w:t>②二级及以上等级</w:t>
            </w:r>
            <w:r>
              <w:rPr>
                <w:rFonts w:hint="default" w:ascii="宋体" w:hAnsi="宋体" w:eastAsia="宋体" w:cs="宋体"/>
                <w:b/>
                <w:bCs/>
                <w:i w:val="0"/>
                <w:iCs w:val="0"/>
                <w:caps w:val="0"/>
                <w:color w:val="000000"/>
                <w:spacing w:val="0"/>
                <w:kern w:val="0"/>
                <w:sz w:val="18"/>
                <w:szCs w:val="18"/>
                <w:highlight w:val="none"/>
                <w:lang w:val="en-US" w:eastAsia="zh-CN" w:bidi="ar-SA"/>
              </w:rPr>
              <w:t>公路项目指的是公路新建或改扩建项目（不含养护工程项目）；</w:t>
            </w:r>
          </w:p>
          <w:p w14:paraId="423618D3">
            <w:pPr>
              <w:numPr>
                <w:ilvl w:val="0"/>
                <w:numId w:val="0"/>
              </w:numPr>
              <w:spacing w:line="360" w:lineRule="exact"/>
              <w:rPr>
                <w:rFonts w:hint="default" w:ascii="宋体" w:hAnsi="宋体" w:eastAsia="宋体" w:cs="宋体"/>
                <w:b/>
                <w:bCs/>
                <w:i w:val="0"/>
                <w:iCs w:val="0"/>
                <w:caps w:val="0"/>
                <w:color w:val="000000"/>
                <w:spacing w:val="0"/>
                <w:kern w:val="0"/>
                <w:sz w:val="18"/>
                <w:szCs w:val="18"/>
                <w:highlight w:val="none"/>
                <w:lang w:val="en-US" w:eastAsia="zh-CN" w:bidi="ar-SA"/>
              </w:rPr>
            </w:pPr>
            <w:r>
              <w:rPr>
                <w:rFonts w:hint="eastAsia" w:ascii="宋体" w:hAnsi="宋体" w:eastAsia="宋体" w:cs="宋体"/>
                <w:b/>
                <w:bCs/>
                <w:i w:val="0"/>
                <w:iCs w:val="0"/>
                <w:caps w:val="0"/>
                <w:color w:val="000000"/>
                <w:spacing w:val="0"/>
                <w:kern w:val="0"/>
                <w:sz w:val="18"/>
                <w:szCs w:val="18"/>
                <w:highlight w:val="none"/>
                <w:lang w:val="en-US" w:eastAsia="zh-CN" w:bidi="ar-SA"/>
              </w:rPr>
              <w:t>③</w:t>
            </w:r>
            <w:r>
              <w:rPr>
                <w:rFonts w:hint="default" w:ascii="宋体" w:hAnsi="宋体" w:eastAsia="宋体" w:cs="宋体"/>
                <w:b/>
                <w:bCs/>
                <w:i w:val="0"/>
                <w:iCs w:val="0"/>
                <w:caps w:val="0"/>
                <w:color w:val="000000"/>
                <w:spacing w:val="0"/>
                <w:kern w:val="0"/>
                <w:sz w:val="18"/>
                <w:szCs w:val="18"/>
                <w:highlight w:val="none"/>
                <w:lang w:val="en-US" w:eastAsia="zh-CN" w:bidi="ar-SA"/>
              </w:rPr>
              <w:t>项目负责人的个人业绩加分项不设年限要求，以初步设计和施工图设计的批复为准。</w:t>
            </w:r>
          </w:p>
          <w:p w14:paraId="043DF52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18"/>
                <w:szCs w:val="18"/>
                <w:highlight w:val="none"/>
              </w:rPr>
            </w:pPr>
            <w:r>
              <w:rPr>
                <w:rFonts w:hint="eastAsia" w:ascii="宋体" w:hAnsi="宋体" w:eastAsia="宋体" w:cs="宋体"/>
                <w:b/>
                <w:bCs/>
                <w:i w:val="0"/>
                <w:iCs w:val="0"/>
                <w:caps w:val="0"/>
                <w:color w:val="000000"/>
                <w:spacing w:val="0"/>
                <w:kern w:val="0"/>
                <w:sz w:val="18"/>
                <w:szCs w:val="18"/>
                <w:highlight w:val="none"/>
                <w:lang w:val="en-US" w:eastAsia="zh-CN" w:bidi="ar-SA"/>
              </w:rPr>
              <w:t>④</w:t>
            </w:r>
            <w:r>
              <w:rPr>
                <w:rFonts w:hint="default" w:ascii="宋体" w:hAnsi="宋体" w:eastAsia="宋体" w:cs="宋体"/>
                <w:b/>
                <w:bCs/>
                <w:i w:val="0"/>
                <w:iCs w:val="0"/>
                <w:caps w:val="0"/>
                <w:color w:val="000000"/>
                <w:spacing w:val="0"/>
                <w:kern w:val="0"/>
                <w:sz w:val="18"/>
                <w:szCs w:val="18"/>
                <w:highlight w:val="none"/>
                <w:lang w:val="en-US" w:eastAsia="zh-CN" w:bidi="ar-SA"/>
              </w:rPr>
              <w:t>初步勘察设计和施工图勘察设计业绩可不在同一项目。</w:t>
            </w:r>
          </w:p>
        </w:tc>
      </w:tr>
      <w:tr w14:paraId="5DDA09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7" w:hRule="atLeast"/>
          <w:tblHeader/>
        </w:trPr>
        <w:tc>
          <w:tcPr>
            <w:tcW w:w="482" w:type="pct"/>
            <w:tcBorders>
              <w:top w:val="nil"/>
              <w:left w:val="single" w:color="auto" w:sz="12" w:space="0"/>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06F3657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2.2.4(3)</w:t>
            </w:r>
          </w:p>
        </w:tc>
        <w:tc>
          <w:tcPr>
            <w:tcW w:w="558" w:type="pct"/>
            <w:gridSpan w:val="2"/>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6B9A7DE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评标价</w:t>
            </w:r>
          </w:p>
        </w:tc>
        <w:tc>
          <w:tcPr>
            <w:tcW w:w="366" w:type="pct"/>
            <w:tcBorders>
              <w:top w:val="nil"/>
              <w:left w:val="nil"/>
              <w:bottom w:val="single" w:color="auto" w:sz="8" w:space="0"/>
              <w:right w:val="single" w:color="auto" w:sz="8" w:space="0"/>
            </w:tcBorders>
            <w:shd w:val="clear" w:color="auto" w:fill="FFFFFF"/>
            <w:noWrap w:val="0"/>
            <w:tcMar>
              <w:top w:w="57" w:type="dxa"/>
              <w:left w:w="57" w:type="dxa"/>
              <w:bottom w:w="57" w:type="dxa"/>
              <w:right w:w="57" w:type="dxa"/>
            </w:tcMar>
            <w:vAlign w:val="center"/>
          </w:tcPr>
          <w:p w14:paraId="632CD50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10分</w:t>
            </w:r>
          </w:p>
        </w:tc>
        <w:tc>
          <w:tcPr>
            <w:tcW w:w="3592" w:type="pct"/>
            <w:gridSpan w:val="3"/>
            <w:tcBorders>
              <w:top w:val="nil"/>
              <w:left w:val="nil"/>
              <w:bottom w:val="single" w:color="auto" w:sz="8" w:space="0"/>
              <w:right w:val="single" w:color="auto" w:sz="12" w:space="0"/>
            </w:tcBorders>
            <w:shd w:val="clear" w:color="auto" w:fill="FFFFFF"/>
            <w:noWrap w:val="0"/>
            <w:tcMar>
              <w:top w:w="57" w:type="dxa"/>
              <w:left w:w="57" w:type="dxa"/>
              <w:bottom w:w="57" w:type="dxa"/>
              <w:right w:w="57" w:type="dxa"/>
            </w:tcMar>
            <w:vAlign w:val="center"/>
          </w:tcPr>
          <w:p w14:paraId="2CA85C3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评标价得分计算公式示例：</w:t>
            </w:r>
          </w:p>
          <w:p w14:paraId="2E346E1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(1)如果投标人的评标价＞评标基准价，则评标价得分=F-偏差率×100×E1;</w:t>
            </w:r>
          </w:p>
          <w:p w14:paraId="0C78E42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(2)如果投标人的评标价≤评标基准价，则评标价得分=F+偏差率×100×E2。</w:t>
            </w:r>
          </w:p>
          <w:p w14:paraId="1E4CB22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000000"/>
                <w:spacing w:val="0"/>
                <w:sz w:val="18"/>
                <w:szCs w:val="18"/>
                <w:highlight w:val="none"/>
                <w:shd w:val="clear" w:color="auto" w:fill="FFFFFF"/>
              </w:rPr>
            </w:pPr>
            <w:r>
              <w:rPr>
                <w:rFonts w:hint="eastAsia" w:ascii="宋体" w:hAnsi="宋体" w:eastAsia="宋体" w:cs="宋体"/>
                <w:i w:val="0"/>
                <w:iCs w:val="0"/>
                <w:caps w:val="0"/>
                <w:color w:val="000000"/>
                <w:spacing w:val="0"/>
                <w:sz w:val="18"/>
                <w:szCs w:val="18"/>
                <w:highlight w:val="none"/>
                <w:shd w:val="clear" w:color="auto" w:fill="FFFFFF"/>
              </w:rPr>
              <w:t>其中：F=10，评标价所占的权重分值，E1是评标价每高于评标基准价一个百分点的扣分值，E2是评标价每低于评标基准价一个百分点的扣分值；E1=</w:t>
            </w:r>
            <w:r>
              <w:rPr>
                <w:rFonts w:hint="eastAsia" w:ascii="宋体" w:hAnsi="宋体" w:eastAsia="宋体" w:cs="宋体"/>
                <w:i w:val="0"/>
                <w:iCs w:val="0"/>
                <w:caps w:val="0"/>
                <w:color w:val="000000"/>
                <w:spacing w:val="0"/>
                <w:sz w:val="18"/>
                <w:szCs w:val="18"/>
                <w:highlight w:val="none"/>
                <w:shd w:val="clear" w:color="auto" w:fill="FFFFFF"/>
                <w:lang w:val="en-US" w:eastAsia="zh-CN"/>
              </w:rPr>
              <w:t>1</w:t>
            </w:r>
            <w:r>
              <w:rPr>
                <w:rFonts w:hint="eastAsia" w:ascii="宋体" w:hAnsi="宋体" w:eastAsia="宋体" w:cs="宋体"/>
                <w:i w:val="0"/>
                <w:iCs w:val="0"/>
                <w:caps w:val="0"/>
                <w:color w:val="000000"/>
                <w:spacing w:val="0"/>
                <w:sz w:val="18"/>
                <w:szCs w:val="18"/>
                <w:highlight w:val="none"/>
                <w:shd w:val="clear" w:color="auto" w:fill="FFFFFF"/>
              </w:rPr>
              <w:t>；E2=0.</w:t>
            </w:r>
            <w:r>
              <w:rPr>
                <w:rFonts w:hint="eastAsia" w:ascii="宋体" w:hAnsi="宋体" w:eastAsia="宋体" w:cs="宋体"/>
                <w:i w:val="0"/>
                <w:iCs w:val="0"/>
                <w:caps w:val="0"/>
                <w:color w:val="000000"/>
                <w:spacing w:val="0"/>
                <w:sz w:val="18"/>
                <w:szCs w:val="18"/>
                <w:highlight w:val="none"/>
                <w:shd w:val="clear" w:color="auto" w:fill="FFFFFF"/>
                <w:lang w:val="en-US" w:eastAsia="zh-CN"/>
              </w:rPr>
              <w:t>5</w:t>
            </w:r>
            <w:r>
              <w:rPr>
                <w:rFonts w:hint="eastAsia" w:ascii="宋体" w:hAnsi="宋体" w:eastAsia="宋体" w:cs="宋体"/>
                <w:i w:val="0"/>
                <w:iCs w:val="0"/>
                <w:caps w:val="0"/>
                <w:color w:val="000000"/>
                <w:spacing w:val="0"/>
                <w:sz w:val="18"/>
                <w:szCs w:val="18"/>
                <w:highlight w:val="none"/>
                <w:shd w:val="clear" w:color="auto" w:fill="FFFFFF"/>
              </w:rPr>
              <w:t>。评标价最低得分为0分。</w:t>
            </w:r>
          </w:p>
          <w:p w14:paraId="229CCC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000000"/>
                <w:spacing w:val="0"/>
                <w:sz w:val="18"/>
                <w:szCs w:val="18"/>
                <w:highlight w:val="none"/>
                <w:shd w:val="clear" w:color="auto" w:fill="FFFFFF"/>
              </w:rPr>
            </w:pPr>
            <w:r>
              <w:rPr>
                <w:rFonts w:hint="eastAsia" w:ascii="宋体" w:hAnsi="宋体" w:eastAsia="宋体" w:cs="宋体"/>
                <w:i w:val="0"/>
                <w:iCs w:val="0"/>
                <w:caps w:val="0"/>
                <w:color w:val="000000"/>
                <w:spacing w:val="0"/>
                <w:sz w:val="18"/>
                <w:szCs w:val="18"/>
                <w:highlight w:val="none"/>
                <w:shd w:val="clear" w:color="auto" w:fill="FFFFFF"/>
              </w:rPr>
              <w:t>招标人设置成本价评估值，成本价评估值作为投标人投标报价是否“明显低于其他投标人报价”的重要参考依据。投标人的投标报价低于成本价评估值的，该投标人应在第六章(投标文件格式)报价文件后对其投标报价作出书面说明，提供投标报价构成说明及相关证明材料，并加盖投标人单位公章。投标人未提供或不能证明可以按照其报价以及招标文件规定的质量标准和履行期限完成招标项目的，评标委员会应当认定该投标人以低于成本价竞标，并否决其投标。</w:t>
            </w:r>
          </w:p>
          <w:p w14:paraId="3EFCDFC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000000"/>
                <w:spacing w:val="0"/>
                <w:sz w:val="18"/>
                <w:szCs w:val="18"/>
                <w:highlight w:val="none"/>
                <w:shd w:val="clear" w:color="auto" w:fill="FFFFFF"/>
              </w:rPr>
            </w:pPr>
            <w:r>
              <w:rPr>
                <w:rFonts w:hint="eastAsia" w:ascii="宋体" w:hAnsi="宋体" w:eastAsia="宋体" w:cs="宋体"/>
                <w:i w:val="0"/>
                <w:iCs w:val="0"/>
                <w:caps w:val="0"/>
                <w:color w:val="000000"/>
                <w:spacing w:val="0"/>
                <w:sz w:val="18"/>
                <w:szCs w:val="18"/>
                <w:highlight w:val="none"/>
                <w:shd w:val="clear" w:color="auto" w:fill="FFFFFF"/>
              </w:rPr>
              <w:t>成本价评估值=最高投标限价*0.85。</w:t>
            </w:r>
          </w:p>
        </w:tc>
      </w:tr>
      <w:tr w14:paraId="69EBFB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78" w:hRule="atLeast"/>
          <w:tblHeader/>
        </w:trPr>
        <w:tc>
          <w:tcPr>
            <w:tcW w:w="482" w:type="pct"/>
            <w:tcBorders>
              <w:top w:val="nil"/>
              <w:left w:val="single" w:color="auto" w:sz="12" w:space="0"/>
              <w:bottom w:val="single" w:color="auto" w:sz="4" w:space="0"/>
              <w:right w:val="single" w:color="auto" w:sz="8" w:space="0"/>
            </w:tcBorders>
            <w:shd w:val="clear" w:color="auto" w:fill="FFFFFF"/>
            <w:noWrap w:val="0"/>
            <w:tcMar>
              <w:top w:w="57" w:type="dxa"/>
              <w:left w:w="57" w:type="dxa"/>
              <w:bottom w:w="57" w:type="dxa"/>
              <w:right w:w="57" w:type="dxa"/>
            </w:tcMar>
            <w:vAlign w:val="center"/>
          </w:tcPr>
          <w:p w14:paraId="2BBD4C4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2.2.4(4)</w:t>
            </w:r>
          </w:p>
        </w:tc>
        <w:tc>
          <w:tcPr>
            <w:tcW w:w="277" w:type="pct"/>
            <w:tcBorders>
              <w:top w:val="nil"/>
              <w:left w:val="nil"/>
              <w:bottom w:val="single" w:color="auto" w:sz="4" w:space="0"/>
              <w:right w:val="single" w:color="auto" w:sz="8" w:space="0"/>
            </w:tcBorders>
            <w:shd w:val="clear" w:color="auto" w:fill="FFFFFF"/>
            <w:noWrap w:val="0"/>
            <w:tcMar>
              <w:top w:w="57" w:type="dxa"/>
              <w:left w:w="57" w:type="dxa"/>
              <w:bottom w:w="57" w:type="dxa"/>
              <w:right w:w="57" w:type="dxa"/>
            </w:tcMar>
            <w:vAlign w:val="center"/>
          </w:tcPr>
          <w:p w14:paraId="379FC2A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其</w:t>
            </w:r>
          </w:p>
          <w:p w14:paraId="4F1B791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他</w:t>
            </w:r>
          </w:p>
          <w:p w14:paraId="57AB7ED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因</w:t>
            </w:r>
          </w:p>
          <w:p w14:paraId="10DE72B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素</w:t>
            </w:r>
          </w:p>
        </w:tc>
        <w:tc>
          <w:tcPr>
            <w:tcW w:w="281" w:type="pct"/>
            <w:tcBorders>
              <w:top w:val="nil"/>
              <w:left w:val="nil"/>
              <w:bottom w:val="single" w:color="auto" w:sz="4" w:space="0"/>
              <w:right w:val="single" w:color="auto" w:sz="8" w:space="0"/>
            </w:tcBorders>
            <w:shd w:val="clear" w:color="auto" w:fill="FFFFFF"/>
            <w:noWrap w:val="0"/>
            <w:tcMar>
              <w:top w:w="57" w:type="dxa"/>
              <w:left w:w="57" w:type="dxa"/>
              <w:bottom w:w="57" w:type="dxa"/>
              <w:right w:w="57" w:type="dxa"/>
            </w:tcMar>
            <w:vAlign w:val="center"/>
          </w:tcPr>
          <w:p w14:paraId="3C9BC74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业绩</w:t>
            </w:r>
          </w:p>
        </w:tc>
        <w:tc>
          <w:tcPr>
            <w:tcW w:w="366" w:type="pct"/>
            <w:tcBorders>
              <w:top w:val="nil"/>
              <w:left w:val="nil"/>
              <w:bottom w:val="single" w:color="auto" w:sz="4" w:space="0"/>
              <w:right w:val="single" w:color="auto" w:sz="8" w:space="0"/>
            </w:tcBorders>
            <w:shd w:val="clear" w:color="auto" w:fill="FFFFFF"/>
            <w:noWrap w:val="0"/>
            <w:tcMar>
              <w:top w:w="57" w:type="dxa"/>
              <w:left w:w="57" w:type="dxa"/>
              <w:bottom w:w="57" w:type="dxa"/>
              <w:right w:w="57" w:type="dxa"/>
            </w:tcMar>
            <w:vAlign w:val="center"/>
          </w:tcPr>
          <w:p w14:paraId="422972A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color w:val="000000"/>
                <w:sz w:val="18"/>
                <w:szCs w:val="18"/>
                <w:highlight w:val="none"/>
              </w:rPr>
            </w:pPr>
            <w:r>
              <w:rPr>
                <w:rFonts w:hint="eastAsia" w:ascii="宋体" w:hAnsi="宋体" w:eastAsia="宋体" w:cs="宋体"/>
                <w:i w:val="0"/>
                <w:iCs w:val="0"/>
                <w:caps w:val="0"/>
                <w:color w:val="000000"/>
                <w:spacing w:val="0"/>
                <w:sz w:val="18"/>
                <w:szCs w:val="18"/>
                <w:highlight w:val="none"/>
                <w:shd w:val="clear" w:color="auto" w:fill="FFFFFF"/>
              </w:rPr>
              <w:t>25分</w:t>
            </w:r>
          </w:p>
        </w:tc>
        <w:tc>
          <w:tcPr>
            <w:tcW w:w="3592" w:type="pct"/>
            <w:gridSpan w:val="3"/>
            <w:tcBorders>
              <w:top w:val="nil"/>
              <w:left w:val="nil"/>
              <w:bottom w:val="single" w:color="auto" w:sz="4" w:space="0"/>
              <w:right w:val="single" w:color="auto" w:sz="12" w:space="0"/>
            </w:tcBorders>
            <w:shd w:val="clear" w:color="auto" w:fill="FFFFFF"/>
            <w:noWrap w:val="0"/>
            <w:tcMar>
              <w:top w:w="57" w:type="dxa"/>
              <w:left w:w="57" w:type="dxa"/>
              <w:bottom w:w="57" w:type="dxa"/>
              <w:right w:w="57" w:type="dxa"/>
            </w:tcMar>
            <w:vAlign w:val="center"/>
          </w:tcPr>
          <w:p w14:paraId="76FC1737">
            <w:pPr>
              <w:spacing w:line="240" w:lineRule="auto"/>
              <w:ind w:firstLine="0" w:firstLineChars="0"/>
              <w:jc w:val="left"/>
              <w:rPr>
                <w:rFonts w:hint="eastAsia" w:ascii="宋体" w:hAnsi="宋体" w:eastAsia="宋体" w:cs="宋体"/>
                <w:i w:val="0"/>
                <w:iCs w:val="0"/>
                <w:caps w:val="0"/>
                <w:color w:val="000000"/>
                <w:spacing w:val="0"/>
                <w:kern w:val="0"/>
                <w:sz w:val="18"/>
                <w:szCs w:val="18"/>
                <w:highlight w:val="none"/>
                <w:shd w:val="clear" w:color="auto" w:fill="FFFFFF"/>
                <w:lang w:val="en-US" w:eastAsia="zh-CN" w:bidi="ar-SA"/>
              </w:rPr>
            </w:pPr>
            <w:r>
              <w:rPr>
                <w:rFonts w:hint="eastAsia" w:ascii="宋体" w:hAnsi="宋体" w:eastAsia="宋体" w:cs="宋体"/>
                <w:i w:val="0"/>
                <w:iCs w:val="0"/>
                <w:caps w:val="0"/>
                <w:color w:val="000000"/>
                <w:spacing w:val="0"/>
                <w:kern w:val="0"/>
                <w:sz w:val="18"/>
                <w:szCs w:val="18"/>
                <w:highlight w:val="none"/>
                <w:shd w:val="clear" w:color="auto" w:fill="FFFFFF"/>
                <w:lang w:val="en-US" w:eastAsia="zh-CN" w:bidi="ar-SA"/>
              </w:rPr>
              <w:t>满足资格审查条件最低要求的，得15分。加分情况如下：</w:t>
            </w:r>
          </w:p>
          <w:p w14:paraId="0C20CDB1">
            <w:pPr>
              <w:numPr>
                <w:ilvl w:val="0"/>
                <w:numId w:val="2"/>
              </w:numPr>
              <w:spacing w:line="240" w:lineRule="auto"/>
              <w:ind w:firstLine="0" w:firstLineChars="0"/>
              <w:jc w:val="left"/>
              <w:rPr>
                <w:rFonts w:hint="eastAsia" w:ascii="宋体" w:hAnsi="宋体" w:eastAsia="宋体" w:cs="宋体"/>
                <w:i w:val="0"/>
                <w:iCs w:val="0"/>
                <w:caps w:val="0"/>
                <w:color w:val="000000"/>
                <w:spacing w:val="0"/>
                <w:kern w:val="0"/>
                <w:sz w:val="18"/>
                <w:szCs w:val="18"/>
                <w:highlight w:val="none"/>
                <w:shd w:val="clear" w:color="auto" w:fill="FFFFFF"/>
                <w:lang w:val="en-US" w:eastAsia="zh-CN" w:bidi="ar-SA"/>
              </w:rPr>
            </w:pPr>
            <w:r>
              <w:rPr>
                <w:rFonts w:hint="eastAsia" w:ascii="宋体" w:hAnsi="宋体" w:eastAsia="宋体" w:cs="宋体"/>
                <w:i w:val="0"/>
                <w:iCs w:val="0"/>
                <w:caps w:val="0"/>
                <w:color w:val="000000"/>
                <w:spacing w:val="0"/>
                <w:kern w:val="0"/>
                <w:sz w:val="18"/>
                <w:szCs w:val="18"/>
                <w:highlight w:val="none"/>
                <w:shd w:val="clear" w:color="auto" w:fill="FFFFFF"/>
                <w:lang w:val="en-US" w:eastAsia="zh-CN" w:bidi="ar-SA"/>
              </w:rPr>
              <w:t>在满足资格审查条件的基础上，每累计增加100公里二级及以上公路初步设计勘察和施工图设计勘察设计业绩，加2分，最多加4分，不足100公里整数倍的，不按比例内插计算得分；</w:t>
            </w:r>
          </w:p>
          <w:p w14:paraId="11F11A02">
            <w:pPr>
              <w:numPr>
                <w:ilvl w:val="0"/>
                <w:numId w:val="2"/>
              </w:numPr>
              <w:spacing w:line="240" w:lineRule="auto"/>
              <w:ind w:firstLine="0" w:firstLineChars="0"/>
              <w:jc w:val="left"/>
              <w:rPr>
                <w:rFonts w:hint="eastAsia" w:ascii="宋体" w:hAnsi="宋体" w:eastAsia="宋体" w:cs="宋体"/>
                <w:i w:val="0"/>
                <w:iCs w:val="0"/>
                <w:caps w:val="0"/>
                <w:color w:val="000000"/>
                <w:spacing w:val="0"/>
                <w:kern w:val="0"/>
                <w:sz w:val="18"/>
                <w:szCs w:val="18"/>
                <w:highlight w:val="none"/>
                <w:shd w:val="clear" w:color="auto" w:fill="FFFFFF"/>
                <w:lang w:val="en-US" w:eastAsia="zh-CN" w:bidi="ar-SA"/>
              </w:rPr>
            </w:pPr>
            <w:r>
              <w:rPr>
                <w:rFonts w:hint="eastAsia" w:ascii="宋体" w:hAnsi="宋体" w:eastAsia="宋体" w:cs="宋体"/>
                <w:i w:val="0"/>
                <w:iCs w:val="0"/>
                <w:caps w:val="0"/>
                <w:color w:val="000000"/>
                <w:spacing w:val="0"/>
                <w:kern w:val="0"/>
                <w:sz w:val="18"/>
                <w:szCs w:val="18"/>
                <w:highlight w:val="none"/>
                <w:shd w:val="clear" w:color="auto" w:fill="FFFFFF"/>
                <w:lang w:val="en-US" w:eastAsia="zh-CN" w:bidi="ar-SA"/>
              </w:rPr>
              <w:t>有处理公路多年冻土路段经验的，每累计增加1个多年冻土公路项目初步设计和施工图勘察设计业绩，加2分，最多加6分。提供体现多年冻土路段的初步设计和施工图设计批复文件；提供的初步设计和施工图设计批复文件未体现冻土路段的，需提供由项目业主单位出具的证明材料（加盖业主单位公章及投标单位公章）。</w:t>
            </w:r>
          </w:p>
          <w:p w14:paraId="2B4004B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i w:val="0"/>
                <w:iCs w:val="0"/>
                <w:caps w:val="0"/>
                <w:color w:val="000000"/>
                <w:spacing w:val="0"/>
                <w:kern w:val="0"/>
                <w:sz w:val="18"/>
                <w:szCs w:val="18"/>
                <w:highlight w:val="none"/>
                <w:shd w:val="clear" w:color="auto" w:fill="FFFFFF"/>
                <w:lang w:val="en-US" w:eastAsia="zh-CN" w:bidi="ar-SA"/>
              </w:rPr>
            </w:pPr>
            <w:r>
              <w:rPr>
                <w:rFonts w:hint="eastAsia" w:ascii="宋体" w:hAnsi="宋体" w:eastAsia="宋体" w:cs="宋体"/>
                <w:i w:val="0"/>
                <w:iCs w:val="0"/>
                <w:caps w:val="0"/>
                <w:color w:val="000000"/>
                <w:spacing w:val="0"/>
                <w:kern w:val="0"/>
                <w:sz w:val="18"/>
                <w:szCs w:val="18"/>
                <w:highlight w:val="none"/>
                <w:shd w:val="clear" w:color="auto" w:fill="FFFFFF"/>
                <w:lang w:val="en-US" w:eastAsia="zh-CN" w:bidi="ar-SA"/>
              </w:rPr>
              <w:t>如投标人提供一级及以上此类公路业绩的，其公路里程可折算成2倍的二级公路里程。例如：投标人已完成某条一级（高速）公路的此类业绩里程为10公里，则评标时可折算为：投标人已完成二级公路的此类业绩里程为20公里。</w:t>
            </w:r>
          </w:p>
          <w:p w14:paraId="001CE590">
            <w:pPr>
              <w:spacing w:line="360" w:lineRule="exact"/>
              <w:rPr>
                <w:rFonts w:hint="default" w:ascii="宋体" w:hAnsi="宋体" w:eastAsia="宋体" w:cs="宋体"/>
                <w:b/>
                <w:bCs/>
                <w:i w:val="0"/>
                <w:iCs w:val="0"/>
                <w:caps w:val="0"/>
                <w:color w:val="000000"/>
                <w:spacing w:val="0"/>
                <w:kern w:val="0"/>
                <w:sz w:val="18"/>
                <w:szCs w:val="18"/>
                <w:highlight w:val="none"/>
                <w:lang w:val="en-US" w:eastAsia="zh-CN" w:bidi="ar-SA"/>
              </w:rPr>
            </w:pPr>
            <w:r>
              <w:rPr>
                <w:rFonts w:hint="eastAsia" w:ascii="宋体" w:hAnsi="宋体" w:eastAsia="宋体" w:cs="宋体"/>
                <w:b/>
                <w:bCs/>
                <w:i w:val="0"/>
                <w:iCs w:val="0"/>
                <w:caps w:val="0"/>
                <w:color w:val="000000"/>
                <w:spacing w:val="0"/>
                <w:sz w:val="18"/>
                <w:szCs w:val="18"/>
                <w:highlight w:val="none"/>
              </w:rPr>
              <w:t>注：①</w:t>
            </w:r>
            <w:r>
              <w:rPr>
                <w:rFonts w:hint="eastAsia" w:ascii="宋体" w:hAnsi="宋体" w:eastAsia="宋体" w:cs="宋体"/>
                <w:b/>
                <w:bCs/>
                <w:i w:val="0"/>
                <w:iCs w:val="0"/>
                <w:caps w:val="0"/>
                <w:color w:val="000000"/>
                <w:spacing w:val="0"/>
                <w:kern w:val="0"/>
                <w:sz w:val="18"/>
                <w:szCs w:val="18"/>
                <w:highlight w:val="none"/>
                <w:lang w:val="en-US" w:eastAsia="zh-CN" w:bidi="ar-SA"/>
              </w:rPr>
              <w:t>二级及以上等级</w:t>
            </w:r>
            <w:r>
              <w:rPr>
                <w:rFonts w:hint="default" w:ascii="宋体" w:hAnsi="宋体" w:eastAsia="宋体" w:cs="宋体"/>
                <w:b/>
                <w:bCs/>
                <w:i w:val="0"/>
                <w:iCs w:val="0"/>
                <w:caps w:val="0"/>
                <w:color w:val="000000"/>
                <w:spacing w:val="0"/>
                <w:kern w:val="0"/>
                <w:sz w:val="18"/>
                <w:szCs w:val="18"/>
                <w:highlight w:val="none"/>
                <w:lang w:val="en-US" w:eastAsia="zh-CN" w:bidi="ar-SA"/>
              </w:rPr>
              <w:t>公路项目指的是公路新建或改扩建项目（不含养护工程项目）；</w:t>
            </w:r>
          </w:p>
          <w:p w14:paraId="2BB369C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color w:val="000000"/>
                <w:sz w:val="18"/>
                <w:szCs w:val="18"/>
                <w:highlight w:val="none"/>
              </w:rPr>
            </w:pPr>
            <w:r>
              <w:rPr>
                <w:rFonts w:hint="eastAsia" w:ascii="宋体" w:hAnsi="宋体" w:eastAsia="宋体" w:cs="宋体"/>
                <w:b/>
                <w:bCs/>
                <w:i w:val="0"/>
                <w:iCs w:val="0"/>
                <w:caps w:val="0"/>
                <w:color w:val="000000"/>
                <w:spacing w:val="0"/>
                <w:kern w:val="0"/>
                <w:sz w:val="18"/>
                <w:szCs w:val="18"/>
                <w:highlight w:val="none"/>
                <w:lang w:val="en-US" w:eastAsia="zh-CN" w:bidi="ar-SA"/>
              </w:rPr>
              <w:t>②</w:t>
            </w:r>
            <w:r>
              <w:rPr>
                <w:rFonts w:hint="default" w:ascii="宋体" w:hAnsi="宋体" w:eastAsia="宋体" w:cs="宋体"/>
                <w:b/>
                <w:bCs/>
                <w:i w:val="0"/>
                <w:iCs w:val="0"/>
                <w:caps w:val="0"/>
                <w:color w:val="000000"/>
                <w:spacing w:val="0"/>
                <w:kern w:val="0"/>
                <w:sz w:val="18"/>
                <w:szCs w:val="18"/>
                <w:highlight w:val="none"/>
                <w:lang w:val="en-US" w:eastAsia="zh-CN" w:bidi="ar-SA"/>
              </w:rPr>
              <w:t>初步勘察设计和施工图勘察设计业绩可不在同一项目。</w:t>
            </w:r>
          </w:p>
        </w:tc>
      </w:tr>
      <w:tr w14:paraId="23E08F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5" w:hRule="atLeast"/>
          <w:tblHeader/>
        </w:trPr>
        <w:tc>
          <w:tcPr>
            <w:tcW w:w="482" w:type="pct"/>
            <w:tcBorders>
              <w:top w:val="single" w:color="auto" w:sz="4" w:space="0"/>
              <w:left w:val="single" w:color="000000" w:sz="12" w:space="0"/>
              <w:bottom w:val="single" w:color="auto" w:sz="4" w:space="0"/>
              <w:right w:val="single" w:color="auto" w:sz="4" w:space="0"/>
            </w:tcBorders>
            <w:shd w:val="clear" w:color="auto" w:fill="FFFFFF"/>
            <w:noWrap w:val="0"/>
            <w:tcMar>
              <w:top w:w="57" w:type="dxa"/>
              <w:left w:w="57" w:type="dxa"/>
              <w:bottom w:w="57" w:type="dxa"/>
              <w:right w:w="57" w:type="dxa"/>
            </w:tcMar>
            <w:vAlign w:val="center"/>
          </w:tcPr>
          <w:p w14:paraId="78446E1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rFonts w:hint="eastAsia" w:ascii="宋体" w:hAnsi="宋体" w:eastAsia="宋体" w:cs="宋体"/>
                <w:i w:val="0"/>
                <w:iCs w:val="0"/>
                <w:caps w:val="0"/>
                <w:color w:val="000000"/>
                <w:spacing w:val="0"/>
                <w:sz w:val="18"/>
                <w:szCs w:val="18"/>
                <w:highlight w:val="none"/>
                <w:shd w:val="clear" w:color="auto" w:fill="FFFFFF"/>
              </w:rPr>
            </w:pPr>
          </w:p>
        </w:tc>
        <w:tc>
          <w:tcPr>
            <w:tcW w:w="277" w:type="pct"/>
            <w:tcBorders>
              <w:top w:val="single" w:color="auto" w:sz="4" w:space="0"/>
              <w:left w:val="single" w:color="auto" w:sz="4" w:space="0"/>
              <w:bottom w:val="single" w:color="auto" w:sz="4" w:space="0"/>
              <w:right w:val="single" w:color="auto" w:sz="4" w:space="0"/>
            </w:tcBorders>
            <w:shd w:val="clear" w:color="auto" w:fill="FFFFFF"/>
            <w:noWrap w:val="0"/>
            <w:tcMar>
              <w:top w:w="57" w:type="dxa"/>
              <w:left w:w="57" w:type="dxa"/>
              <w:bottom w:w="57" w:type="dxa"/>
              <w:right w:w="57" w:type="dxa"/>
            </w:tcMar>
            <w:vAlign w:val="center"/>
          </w:tcPr>
          <w:p w14:paraId="33F745E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18"/>
                <w:szCs w:val="18"/>
                <w:highlight w:val="none"/>
                <w:shd w:val="clear" w:color="auto" w:fill="FFFFFF"/>
              </w:rPr>
            </w:pPr>
          </w:p>
        </w:tc>
        <w:tc>
          <w:tcPr>
            <w:tcW w:w="281" w:type="pct"/>
            <w:tcBorders>
              <w:top w:val="single" w:color="auto" w:sz="4" w:space="0"/>
              <w:left w:val="single" w:color="auto" w:sz="4" w:space="0"/>
              <w:bottom w:val="single" w:color="auto" w:sz="4" w:space="0"/>
              <w:right w:val="single" w:color="auto" w:sz="4" w:space="0"/>
            </w:tcBorders>
            <w:shd w:val="clear" w:color="auto" w:fill="FFFFFF"/>
            <w:noWrap w:val="0"/>
            <w:tcMar>
              <w:top w:w="57" w:type="dxa"/>
              <w:left w:w="57" w:type="dxa"/>
              <w:bottom w:w="57" w:type="dxa"/>
              <w:right w:w="57" w:type="dxa"/>
            </w:tcMar>
            <w:vAlign w:val="center"/>
          </w:tcPr>
          <w:p w14:paraId="1E0874E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jc w:val="center"/>
              <w:rPr>
                <w:rFonts w:hint="eastAsia"/>
                <w:color w:val="000000"/>
                <w:kern w:val="0"/>
                <w:sz w:val="18"/>
                <w:szCs w:val="18"/>
                <w:highlight w:val="none"/>
                <w:lang w:val="en-US" w:eastAsia="zh-CN" w:bidi="ar-SA"/>
              </w:rPr>
            </w:pPr>
            <w:r>
              <w:rPr>
                <w:rFonts w:hint="eastAsia" w:ascii="宋体" w:hAnsi="宋体" w:eastAsia="宋体" w:cs="宋体"/>
                <w:i w:val="0"/>
                <w:iCs w:val="0"/>
                <w:caps w:val="0"/>
                <w:color w:val="000000"/>
                <w:spacing w:val="0"/>
                <w:sz w:val="18"/>
                <w:szCs w:val="18"/>
                <w:highlight w:val="none"/>
                <w:shd w:val="clear" w:color="auto" w:fill="FFFFFF"/>
              </w:rPr>
              <w:t>履约信誉</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0"/>
            <w:tcMar>
              <w:top w:w="57" w:type="dxa"/>
              <w:left w:w="57" w:type="dxa"/>
              <w:bottom w:w="57" w:type="dxa"/>
              <w:right w:w="57" w:type="dxa"/>
            </w:tcMar>
            <w:vAlign w:val="center"/>
          </w:tcPr>
          <w:p w14:paraId="1CC9896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jc w:val="center"/>
              <w:rPr>
                <w:rFonts w:hint="eastAsia"/>
                <w:color w:val="000000"/>
                <w:kern w:val="0"/>
                <w:sz w:val="18"/>
                <w:szCs w:val="18"/>
                <w:highlight w:val="none"/>
                <w:lang w:val="en-US" w:eastAsia="zh-CN" w:bidi="ar-SA"/>
              </w:rPr>
            </w:pPr>
            <w:r>
              <w:rPr>
                <w:rFonts w:hint="eastAsia" w:ascii="宋体" w:hAnsi="宋体" w:eastAsia="宋体" w:cs="宋体"/>
                <w:i w:val="0"/>
                <w:iCs w:val="0"/>
                <w:caps w:val="0"/>
                <w:color w:val="000000"/>
                <w:spacing w:val="0"/>
                <w:sz w:val="18"/>
                <w:szCs w:val="18"/>
                <w:highlight w:val="none"/>
                <w:shd w:val="clear" w:color="auto" w:fill="FFFFFF"/>
              </w:rPr>
              <w:t>5分</w:t>
            </w:r>
          </w:p>
        </w:tc>
        <w:tc>
          <w:tcPr>
            <w:tcW w:w="3592" w:type="pct"/>
            <w:gridSpan w:val="3"/>
            <w:tcBorders>
              <w:top w:val="single" w:color="auto" w:sz="4" w:space="0"/>
              <w:left w:val="single" w:color="auto" w:sz="4" w:space="0"/>
              <w:bottom w:val="single" w:color="auto" w:sz="4" w:space="0"/>
              <w:right w:val="single" w:color="000000" w:sz="12" w:space="0"/>
            </w:tcBorders>
            <w:shd w:val="clear" w:color="auto" w:fill="FFFFFF"/>
            <w:noWrap w:val="0"/>
            <w:tcMar>
              <w:top w:w="57" w:type="dxa"/>
              <w:left w:w="57" w:type="dxa"/>
              <w:bottom w:w="57" w:type="dxa"/>
              <w:right w:w="57" w:type="dxa"/>
            </w:tcMar>
            <w:vAlign w:val="center"/>
          </w:tcPr>
          <w:p w14:paraId="27F91A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sz w:val="18"/>
                <w:szCs w:val="18"/>
                <w:highlight w:val="none"/>
              </w:rPr>
              <w:t>满足资格审查条件最低要求得</w:t>
            </w:r>
            <w:r>
              <w:rPr>
                <w:rFonts w:hint="eastAsia" w:ascii="宋体" w:hAnsi="宋体" w:eastAsia="宋体" w:cs="宋体"/>
                <w:i w:val="0"/>
                <w:iCs w:val="0"/>
                <w:caps w:val="0"/>
                <w:color w:val="000000"/>
                <w:spacing w:val="0"/>
                <w:sz w:val="18"/>
                <w:szCs w:val="18"/>
                <w:highlight w:val="none"/>
                <w:lang w:val="en-US" w:eastAsia="zh-CN"/>
              </w:rPr>
              <w:t>3</w:t>
            </w:r>
            <w:r>
              <w:rPr>
                <w:rFonts w:hint="eastAsia" w:ascii="宋体" w:hAnsi="宋体" w:eastAsia="宋体" w:cs="宋体"/>
                <w:i w:val="0"/>
                <w:iCs w:val="0"/>
                <w:caps w:val="0"/>
                <w:color w:val="000000"/>
                <w:spacing w:val="0"/>
                <w:sz w:val="18"/>
                <w:szCs w:val="18"/>
                <w:highlight w:val="none"/>
              </w:rPr>
              <w:t>分。</w:t>
            </w:r>
          </w:p>
          <w:p w14:paraId="5768446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leftChars="0" w:right="0" w:rightChars="0"/>
              <w:jc w:val="both"/>
              <w:rPr>
                <w:rFonts w:hint="eastAsia" w:eastAsia="宋体"/>
                <w:color w:val="000000"/>
                <w:kern w:val="0"/>
                <w:sz w:val="18"/>
                <w:szCs w:val="18"/>
                <w:highlight w:val="none"/>
                <w:lang w:val="en-US" w:eastAsia="zh-CN" w:bidi="ar-SA"/>
              </w:rPr>
            </w:pPr>
            <w:r>
              <w:rPr>
                <w:rFonts w:hint="eastAsia" w:ascii="宋体" w:hAnsi="宋体" w:eastAsia="宋体" w:cs="宋体"/>
                <w:i w:val="0"/>
                <w:iCs w:val="0"/>
                <w:caps w:val="0"/>
                <w:color w:val="000000"/>
                <w:spacing w:val="0"/>
                <w:sz w:val="18"/>
                <w:szCs w:val="18"/>
                <w:highlight w:val="none"/>
                <w:lang w:eastAsia="zh-CN"/>
              </w:rPr>
              <w:t>信用评价等级为</w:t>
            </w:r>
            <w:r>
              <w:rPr>
                <w:rFonts w:hint="eastAsia" w:ascii="宋体" w:hAnsi="宋体" w:eastAsia="宋体" w:cs="宋体"/>
                <w:i w:val="0"/>
                <w:iCs w:val="0"/>
                <w:caps w:val="0"/>
                <w:color w:val="000000"/>
                <w:spacing w:val="0"/>
                <w:sz w:val="18"/>
                <w:szCs w:val="18"/>
                <w:highlight w:val="none"/>
                <w:lang w:val="en-US" w:eastAsia="zh-CN"/>
              </w:rPr>
              <w:t>A可加1分，</w:t>
            </w:r>
            <w:r>
              <w:rPr>
                <w:rFonts w:hint="eastAsia" w:ascii="宋体" w:hAnsi="宋体" w:eastAsia="宋体" w:cs="宋体"/>
                <w:i w:val="0"/>
                <w:iCs w:val="0"/>
                <w:caps w:val="0"/>
                <w:color w:val="000000"/>
                <w:spacing w:val="0"/>
                <w:sz w:val="18"/>
                <w:szCs w:val="18"/>
                <w:highlight w:val="none"/>
                <w:lang w:eastAsia="zh-CN"/>
              </w:rPr>
              <w:t>信用评价等级为</w:t>
            </w:r>
            <w:r>
              <w:rPr>
                <w:rFonts w:hint="eastAsia" w:ascii="宋体" w:hAnsi="宋体" w:eastAsia="宋体" w:cs="宋体"/>
                <w:i w:val="0"/>
                <w:iCs w:val="0"/>
                <w:caps w:val="0"/>
                <w:color w:val="000000"/>
                <w:spacing w:val="0"/>
                <w:sz w:val="18"/>
                <w:szCs w:val="18"/>
                <w:highlight w:val="none"/>
                <w:lang w:val="en-US" w:eastAsia="zh-CN"/>
              </w:rPr>
              <w:t>AA可加2分。最多加2分。</w:t>
            </w:r>
          </w:p>
        </w:tc>
      </w:tr>
      <w:tr w14:paraId="6F7461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5" w:hRule="atLeast"/>
          <w:tblHeader/>
        </w:trPr>
        <w:tc>
          <w:tcPr>
            <w:tcW w:w="5000" w:type="pct"/>
            <w:gridSpan w:val="7"/>
            <w:tcBorders>
              <w:top w:val="single" w:color="auto" w:sz="4" w:space="0"/>
              <w:left w:val="single" w:color="auto" w:sz="12" w:space="0"/>
              <w:bottom w:val="single" w:color="000000" w:sz="12" w:space="0"/>
              <w:right w:val="single" w:color="auto" w:sz="12" w:space="0"/>
            </w:tcBorders>
            <w:shd w:val="clear" w:color="auto" w:fill="FFFFFF"/>
            <w:noWrap w:val="0"/>
            <w:tcMar>
              <w:top w:w="57" w:type="dxa"/>
              <w:left w:w="57" w:type="dxa"/>
              <w:bottom w:w="57" w:type="dxa"/>
              <w:right w:w="57" w:type="dxa"/>
            </w:tcMar>
            <w:vAlign w:val="center"/>
          </w:tcPr>
          <w:p w14:paraId="0FE7B88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leftChars="0" w:right="0" w:rightChars="0"/>
              <w:jc w:val="both"/>
              <w:rPr>
                <w:rFonts w:hint="eastAsia" w:ascii="宋体" w:hAnsi="宋体" w:eastAsia="宋体" w:cs="宋体"/>
                <w:i w:val="0"/>
                <w:iCs w:val="0"/>
                <w:caps w:val="0"/>
                <w:color w:val="000000"/>
                <w:spacing w:val="0"/>
                <w:sz w:val="18"/>
                <w:szCs w:val="18"/>
                <w:highlight w:val="none"/>
                <w:lang w:eastAsia="zh-CN"/>
              </w:rPr>
            </w:pPr>
            <w:r>
              <w:rPr>
                <w:rFonts w:hint="eastAsia" w:ascii="宋体" w:hAnsi="宋体" w:eastAsia="宋体" w:cs="宋体"/>
                <w:i w:val="0"/>
                <w:iCs w:val="0"/>
                <w:caps w:val="0"/>
                <w:color w:val="000000"/>
                <w:spacing w:val="0"/>
                <w:sz w:val="18"/>
                <w:szCs w:val="18"/>
                <w:highlight w:val="none"/>
                <w:shd w:val="clear" w:color="auto" w:fill="FFFFFF"/>
              </w:rPr>
              <w:t>需要补充的其他内容：</w:t>
            </w:r>
            <w:r>
              <w:rPr>
                <w:rFonts w:hint="eastAsia" w:ascii="宋体" w:hAnsi="宋体" w:eastAsia="宋体" w:cs="宋体"/>
                <w:i w:val="0"/>
                <w:iCs w:val="0"/>
                <w:caps w:val="0"/>
                <w:color w:val="000000"/>
                <w:spacing w:val="0"/>
                <w:sz w:val="18"/>
                <w:szCs w:val="18"/>
                <w:highlight w:val="none"/>
              </w:rPr>
              <w:t> </w:t>
            </w:r>
            <w:r>
              <w:rPr>
                <w:rFonts w:hint="eastAsia" w:ascii="宋体" w:hAnsi="宋体" w:eastAsia="宋体" w:cs="宋体"/>
                <w:i w:val="0"/>
                <w:iCs w:val="0"/>
                <w:caps w:val="0"/>
                <w:color w:val="000000"/>
                <w:spacing w:val="0"/>
                <w:sz w:val="18"/>
                <w:szCs w:val="18"/>
                <w:highlight w:val="none"/>
                <w:shd w:val="clear" w:color="auto" w:fill="FFFFFF"/>
              </w:rPr>
              <w:t>评标委员会对投标文件第一个信封（商务及技术文件）进行评审后，因有效投标不足 3 个使得投标明显 缺乏竞争的，可以否决全部投标。未否决全部投标的，评标委员会应当在评标报告中阐明理由。评标委 员会对通过第一个信封（商务及技术文件）评审的投标人的第二个信封（报价文件）进行评审后，有效投标不足 3 个的，可以否决全部投标。未否决全部投标的，评标委员会应当在评标报告中阐明理由并推 荐中标候选人。</w:t>
            </w:r>
          </w:p>
        </w:tc>
      </w:tr>
    </w:tbl>
    <w:p w14:paraId="0E4DE3E6">
      <w:pPr>
        <w:rPr>
          <w:rFonts w:hint="eastAsia"/>
          <w:color w:val="000000"/>
          <w:sz w:val="18"/>
          <w:szCs w:val="18"/>
          <w:highlight w:val="none"/>
        </w:rPr>
      </w:pPr>
    </w:p>
    <w:p w14:paraId="7CDBA8D9">
      <w:pPr>
        <w:rPr>
          <w:rFonts w:hint="eastAsia" w:ascii="宋体" w:hAnsi="宋体"/>
          <w:b/>
          <w:color w:val="000000"/>
          <w:sz w:val="18"/>
          <w:szCs w:val="18"/>
          <w:highlight w:val="none"/>
        </w:rPr>
      </w:pPr>
    </w:p>
    <w:p w14:paraId="4BC63ADD">
      <w:pPr>
        <w:spacing w:line="300" w:lineRule="exact"/>
        <w:jc w:val="left"/>
        <w:rPr>
          <w:rFonts w:hint="eastAsia" w:ascii="宋体" w:hAnsi="宋体" w:cs="宋体"/>
          <w:color w:val="000000"/>
          <w:sz w:val="18"/>
          <w:szCs w:val="18"/>
          <w:highlight w:val="none"/>
        </w:rPr>
      </w:pPr>
    </w:p>
    <w:p w14:paraId="6716AB3E">
      <w:pPr>
        <w:spacing w:line="300" w:lineRule="exact"/>
        <w:jc w:val="left"/>
        <w:rPr>
          <w:rFonts w:ascii="宋体" w:hAnsi="宋体" w:cs="宋体"/>
          <w:color w:val="000000"/>
          <w:sz w:val="18"/>
          <w:szCs w:val="18"/>
          <w:highlight w:val="none"/>
        </w:rPr>
      </w:pPr>
      <w:r>
        <w:rPr>
          <w:rFonts w:hint="eastAsia" w:ascii="宋体" w:hAnsi="宋体" w:cs="宋体"/>
          <w:color w:val="000000"/>
          <w:sz w:val="18"/>
          <w:szCs w:val="18"/>
          <w:highlight w:val="none"/>
        </w:rPr>
        <w:t>注：</w:t>
      </w:r>
    </w:p>
    <w:p w14:paraId="0A45ECD2">
      <w:pPr>
        <w:spacing w:line="300" w:lineRule="exact"/>
        <w:jc w:val="left"/>
        <w:rPr>
          <w:rFonts w:ascii="宋体" w:hAnsi="宋体" w:cs="宋体"/>
          <w:color w:val="000000"/>
          <w:sz w:val="18"/>
          <w:szCs w:val="18"/>
          <w:highlight w:val="none"/>
        </w:rPr>
      </w:pPr>
      <w:r>
        <w:rPr>
          <w:rFonts w:hint="eastAsia" w:ascii="宋体" w:hAnsi="宋体" w:cs="宋体"/>
          <w:color w:val="000000"/>
          <w:sz w:val="18"/>
          <w:szCs w:val="18"/>
          <w:highlight w:val="none"/>
        </w:rPr>
        <w:t>1.各评分因素得分以评标委员会各成员的单项打分的算术平均值确定。评标委员会各成员的单项打分分值小数点后保留两位，计算过程及计算结果小数点后保留两位小数，小数点后第三位“四舍五入”。</w:t>
      </w:r>
    </w:p>
    <w:p w14:paraId="5A1CF077">
      <w:pPr>
        <w:spacing w:line="300" w:lineRule="exact"/>
        <w:jc w:val="left"/>
        <w:rPr>
          <w:rFonts w:ascii="宋体" w:hAnsi="宋体" w:cs="宋体"/>
          <w:color w:val="000000"/>
          <w:sz w:val="18"/>
          <w:szCs w:val="18"/>
          <w:highlight w:val="none"/>
        </w:rPr>
      </w:pPr>
      <w:r>
        <w:rPr>
          <w:rFonts w:hint="eastAsia" w:ascii="宋体" w:hAnsi="宋体" w:cs="宋体"/>
          <w:color w:val="000000"/>
          <w:sz w:val="18"/>
          <w:szCs w:val="18"/>
          <w:highlight w:val="none"/>
        </w:rPr>
        <w:t>2.除技术能力、履约信誉、评标价外，评标委员会成员对投标人商务和技术各项因素的评分一般不得低于招标文件规定该因素满分值的60%；评分低于满分值60%的，评标委员会成员应当在评标报告中作出说明。</w:t>
      </w:r>
    </w:p>
    <w:p w14:paraId="28EBE6AD">
      <w:pPr>
        <w:spacing w:line="300" w:lineRule="exact"/>
        <w:jc w:val="left"/>
        <w:rPr>
          <w:rFonts w:ascii="宋体" w:hAnsi="宋体" w:cs="宋体"/>
          <w:color w:val="000000"/>
          <w:sz w:val="18"/>
          <w:szCs w:val="18"/>
          <w:highlight w:val="none"/>
          <w:lang w:val="zh-TW" w:eastAsia="zh-TW"/>
        </w:rPr>
      </w:pPr>
      <w:r>
        <w:rPr>
          <w:rFonts w:hint="eastAsia" w:ascii="宋体" w:hAnsi="宋体" w:cs="宋体"/>
          <w:color w:val="000000"/>
          <w:sz w:val="18"/>
          <w:szCs w:val="18"/>
          <w:highlight w:val="none"/>
        </w:rPr>
        <w:t>3.</w:t>
      </w:r>
      <w:r>
        <w:rPr>
          <w:rFonts w:hint="eastAsia" w:ascii="宋体" w:hAnsi="宋体" w:cs="宋体"/>
          <w:color w:val="000000"/>
          <w:sz w:val="18"/>
          <w:szCs w:val="18"/>
          <w:highlight w:val="none"/>
          <w:lang w:val="zh-TW" w:eastAsia="zh-TW"/>
        </w:rPr>
        <w:t>项目负责人的个人业绩加分项不设年限要求。</w:t>
      </w:r>
    </w:p>
    <w:p w14:paraId="7102FD37">
      <w:pPr>
        <w:spacing w:line="300" w:lineRule="exact"/>
        <w:jc w:val="left"/>
        <w:rPr>
          <w:rFonts w:ascii="宋体" w:hAnsi="宋体" w:cs="宋体"/>
          <w:color w:val="000000"/>
          <w:sz w:val="18"/>
          <w:szCs w:val="18"/>
          <w:highlight w:val="none"/>
          <w:lang w:val="zh-TW" w:eastAsia="zh-TW"/>
        </w:rPr>
      </w:pPr>
      <w:r>
        <w:rPr>
          <w:rFonts w:hint="eastAsia" w:ascii="宋体" w:hAnsi="宋体" w:cs="宋体"/>
          <w:color w:val="000000"/>
          <w:sz w:val="18"/>
          <w:szCs w:val="18"/>
          <w:highlight w:val="none"/>
          <w:lang w:val="zh-TW" w:eastAsia="zh-TW"/>
        </w:rPr>
        <w:t>4.如单个业绩能同时满足加分条件要求的，则该业绩可分别按照加分条件的要求分别进行加分。</w:t>
      </w:r>
    </w:p>
    <w:p w14:paraId="2BDB9DD3">
      <w:pPr>
        <w:spacing w:line="300" w:lineRule="exact"/>
        <w:jc w:val="left"/>
        <w:rPr>
          <w:rFonts w:ascii="宋体" w:hAnsi="宋体" w:cs="宋体"/>
          <w:color w:val="000000"/>
          <w:sz w:val="18"/>
          <w:szCs w:val="18"/>
          <w:highlight w:val="none"/>
          <w:lang w:val="zh-TW" w:eastAsia="zh-TW"/>
        </w:rPr>
      </w:pPr>
      <w:r>
        <w:rPr>
          <w:rFonts w:hint="eastAsia" w:ascii="宋体" w:hAnsi="宋体" w:cs="宋体"/>
          <w:color w:val="000000"/>
          <w:sz w:val="18"/>
          <w:szCs w:val="18"/>
          <w:highlight w:val="none"/>
        </w:rPr>
        <w:t>5.</w:t>
      </w:r>
      <w:r>
        <w:rPr>
          <w:rFonts w:hint="eastAsia" w:ascii="宋体" w:hAnsi="宋体" w:cs="宋体"/>
          <w:color w:val="000000"/>
          <w:sz w:val="18"/>
          <w:szCs w:val="18"/>
          <w:highlight w:val="none"/>
          <w:lang w:val="zh-TW" w:eastAsia="zh-TW"/>
        </w:rPr>
        <w:t>“投标人的业绩”应是已列入交通运输主管部门“公路建设市场信用信息管理系统”并公开的“初步设计已批复或施工图设计已批复”的主包业绩或分包业绩。</w:t>
      </w:r>
    </w:p>
    <w:p w14:paraId="21598915">
      <w:pPr>
        <w:spacing w:line="300" w:lineRule="exact"/>
        <w:jc w:val="left"/>
        <w:rPr>
          <w:rFonts w:ascii="宋体" w:hAnsi="宋体" w:cs="宋体"/>
          <w:color w:val="000000"/>
          <w:sz w:val="18"/>
          <w:szCs w:val="18"/>
          <w:highlight w:val="none"/>
          <w:lang w:val="zh-TW" w:eastAsia="zh-TW"/>
        </w:rPr>
      </w:pPr>
      <w:r>
        <w:rPr>
          <w:rFonts w:hint="eastAsia" w:ascii="宋体" w:hAnsi="宋体" w:cs="宋体"/>
          <w:color w:val="000000"/>
          <w:sz w:val="18"/>
          <w:szCs w:val="18"/>
          <w:highlight w:val="none"/>
        </w:rPr>
        <w:t>6.</w:t>
      </w:r>
      <w:r>
        <w:rPr>
          <w:rFonts w:hint="eastAsia" w:ascii="宋体" w:hAnsi="宋体" w:cs="宋体"/>
          <w:color w:val="000000"/>
          <w:sz w:val="18"/>
          <w:szCs w:val="18"/>
          <w:highlight w:val="none"/>
          <w:lang w:val="zh-TW" w:eastAsia="zh-TW"/>
        </w:rPr>
        <w:t>“投标人的业绩”应附交通运输部“</w:t>
      </w:r>
      <w:r>
        <w:rPr>
          <w:rFonts w:hint="eastAsia" w:ascii="宋体" w:hAnsi="宋体" w:cs="宋体"/>
          <w:color w:val="000000"/>
          <w:sz w:val="18"/>
          <w:szCs w:val="18"/>
          <w:highlight w:val="none"/>
          <w:lang w:val="zh-TW" w:eastAsia="zh-CN"/>
        </w:rPr>
        <w:t>全国公路建设市场监督管理系统</w:t>
      </w:r>
      <w:r>
        <w:rPr>
          <w:rFonts w:hint="eastAsia" w:ascii="宋体" w:hAnsi="宋体" w:cs="宋体"/>
          <w:color w:val="000000"/>
          <w:sz w:val="18"/>
          <w:szCs w:val="18"/>
          <w:highlight w:val="none"/>
          <w:lang w:val="zh-TW" w:eastAsia="zh-TW"/>
        </w:rPr>
        <w:t>”（网址：http://glxy.mot.gov.cn）中查询到的企业“业绩信息”相关项目网页截图复印件，即包括“工程名称”“项目类型”“合同价”“技术等级”“主要设计内容”“人员履约信息”等栏目在内的项目详细信息网页截图复印件并注明查询路径。除网页截图复印件外，投标人无须再提供任何业绩证明材料。</w:t>
      </w:r>
    </w:p>
    <w:p w14:paraId="0B2A1C57">
      <w:pPr>
        <w:spacing w:line="300" w:lineRule="exact"/>
        <w:jc w:val="left"/>
        <w:rPr>
          <w:rFonts w:ascii="宋体" w:hAnsi="宋体" w:cs="宋体"/>
          <w:color w:val="000000"/>
          <w:sz w:val="18"/>
          <w:szCs w:val="18"/>
          <w:highlight w:val="none"/>
          <w:lang w:val="zh-TW" w:eastAsia="zh-TW"/>
        </w:rPr>
      </w:pPr>
      <w:r>
        <w:rPr>
          <w:rFonts w:hint="eastAsia" w:ascii="宋体" w:hAnsi="宋体" w:cs="宋体"/>
          <w:color w:val="000000"/>
          <w:sz w:val="18"/>
          <w:szCs w:val="18"/>
          <w:highlight w:val="none"/>
          <w:lang w:val="zh-TW" w:eastAsia="zh-TW"/>
        </w:rPr>
        <w:t>如投标人未提供相关项目网页截图复印件或相关项目网页截图中的信息无法证实投标人满足招标文件规定条件（投标人的业绩），则该项目业绩不予认定。</w:t>
      </w:r>
    </w:p>
    <w:p w14:paraId="03D4833E">
      <w:pPr>
        <w:spacing w:line="300" w:lineRule="exact"/>
        <w:jc w:val="left"/>
        <w:rPr>
          <w:rFonts w:ascii="宋体" w:hAnsi="宋体" w:cs="宋体"/>
          <w:color w:val="000000"/>
          <w:sz w:val="18"/>
          <w:szCs w:val="18"/>
          <w:highlight w:val="none"/>
          <w:lang w:val="zh-TW" w:eastAsia="zh-TW"/>
        </w:rPr>
      </w:pPr>
      <w:r>
        <w:rPr>
          <w:rFonts w:hint="eastAsia" w:ascii="宋体" w:hAnsi="宋体" w:cs="宋体"/>
          <w:color w:val="000000"/>
          <w:sz w:val="18"/>
          <w:szCs w:val="18"/>
          <w:highlight w:val="none"/>
        </w:rPr>
        <w:t>7.</w:t>
      </w:r>
      <w:r>
        <w:rPr>
          <w:rFonts w:hint="eastAsia" w:ascii="宋体" w:hAnsi="宋体" w:cs="宋体"/>
          <w:color w:val="000000"/>
          <w:sz w:val="18"/>
          <w:szCs w:val="18"/>
          <w:highlight w:val="none"/>
          <w:lang w:val="zh-TW" w:eastAsia="zh-TW"/>
        </w:rPr>
        <w:t>“项目负责人任职资格与业绩”还应附交通运输部“</w:t>
      </w:r>
      <w:r>
        <w:rPr>
          <w:rFonts w:hint="eastAsia" w:ascii="宋体" w:hAnsi="宋体" w:cs="宋体"/>
          <w:color w:val="000000"/>
          <w:sz w:val="18"/>
          <w:szCs w:val="18"/>
          <w:highlight w:val="none"/>
          <w:lang w:val="zh-TW" w:eastAsia="zh-CN"/>
        </w:rPr>
        <w:t>全国公路建设市场监督管理系统</w:t>
      </w:r>
      <w:r>
        <w:rPr>
          <w:rFonts w:hint="eastAsia" w:ascii="宋体" w:hAnsi="宋体" w:cs="宋体"/>
          <w:color w:val="000000"/>
          <w:sz w:val="18"/>
          <w:szCs w:val="18"/>
          <w:highlight w:val="none"/>
          <w:lang w:val="zh-TW" w:eastAsia="zh-TW"/>
        </w:rPr>
        <w:t>”中载明的、能够证明项目负责人具有相关业绩的网页截图复印件</w:t>
      </w:r>
      <w:r>
        <w:rPr>
          <w:rFonts w:hint="eastAsia" w:ascii="宋体" w:hAnsi="宋体" w:cs="宋体"/>
          <w:color w:val="000000"/>
          <w:sz w:val="18"/>
          <w:szCs w:val="18"/>
          <w:highlight w:val="none"/>
          <w:lang w:val="zh-TW" w:eastAsia="zh-CN"/>
        </w:rPr>
        <w:t>。</w:t>
      </w:r>
      <w:r>
        <w:rPr>
          <w:rFonts w:hint="eastAsia" w:ascii="宋体" w:hAnsi="宋体" w:cs="宋体"/>
          <w:color w:val="000000"/>
          <w:sz w:val="18"/>
          <w:szCs w:val="18"/>
          <w:highlight w:val="none"/>
          <w:lang w:val="zh-TW" w:eastAsia="zh-TW"/>
        </w:rPr>
        <w:t>除网页截图复印件外，投标人无须再提供任何业绩证明材料。如投标人未提供相关业绩网页截图复印件或相关业绩网页截图中的信息无法证实投标人满足招标文件规定的条件（项目负责人任职资格与业绩），则该业绩不予认定。</w:t>
      </w:r>
    </w:p>
    <w:p w14:paraId="3AD00122">
      <w:pPr>
        <w:spacing w:line="300" w:lineRule="exact"/>
        <w:jc w:val="left"/>
        <w:rPr>
          <w:rFonts w:hint="eastAsia" w:ascii="宋体" w:hAnsi="宋体" w:eastAsia="宋体" w:cs="宋体"/>
          <w:color w:val="000000"/>
          <w:sz w:val="18"/>
          <w:szCs w:val="18"/>
          <w:highlight w:val="none"/>
          <w:lang w:val="zh-TW" w:eastAsia="zh-TW"/>
        </w:rPr>
      </w:pPr>
      <w:r>
        <w:rPr>
          <w:rFonts w:hint="eastAsia" w:ascii="宋体" w:hAnsi="宋体" w:eastAsia="宋体" w:cs="宋体"/>
          <w:color w:val="000000"/>
          <w:sz w:val="18"/>
          <w:szCs w:val="18"/>
          <w:highlight w:val="none"/>
          <w:lang w:val="en-US" w:eastAsia="zh-CN"/>
        </w:rPr>
        <w:t>8.</w:t>
      </w:r>
      <w:r>
        <w:rPr>
          <w:rFonts w:hint="eastAsia" w:ascii="宋体" w:hAnsi="宋体" w:eastAsia="宋体" w:cs="宋体"/>
          <w:color w:val="000000"/>
          <w:sz w:val="18"/>
          <w:szCs w:val="18"/>
          <w:highlight w:val="none"/>
          <w:lang w:val="zh-TW" w:eastAsia="zh-TW"/>
        </w:rPr>
        <w:t>表中区间分值下限为包含，上限为不含。</w:t>
      </w:r>
    </w:p>
    <w:p w14:paraId="46008A33">
      <w:pPr>
        <w:spacing w:line="300" w:lineRule="exact"/>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9.如投标人提供一级及以上公路业绩的，其公路里程可折算成2倍的二级公路里程。例如：投标人已完成某条一级（高速）公路的此类业绩里程为10公里，则评标时可折算为：投标人已完成二级公路的此类业绩里程为20公里。</w:t>
      </w:r>
    </w:p>
    <w:p w14:paraId="6A266A00">
      <w:r>
        <w:rPr>
          <w:rFonts w:hint="eastAsia" w:ascii="宋体" w:hAnsi="宋体" w:cs="宋体"/>
          <w:color w:val="000000"/>
          <w:sz w:val="18"/>
          <w:szCs w:val="18"/>
          <w:highlight w:val="none"/>
          <w:lang w:val="en-US" w:eastAsia="zh-CN"/>
        </w:rPr>
        <w:t>10.①以上业绩要求中，二级及以上公路工程是指新建或改扩建二级及以上公路工程项目，不含养护工程项目。②如单个业绩能同时满足上述条件要求的，则该业绩可分别予以认定；③初步勘察设计和施工图勘察设计业绩可不是同一个项目。</w:t>
      </w:r>
    </w:p>
    <w:p w14:paraId="623234EA">
      <w:pPr>
        <w:pStyle w:val="2"/>
      </w:pPr>
      <w:bookmarkStart w:id="22" w:name="_GoBack"/>
      <w:bookmarkEnd w:id="2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72" w:type="dxa"/>
        <w:left w:w="115" w:type="dxa"/>
        <w:bottom w:w="72" w:type="dxa"/>
        <w:right w:w="115" w:type="dxa"/>
      </w:tblCellMar>
    </w:tblPr>
    <w:tblGrid>
      <w:gridCol w:w="7689"/>
      <w:gridCol w:w="850"/>
    </w:tblGrid>
    <w:tr w14:paraId="0482CB5E">
      <w:tblPrEx>
        <w:tblCellMar>
          <w:top w:w="72" w:type="dxa"/>
          <w:left w:w="115" w:type="dxa"/>
          <w:bottom w:w="72" w:type="dxa"/>
          <w:right w:w="115" w:type="dxa"/>
        </w:tblCellMar>
      </w:tblPrEx>
      <w:trPr>
        <w:trHeight w:val="567" w:hRule="atLeast"/>
      </w:trPr>
      <w:tc>
        <w:tcPr>
          <w:tcW w:w="7689" w:type="dxa"/>
          <w:tcBorders>
            <w:top w:val="single" w:color="000000" w:sz="4" w:space="0"/>
          </w:tcBorders>
          <w:shd w:val="clear" w:color="auto" w:fill="auto"/>
          <w:noWrap w:val="0"/>
          <w:vAlign w:val="top"/>
        </w:tcPr>
        <w:p w14:paraId="176BA88C">
          <w:pPr>
            <w:pStyle w:val="9"/>
            <w:jc w:val="right"/>
          </w:pPr>
          <w:r>
            <w:rPr>
              <w:rFonts w:hint="eastAsia"/>
            </w:rPr>
            <w:t xml:space="preserve"> </w:t>
          </w:r>
        </w:p>
      </w:tc>
      <w:tc>
        <w:tcPr>
          <w:tcW w:w="850" w:type="dxa"/>
          <w:tcBorders>
            <w:top w:val="single" w:color="C0504D" w:sz="4" w:space="0"/>
          </w:tcBorders>
          <w:shd w:val="clear" w:color="auto" w:fill="943634"/>
          <w:noWrap w:val="0"/>
          <w:vAlign w:val="top"/>
        </w:tcPr>
        <w:p w14:paraId="68C726A9">
          <w:pPr>
            <w:pStyle w:val="10"/>
            <w:rPr>
              <w:rFonts w:ascii="Times New Roman" w:hAnsi="Times New Roman"/>
              <w:color w:val="FFFFFF"/>
              <w:szCs w:val="2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D3D5D8">
                                <w:pPr>
                                  <w:pStyle w:val="10"/>
                                </w:pPr>
                                <w:r>
                                  <w:rPr>
                                    <w:rFonts w:ascii="Times New Roman" w:hAnsi="Times New Roman"/>
                                    <w:szCs w:val="20"/>
                                  </w:rPr>
                                  <w:fldChar w:fldCharType="begin"/>
                                </w:r>
                                <w:r>
                                  <w:rPr>
                                    <w:rFonts w:ascii="Times New Roman" w:hAnsi="Times New Roman"/>
                                    <w:szCs w:val="20"/>
                                  </w:rPr>
                                  <w:instrText xml:space="preserve"> PAGE   \* MERGEFORMAT </w:instrText>
                                </w:r>
                                <w:r>
                                  <w:rPr>
                                    <w:rFonts w:ascii="Times New Roman" w:hAnsi="Times New Roman"/>
                                    <w:szCs w:val="20"/>
                                  </w:rPr>
                                  <w:fldChar w:fldCharType="separate"/>
                                </w:r>
                                <w:r>
                                  <w:rPr>
                                    <w:rFonts w:ascii="Times New Roman" w:hAnsi="Times New Roman"/>
                                    <w:color w:val="FFFFFF"/>
                                    <w:szCs w:val="20"/>
                                    <w:lang w:val="zh-CN"/>
                                  </w:rPr>
                                  <w:t>7</w:t>
                                </w:r>
                                <w:r>
                                  <w:rPr>
                                    <w:rFonts w:ascii="Times New Roman" w:hAnsi="Times New Roman"/>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path/>
                    <v:fill on="f" focussize="0,0"/>
                    <v:stroke on="f" weight="1.25pt"/>
                    <v:imagedata o:title=""/>
                    <o:lock v:ext="edit" aspectratio="f"/>
                    <v:textbox inset="0mm,0mm,0mm,0mm" style="mso-fit-shape-to-text:t;">
                      <w:txbxContent>
                        <w:p w14:paraId="39D3D5D8">
                          <w:pPr>
                            <w:pStyle w:val="10"/>
                          </w:pPr>
                          <w:r>
                            <w:rPr>
                              <w:rFonts w:ascii="Times New Roman" w:hAnsi="Times New Roman"/>
                              <w:szCs w:val="20"/>
                            </w:rPr>
                            <w:fldChar w:fldCharType="begin"/>
                          </w:r>
                          <w:r>
                            <w:rPr>
                              <w:rFonts w:ascii="Times New Roman" w:hAnsi="Times New Roman"/>
                              <w:szCs w:val="20"/>
                            </w:rPr>
                            <w:instrText xml:space="preserve"> PAGE   \* MERGEFORMAT </w:instrText>
                          </w:r>
                          <w:r>
                            <w:rPr>
                              <w:rFonts w:ascii="Times New Roman" w:hAnsi="Times New Roman"/>
                              <w:szCs w:val="20"/>
                            </w:rPr>
                            <w:fldChar w:fldCharType="separate"/>
                          </w:r>
                          <w:r>
                            <w:rPr>
                              <w:rFonts w:ascii="Times New Roman" w:hAnsi="Times New Roman"/>
                              <w:color w:val="FFFFFF"/>
                              <w:szCs w:val="20"/>
                              <w:lang w:val="zh-CN"/>
                            </w:rPr>
                            <w:t>7</w:t>
                          </w:r>
                          <w:r>
                            <w:rPr>
                              <w:rFonts w:ascii="Times New Roman" w:hAnsi="Times New Roman"/>
                              <w:szCs w:val="20"/>
                            </w:rPr>
                            <w:fldChar w:fldCharType="end"/>
                          </w:r>
                        </w:p>
                      </w:txbxContent>
                    </v:textbox>
                  </v:shape>
                </w:pict>
              </mc:Fallback>
            </mc:AlternateContent>
          </w:r>
        </w:p>
      </w:tc>
    </w:tr>
  </w:tbl>
  <w:p w14:paraId="5410FFC3">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A68AA"/>
    <w:multiLevelType w:val="singleLevel"/>
    <w:tmpl w:val="998A68AA"/>
    <w:lvl w:ilvl="0" w:tentative="0">
      <w:start w:val="1"/>
      <w:numFmt w:val="decimal"/>
      <w:lvlText w:val="%1)"/>
      <w:lvlJc w:val="left"/>
      <w:pPr>
        <w:tabs>
          <w:tab w:val="left" w:pos="312"/>
        </w:tabs>
      </w:pPr>
    </w:lvl>
  </w:abstractNum>
  <w:abstractNum w:abstractNumId="1">
    <w:nsid w:val="B3F28002"/>
    <w:multiLevelType w:val="singleLevel"/>
    <w:tmpl w:val="B3F2800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92A9B"/>
    <w:rsid w:val="15285B65"/>
    <w:rsid w:val="204D22CC"/>
    <w:rsid w:val="21A233D2"/>
    <w:rsid w:val="31592A9B"/>
    <w:rsid w:val="53841AA0"/>
    <w:rsid w:val="60507EA6"/>
    <w:rsid w:val="6122003A"/>
    <w:rsid w:val="6BE41F6D"/>
    <w:rsid w:val="70896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10" w:after="10" w:line="360" w:lineRule="auto"/>
      <w:jc w:val="center"/>
      <w:outlineLvl w:val="1"/>
    </w:pPr>
    <w:rPr>
      <w:rFonts w:ascii="Arial" w:hAnsi="Arial" w:eastAsia="黑体"/>
      <w:b/>
      <w:bCs/>
      <w:sz w:val="36"/>
      <w:szCs w:val="32"/>
    </w:rPr>
  </w:style>
  <w:style w:type="paragraph" w:styleId="5">
    <w:name w:val="heading 3"/>
    <w:basedOn w:val="1"/>
    <w:next w:val="1"/>
    <w:qFormat/>
    <w:uiPriority w:val="0"/>
    <w:pPr>
      <w:keepNext/>
      <w:keepLines/>
      <w:spacing w:before="10" w:after="10" w:line="360" w:lineRule="auto"/>
      <w:jc w:val="center"/>
      <w:outlineLvl w:val="2"/>
    </w:pPr>
    <w:rPr>
      <w:rFonts w:eastAsia="黑体"/>
      <w:b/>
      <w:sz w:val="36"/>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宋体" w:hAnsi="宋体"/>
      <w:sz w:val="24"/>
    </w:rPr>
  </w:style>
  <w:style w:type="paragraph" w:styleId="3">
    <w:name w:val="index 9"/>
    <w:basedOn w:val="1"/>
    <w:next w:val="1"/>
    <w:qFormat/>
    <w:uiPriority w:val="0"/>
    <w:pPr>
      <w:ind w:left="3360"/>
    </w:pPr>
  </w:style>
  <w:style w:type="paragraph" w:styleId="6">
    <w:name w:val="Body Text Indent"/>
    <w:basedOn w:val="1"/>
    <w:next w:val="7"/>
    <w:qFormat/>
    <w:uiPriority w:val="0"/>
    <w:pPr>
      <w:ind w:left="829" w:leftChars="398" w:hanging="2"/>
    </w:pPr>
    <w:rPr>
      <w:sz w:val="24"/>
    </w:rPr>
  </w:style>
  <w:style w:type="paragraph" w:styleId="7">
    <w:name w:val="Body Text First Indent 2"/>
    <w:basedOn w:val="6"/>
    <w:next w:val="2"/>
    <w:qFormat/>
    <w:uiPriority w:val="0"/>
    <w:pPr>
      <w:ind w:firstLine="420" w:firstLineChars="200"/>
    </w:pPr>
    <w:rPr>
      <w:rFonts w:ascii="宋体"/>
      <w:lang w:bidi="mn-Mong-CN"/>
    </w:rPr>
  </w:style>
  <w:style w:type="paragraph" w:styleId="8">
    <w:name w:val="Date"/>
    <w:basedOn w:val="1"/>
    <w:next w:val="1"/>
    <w:uiPriority w:val="0"/>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宋体" w:hAnsi="宋体"/>
      <w:sz w:val="18"/>
      <w:szCs w:val="24"/>
    </w:rPr>
  </w:style>
  <w:style w:type="paragraph" w:styleId="11">
    <w:name w:val="Body Text 2"/>
    <w:basedOn w:val="1"/>
    <w:qFormat/>
    <w:uiPriority w:val="0"/>
    <w:pPr>
      <w:spacing w:line="0" w:lineRule="atLeast"/>
    </w:pPr>
    <w:rPr>
      <w:rFonts w:ascii="新宋体" w:hAnsi="新宋体" w:eastAsia="新宋体"/>
      <w:b/>
      <w:bCs/>
      <w:szCs w:val="24"/>
    </w:rPr>
  </w:style>
  <w:style w:type="paragraph" w:styleId="12">
    <w:name w:val="Normal (Web)"/>
    <w:basedOn w:val="1"/>
    <w:qFormat/>
    <w:uiPriority w:val="0"/>
    <w:pPr>
      <w:widowControl/>
      <w:spacing w:before="100" w:beforeLines="0" w:beforeAutospacing="1" w:after="100" w:afterLines="0" w:afterAutospacing="1"/>
      <w:jc w:val="left"/>
    </w:pPr>
    <w:rPr>
      <w:kern w:val="0"/>
      <w:sz w:val="24"/>
      <w:szCs w:val="24"/>
    </w:rPr>
  </w:style>
  <w:style w:type="paragraph" w:styleId="13">
    <w:name w:val="Body Text First Indent"/>
    <w:basedOn w:val="2"/>
    <w:next w:val="7"/>
    <w:qFormat/>
    <w:uiPriority w:val="99"/>
    <w:pPr>
      <w:widowControl/>
      <w:ind w:firstLine="420"/>
      <w:jc w:val="left"/>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2) + 非粗体"/>
    <w:basedOn w:val="16"/>
    <w:qFormat/>
    <w:uiPriority w:val="0"/>
    <w:rPr>
      <w:rFonts w:ascii="MingLiU" w:hAnsi="MingLiU" w:eastAsia="MingLiU" w:cs="MingLiU"/>
      <w:color w:val="000000"/>
      <w:spacing w:val="0"/>
      <w:w w:val="100"/>
      <w:position w:val="0"/>
      <w:sz w:val="20"/>
      <w:szCs w:val="20"/>
      <w:shd w:val="clear" w:color="auto" w:fill="FFFFFF"/>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4638</Words>
  <Characters>5185</Characters>
  <Lines>0</Lines>
  <Paragraphs>0</Paragraphs>
  <TotalTime>0</TotalTime>
  <ScaleCrop>false</ScaleCrop>
  <LinksUpToDate>false</LinksUpToDate>
  <CharactersWithSpaces>5240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2025-02-15T10:03:00Z</dcterms:created>
  <dc:creator>             -Missmiss。</dc:creator>
  <cp:lastModifiedBy>cunese</cp:lastModifiedBy>
  <dcterms:modified xsi:type="dcterms:W3CDTF">2025-03-05T01:19:50Z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BB5E83A272FA4DE0904EBFA70ACB3D6F_11</vt:lpwstr>
  </property>
  <property fmtid="{D5CDD505-2E9C-101B-9397-08002B2CF9AE}" pid="4" name="KSOTemplateDocerSaveRecord">
    <vt:lpwstr>eyJoZGlkIjoiNGFkNGE5MjlmYWI0ZDQ0NjdlOWY1NGVjYjM3M2NmNzciLCJ1c2VySWQiOiI1MTg3OTI3MTkifQ==</vt:lpwstr>
  </property>
</Properties>
</file>