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4CF2D">
      <w:pPr>
        <w:tabs>
          <w:tab w:val="left" w:pos="3220"/>
          <w:tab w:val="left" w:pos="5602"/>
        </w:tabs>
        <w:spacing w:line="360" w:lineRule="auto"/>
        <w:jc w:val="center"/>
        <w:rPr>
          <w:rFonts w:ascii="宋体" w:hAnsi="宋体" w:eastAsia="宋体" w:cs="宋体"/>
          <w:color w:val="auto"/>
          <w:sz w:val="28"/>
        </w:rPr>
      </w:pPr>
      <w:r>
        <w:rPr>
          <w:rFonts w:hint="eastAsia" w:ascii="宋体" w:hAnsi="宋体" w:eastAsia="宋体" w:cs="宋体"/>
          <w:color w:val="auto"/>
          <w:sz w:val="28"/>
        </w:rPr>
        <w:t>国道鹤岗至大连公路勃利鸡东界至鸡东鸡西界段改扩建工程施工监理招标公告</w:t>
      </w:r>
    </w:p>
    <w:p w14:paraId="5DEBAB70">
      <w:pPr>
        <w:spacing w:line="360" w:lineRule="auto"/>
        <w:jc w:val="center"/>
        <w:rPr>
          <w:rFonts w:ascii="宋体" w:hAnsi="宋体" w:eastAsia="宋体" w:cs="宋体"/>
          <w:color w:val="auto"/>
          <w:sz w:val="20"/>
        </w:rPr>
      </w:pPr>
      <w:r>
        <w:rPr>
          <w:rFonts w:hint="eastAsia" w:ascii="宋体" w:hAnsi="宋体" w:eastAsia="宋体" w:cs="宋体"/>
          <w:color w:val="auto"/>
          <w:szCs w:val="21"/>
        </w:rPr>
        <w:t xml:space="preserve">（招标编号：JQZB-25003） </w:t>
      </w:r>
    </w:p>
    <w:p w14:paraId="005EDC8F">
      <w:pPr>
        <w:spacing w:line="360" w:lineRule="auto"/>
        <w:outlineLvl w:val="1"/>
        <w:rPr>
          <w:rFonts w:ascii="宋体" w:hAnsi="宋体" w:eastAsia="宋体" w:cs="宋体"/>
          <w:b/>
          <w:bCs/>
          <w:color w:val="auto"/>
          <w:sz w:val="24"/>
          <w:szCs w:val="24"/>
        </w:rPr>
      </w:pPr>
      <w:bookmarkStart w:id="0" w:name="_Toc1275"/>
      <w:r>
        <w:rPr>
          <w:rFonts w:hint="eastAsia" w:ascii="宋体" w:hAnsi="宋体" w:eastAsia="宋体" w:cs="宋体"/>
          <w:b/>
          <w:bCs/>
          <w:color w:val="auto"/>
          <w:sz w:val="24"/>
          <w:szCs w:val="24"/>
        </w:rPr>
        <w:t>1.招标条件</w:t>
      </w:r>
      <w:bookmarkEnd w:id="0"/>
    </w:p>
    <w:p w14:paraId="124FA0BA">
      <w:pPr>
        <w:spacing w:line="360" w:lineRule="auto"/>
        <w:ind w:firstLine="480" w:firstLineChars="200"/>
        <w:outlineLvl w:val="1"/>
        <w:rPr>
          <w:rFonts w:ascii="宋体" w:hAnsi="宋体" w:eastAsia="宋体" w:cs="宋体"/>
          <w:color w:val="auto"/>
          <w:sz w:val="24"/>
          <w:szCs w:val="24"/>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rPr>
        <w:t>国道鹤岗至大连公路勃利鸡东界至鸡东鸡西界段改扩建工程</w:t>
      </w:r>
      <w:r>
        <w:rPr>
          <w:rFonts w:hint="eastAsia" w:ascii="宋体" w:hAnsi="宋体" w:eastAsia="宋体" w:cs="宋体"/>
          <w:color w:val="auto"/>
          <w:sz w:val="24"/>
          <w:szCs w:val="24"/>
        </w:rPr>
        <w:t>施工图设计已由</w:t>
      </w:r>
      <w:r>
        <w:rPr>
          <w:rFonts w:hint="eastAsia" w:ascii="宋体" w:hAnsi="宋体" w:eastAsia="宋体" w:cs="宋体"/>
          <w:color w:val="auto"/>
          <w:sz w:val="24"/>
          <w:szCs w:val="24"/>
          <w:u w:val="single"/>
        </w:rPr>
        <w:t>黑龙江省交通运输厅</w:t>
      </w:r>
      <w:r>
        <w:rPr>
          <w:rFonts w:hint="eastAsia" w:ascii="宋体" w:hAnsi="宋体" w:eastAsia="宋体" w:cs="宋体"/>
          <w:color w:val="auto"/>
          <w:sz w:val="24"/>
          <w:szCs w:val="24"/>
        </w:rPr>
        <w:t>以</w:t>
      </w:r>
      <w:r>
        <w:rPr>
          <w:rFonts w:hint="eastAsia" w:ascii="宋体" w:hAnsi="宋体" w:eastAsia="宋体" w:cs="宋体"/>
          <w:color w:val="auto"/>
          <w:sz w:val="24"/>
          <w:szCs w:val="24"/>
          <w:u w:val="single"/>
        </w:rPr>
        <w:t>黑交发[2024]187号</w:t>
      </w:r>
      <w:r>
        <w:rPr>
          <w:rFonts w:hint="eastAsia" w:ascii="宋体" w:hAnsi="宋体" w:eastAsia="宋体" w:cs="宋体"/>
          <w:color w:val="auto"/>
          <w:sz w:val="24"/>
          <w:szCs w:val="24"/>
        </w:rPr>
        <w:t>文件批准，项目业主为</w:t>
      </w:r>
      <w:r>
        <w:rPr>
          <w:rFonts w:hint="eastAsia" w:ascii="宋体" w:hAnsi="宋体" w:eastAsia="宋体" w:cs="宋体"/>
          <w:color w:val="auto"/>
          <w:sz w:val="24"/>
          <w:szCs w:val="24"/>
          <w:u w:val="single"/>
        </w:rPr>
        <w:t>鸡东县交通运输局</w:t>
      </w:r>
      <w:r>
        <w:rPr>
          <w:rFonts w:hint="eastAsia" w:ascii="宋体" w:hAnsi="宋体" w:eastAsia="宋体" w:cs="宋体"/>
          <w:color w:val="auto"/>
          <w:sz w:val="24"/>
          <w:szCs w:val="24"/>
        </w:rPr>
        <w:t>，建设资金来自</w:t>
      </w:r>
      <w:r>
        <w:rPr>
          <w:rFonts w:hint="eastAsia" w:ascii="宋体" w:hAnsi="宋体" w:eastAsia="宋体" w:cs="宋体"/>
          <w:color w:val="auto"/>
          <w:sz w:val="24"/>
          <w:szCs w:val="24"/>
          <w:u w:val="single"/>
          <w:lang w:eastAsia="zh-CN"/>
        </w:rPr>
        <w:t>交通运输领域重点项目资金及县自筹资金</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rPr>
        <w:t>鸡东县交通运输局</w:t>
      </w:r>
      <w:r>
        <w:rPr>
          <w:rFonts w:hint="eastAsia" w:ascii="宋体" w:hAnsi="宋体" w:eastAsia="宋体" w:cs="宋体"/>
          <w:color w:val="auto"/>
          <w:sz w:val="24"/>
          <w:szCs w:val="24"/>
        </w:rPr>
        <w:t>。项目已具备招标条件，现对该项目</w:t>
      </w:r>
      <w:r>
        <w:rPr>
          <w:rFonts w:hint="eastAsia" w:ascii="宋体" w:hAnsi="宋体" w:eastAsia="宋体" w:cs="宋体"/>
          <w:color w:val="auto"/>
          <w:sz w:val="24"/>
          <w:szCs w:val="24"/>
          <w:u w:val="single"/>
        </w:rPr>
        <w:t>施工监理</w:t>
      </w:r>
      <w:r>
        <w:rPr>
          <w:rFonts w:hint="eastAsia" w:ascii="宋体" w:hAnsi="宋体" w:eastAsia="宋体" w:cs="宋体"/>
          <w:color w:val="auto"/>
          <w:sz w:val="24"/>
          <w:szCs w:val="24"/>
        </w:rPr>
        <w:t>进行公开招标。</w:t>
      </w:r>
    </w:p>
    <w:p w14:paraId="11804860">
      <w:pPr>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2.项目概况和招标范围</w:t>
      </w:r>
    </w:p>
    <w:p w14:paraId="61BECCFF">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eastAsia="zh-CN"/>
        </w:rPr>
      </w:pPr>
      <w:bookmarkStart w:id="1" w:name="_Toc509387329"/>
      <w:bookmarkStart w:id="2" w:name="_Toc509393621"/>
      <w:bookmarkStart w:id="3" w:name="_Toc509470604"/>
      <w:r>
        <w:rPr>
          <w:rStyle w:val="53"/>
          <w:rFonts w:hint="eastAsia" w:ascii="宋体" w:hAnsi="宋体" w:eastAsia="宋体" w:cs="宋体"/>
          <w:b w:val="0"/>
          <w:color w:val="auto"/>
          <w:sz w:val="24"/>
          <w:szCs w:val="24"/>
          <w:lang w:eastAsia="zh-CN"/>
        </w:rPr>
        <w:t>2.</w:t>
      </w:r>
      <w:r>
        <w:rPr>
          <w:rStyle w:val="53"/>
          <w:rFonts w:hint="eastAsia" w:ascii="宋体" w:hAnsi="宋体" w:eastAsia="宋体" w:cs="宋体"/>
          <w:b w:val="0"/>
          <w:color w:val="auto"/>
          <w:sz w:val="24"/>
          <w:szCs w:val="24"/>
          <w:lang w:val="en-US" w:eastAsia="zh-CN"/>
        </w:rPr>
        <w:t>1</w:t>
      </w:r>
      <w:r>
        <w:rPr>
          <w:rStyle w:val="53"/>
          <w:rFonts w:hint="eastAsia" w:ascii="宋体" w:hAnsi="宋体" w:eastAsia="宋体" w:cs="宋体"/>
          <w:b w:val="0"/>
          <w:color w:val="auto"/>
          <w:sz w:val="24"/>
          <w:szCs w:val="24"/>
          <w:lang w:eastAsia="zh-CN"/>
        </w:rPr>
        <w:t>建设地点：鸡东县兴农镇。</w:t>
      </w:r>
    </w:p>
    <w:p w14:paraId="20FAFE08">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eastAsia="zh-CN"/>
        </w:rPr>
      </w:pPr>
      <w:r>
        <w:rPr>
          <w:rStyle w:val="53"/>
          <w:rFonts w:hint="eastAsia" w:ascii="宋体" w:hAnsi="宋体" w:eastAsia="宋体" w:cs="宋体"/>
          <w:b w:val="0"/>
          <w:color w:val="auto"/>
          <w:sz w:val="24"/>
          <w:szCs w:val="24"/>
          <w:lang w:val="en-US" w:eastAsia="zh-CN"/>
        </w:rPr>
        <w:t>2.2建设</w:t>
      </w:r>
      <w:r>
        <w:rPr>
          <w:rStyle w:val="53"/>
          <w:rFonts w:hint="eastAsia" w:ascii="宋体" w:hAnsi="宋体" w:eastAsia="宋体" w:cs="宋体"/>
          <w:b w:val="0"/>
          <w:color w:val="auto"/>
          <w:sz w:val="24"/>
          <w:szCs w:val="24"/>
          <w:lang w:eastAsia="zh-CN"/>
        </w:rPr>
        <w:t>规模：项目起自鹤大公路K260+382.547勃利鸡东界处，沿旧路向南布线，上跨鹤大高速，经兴农镇、四海村，止于鹤大公路K284+154.233鸡东鸡西界处，全长23.767公里(其中，改扩建段21.617公里，路面改造段2.15公里)。</w:t>
      </w:r>
    </w:p>
    <w:p w14:paraId="0590CE45">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eastAsia="zh-CN"/>
        </w:rPr>
      </w:pPr>
      <w:r>
        <w:rPr>
          <w:rStyle w:val="53"/>
          <w:rFonts w:hint="eastAsia" w:ascii="宋体" w:hAnsi="宋体" w:eastAsia="宋体" w:cs="宋体"/>
          <w:b w:val="0"/>
          <w:color w:val="auto"/>
          <w:sz w:val="24"/>
          <w:szCs w:val="24"/>
          <w:lang w:eastAsia="zh-CN"/>
        </w:rPr>
        <w:t>全线设置中桥169.82米/2座(均为拆除新建)、小桥61.54米/2座(利用27.5米/1座、拆除新建34.04米/1座)，涵洞52道(利用4道、新建48道)。主线上跨分离立交桥268.2米/1座(拆除移位新建)，与等级公路平面交叉7处，养护道班1处，交通量观测站1处,汽车停靠站2处(4座)。</w:t>
      </w:r>
    </w:p>
    <w:p w14:paraId="28F28B4E">
      <w:pPr>
        <w:pStyle w:val="42"/>
        <w:shd w:val="clear" w:color="auto" w:fill="auto"/>
        <w:spacing w:line="360" w:lineRule="auto"/>
        <w:ind w:firstLine="480" w:firstLineChars="200"/>
        <w:contextualSpacing/>
        <w:jc w:val="both"/>
        <w:rPr>
          <w:rFonts w:ascii="宋体" w:hAnsi="宋体" w:eastAsia="宋体" w:cs="宋体"/>
          <w:color w:val="auto"/>
          <w:sz w:val="24"/>
          <w:szCs w:val="24"/>
        </w:rPr>
      </w:pPr>
      <w:r>
        <w:rPr>
          <w:rStyle w:val="53"/>
          <w:rFonts w:hint="eastAsia" w:ascii="宋体" w:hAnsi="宋体" w:eastAsia="宋体" w:cs="宋体"/>
          <w:b w:val="0"/>
          <w:color w:val="auto"/>
          <w:sz w:val="24"/>
          <w:szCs w:val="24"/>
          <w:lang w:eastAsia="zh-CN"/>
        </w:rPr>
        <w:t>本项目采用二级公路标准建设，其中，K260+382.547</w:t>
      </w:r>
      <w:r>
        <w:rPr>
          <w:rStyle w:val="53"/>
          <w:rFonts w:hint="eastAsia" w:ascii="宋体" w:hAnsi="宋体" w:eastAsia="宋体" w:cs="宋体"/>
          <w:b w:val="0"/>
          <w:color w:val="auto"/>
          <w:sz w:val="24"/>
          <w:szCs w:val="24"/>
          <w:lang w:val="en-US" w:eastAsia="zh-CN"/>
        </w:rPr>
        <w:t>～</w:t>
      </w:r>
      <w:r>
        <w:rPr>
          <w:rStyle w:val="53"/>
          <w:rFonts w:hint="eastAsia" w:ascii="宋体" w:hAnsi="宋体" w:eastAsia="宋体" w:cs="宋体"/>
          <w:b w:val="0"/>
          <w:color w:val="auto"/>
          <w:sz w:val="24"/>
          <w:szCs w:val="24"/>
          <w:lang w:eastAsia="zh-CN"/>
        </w:rPr>
        <w:t>K271+832、K273+982～K279+600一般路段设计速度60公里/小时,路基宽度10.0米；K271+832～K273+982路面改造段设计速度60公里/小时，路基宽度10.0米；K279+600～K284+154.233越岭段设计速度40公里/小时，路基宽度10.0米。桥涵设计汽车荷载等级采用公路</w:t>
      </w:r>
      <w:r>
        <w:rPr>
          <w:rStyle w:val="53"/>
          <w:rFonts w:hint="eastAsia" w:ascii="宋体" w:hAnsi="宋体" w:eastAsia="宋体" w:cs="宋体"/>
          <w:b w:val="0"/>
          <w:color w:val="auto"/>
          <w:sz w:val="24"/>
          <w:szCs w:val="24"/>
          <w:lang w:val="en-US" w:eastAsia="zh-CN"/>
        </w:rPr>
        <w:t>-</w:t>
      </w:r>
      <w:r>
        <w:rPr>
          <w:rStyle w:val="53"/>
          <w:rFonts w:hint="eastAsia" w:ascii="宋体" w:hAnsi="宋体" w:eastAsia="宋体" w:cs="宋体"/>
          <w:b w:val="0"/>
          <w:color w:val="auto"/>
          <w:sz w:val="24"/>
          <w:szCs w:val="24"/>
          <w:lang w:eastAsia="zh-CN"/>
        </w:rPr>
        <w:t>I级，其他技术指标按《公路工程技术标准》(JTGBO1-2014)执行</w:t>
      </w:r>
      <w:r>
        <w:rPr>
          <w:rFonts w:hint="eastAsia" w:ascii="宋体" w:hAnsi="宋体" w:eastAsia="宋体" w:cs="宋体"/>
          <w:color w:val="auto"/>
          <w:sz w:val="24"/>
          <w:szCs w:val="24"/>
        </w:rPr>
        <w:t>。</w:t>
      </w:r>
    </w:p>
    <w:p w14:paraId="748D4EA2">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2.3最高投标限价：2720685.23元人民币。</w:t>
      </w:r>
    </w:p>
    <w:p w14:paraId="45FBC5EB">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2.4监理服务期：48个月。其中：施工阶段监理服务期（含施工准备阶段监理服务期）：总工期730日历天，2025年5月1日至2027年4月30日；验收与缺陷责任期：24个月。</w:t>
      </w:r>
    </w:p>
    <w:p w14:paraId="6FC66209">
      <w:pPr>
        <w:pStyle w:val="42"/>
        <w:shd w:val="clear" w:color="auto" w:fill="auto"/>
        <w:spacing w:line="360" w:lineRule="auto"/>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（上述计划工期仅作为编制投标文件的统一标准，实际服务期为签订合同日期起至本项目竣工之日止，如有其他约定，按合同条款规定执行。）</w:t>
      </w:r>
    </w:p>
    <w:p w14:paraId="3F930331">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2.5招标范围：负责本项目的路基、路面、桥梁、涵洞、交叉、交通安全设施及房建工程等施工准备期、施工期、验收与缺陷责任期以及施工质量、进度、安全、环保的监理服务。</w:t>
      </w:r>
    </w:p>
    <w:p w14:paraId="025690D0">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 xml:space="preserve">2.6质量要求：服务质量满足《公路工程施工监理规范》（JTG G10-2016）、《建设工程监理规范》（GB/T 50319-2013）,工程质量符合国家现行的《公路工程质量检验评定标准 第一册 土建工程》（JTG F80/1-2017）、《公路工程质量检验评定标准 第二册 机电工程》（JTG 2182-2020）、《建筑工程施工质量验收统一标准》（GB50300-2013），竣交工验收依据《公路工程竣（交）工验收办法实施细则》（交公路发〔2010〕65 号）规定，标段工程交工验收质量评定为合格；竣工验收工程质量评定为优良。 </w:t>
      </w:r>
    </w:p>
    <w:p w14:paraId="459501B1">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2.7安全目标要求：在项目建设过程中杜绝重大安全责任事故，避免发生较大安全责任事故，控制一般安全责任事故，各类生产安全责任事故死亡人数为零。</w:t>
      </w:r>
    </w:p>
    <w:p w14:paraId="070A0A65">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2.8标段划分：本项目划分1个标段J1。</w:t>
      </w:r>
    </w:p>
    <w:p w14:paraId="58C24EAC">
      <w:pPr>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3.投标人资格要求</w:t>
      </w:r>
      <w:bookmarkEnd w:id="1"/>
      <w:bookmarkEnd w:id="2"/>
      <w:bookmarkEnd w:id="3"/>
    </w:p>
    <w:p w14:paraId="66F5E34E">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eastAsia="zh-CN"/>
        </w:rPr>
      </w:pPr>
      <w:r>
        <w:rPr>
          <w:rStyle w:val="53"/>
          <w:rFonts w:hint="eastAsia" w:ascii="宋体" w:hAnsi="宋体" w:eastAsia="宋体" w:cs="宋体"/>
          <w:b w:val="0"/>
          <w:color w:val="auto"/>
          <w:sz w:val="24"/>
          <w:szCs w:val="24"/>
          <w:lang w:eastAsia="zh-CN"/>
        </w:rPr>
        <w:t>3.1本次招标要求投标人须具备国内独立法人资格，持有市场监督管理部门核发的有效的企业法人营业执照，并在人员、设备、资金等方面具有相应的施工监理能力，且同时满足下列要求：</w:t>
      </w:r>
    </w:p>
    <w:p w14:paraId="02005AEB">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highlight w:val="none"/>
          <w:lang w:eastAsia="zh-CN"/>
        </w:rPr>
      </w:pPr>
      <w:r>
        <w:rPr>
          <w:rStyle w:val="53"/>
          <w:rFonts w:hint="eastAsia" w:ascii="宋体" w:hAnsi="宋体" w:eastAsia="宋体" w:cs="宋体"/>
          <w:b w:val="0"/>
          <w:color w:val="auto"/>
          <w:sz w:val="24"/>
          <w:szCs w:val="24"/>
          <w:highlight w:val="none"/>
          <w:lang w:eastAsia="zh-CN"/>
        </w:rPr>
        <w:t>（1）资质最低要求</w:t>
      </w:r>
    </w:p>
    <w:p w14:paraId="5892EC8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投标人须同时具备①交通运输主管部门或建设行政主管部门颁发的公路工程专业乙级（含乙级）及以上监理资质和②建设行政主管部门核发的房屋建筑工程监理乙级（含乙级）及以上资质。</w:t>
      </w:r>
    </w:p>
    <w:p w14:paraId="27796380">
      <w:pPr>
        <w:pStyle w:val="42"/>
        <w:shd w:val="clear" w:color="auto" w:fill="auto"/>
        <w:spacing w:line="360" w:lineRule="auto"/>
        <w:ind w:firstLine="480" w:firstLineChars="200"/>
        <w:contextualSpacing/>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属于《关于发布公路工程从业企业资质名录的通知》（厅公路字[2011]114号）中名录范围内的投标人，应进入交通运输部“全国公路建设市场监督管理系统（https://hwdms.mot.gov.cn/）”中的公路工程施工监理资质企业名录或“黑龙江省公路水路建设市场信用信息管理系统”中的公路工程施工监理资质企业名录，且投标人名称和资质与名录中的相应企业名称和资质完全一致。</w:t>
      </w:r>
    </w:p>
    <w:p w14:paraId="015CA699">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highlight w:val="none"/>
          <w:lang w:eastAsia="zh-CN"/>
        </w:rPr>
      </w:pPr>
      <w:r>
        <w:rPr>
          <w:rStyle w:val="53"/>
          <w:rFonts w:hint="eastAsia" w:ascii="宋体" w:hAnsi="宋体" w:eastAsia="宋体" w:cs="宋体"/>
          <w:b w:val="0"/>
          <w:color w:val="auto"/>
          <w:sz w:val="24"/>
          <w:szCs w:val="24"/>
          <w:highlight w:val="none"/>
          <w:lang w:eastAsia="zh-CN"/>
        </w:rPr>
        <w:t>（</w:t>
      </w:r>
      <w:r>
        <w:rPr>
          <w:rStyle w:val="53"/>
          <w:rFonts w:hint="eastAsia" w:ascii="宋体" w:hAnsi="宋体" w:eastAsia="宋体" w:cs="宋体"/>
          <w:b w:val="0"/>
          <w:color w:val="auto"/>
          <w:sz w:val="24"/>
          <w:szCs w:val="24"/>
          <w:highlight w:val="none"/>
          <w:lang w:val="en-US" w:eastAsia="zh-CN"/>
        </w:rPr>
        <w:t>2</w:t>
      </w:r>
      <w:r>
        <w:rPr>
          <w:rStyle w:val="53"/>
          <w:rFonts w:hint="eastAsia" w:ascii="宋体" w:hAnsi="宋体" w:eastAsia="宋体" w:cs="宋体"/>
          <w:b w:val="0"/>
          <w:color w:val="auto"/>
          <w:sz w:val="24"/>
          <w:szCs w:val="24"/>
          <w:highlight w:val="none"/>
          <w:lang w:eastAsia="zh-CN"/>
        </w:rPr>
        <w:t>）业绩最低要求</w:t>
      </w:r>
    </w:p>
    <w:p w14:paraId="55F5429B">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highlight w:val="none"/>
          <w:lang w:val="en-US" w:eastAsia="zh-CN"/>
        </w:rPr>
      </w:pPr>
      <w:r>
        <w:rPr>
          <w:rStyle w:val="53"/>
          <w:rFonts w:hint="eastAsia" w:ascii="宋体" w:hAnsi="宋体" w:eastAsia="宋体" w:cs="宋体"/>
          <w:b w:val="0"/>
          <w:color w:val="auto"/>
          <w:sz w:val="24"/>
          <w:szCs w:val="24"/>
          <w:highlight w:val="none"/>
          <w:lang w:val="en-US" w:eastAsia="zh-CN"/>
        </w:rPr>
        <w:t>投标人近五年（2020年1月1日～递交投标文件截止时间）完成的业绩（以实际交工验收日期为准），独立完成过1项不少于20公里的二级及以上公路工程（同时含有路基工程、沥青混凝土路面工程）施工项目监理服务且交工验收达到合格标准。（注：业绩要求中的公路工程是指新建、改扩建（不含养护工程项目）,如投标人提供高速公路、一级公路业绩的，其里程可折算成2倍的二级公路里程。）</w:t>
      </w:r>
    </w:p>
    <w:p w14:paraId="5883CC1C">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highlight w:val="none"/>
          <w:lang w:val="en-US" w:eastAsia="zh-CN"/>
        </w:rPr>
      </w:pPr>
      <w:r>
        <w:rPr>
          <w:rStyle w:val="53"/>
          <w:rFonts w:hint="eastAsia" w:ascii="宋体" w:hAnsi="宋体" w:eastAsia="宋体" w:cs="宋体"/>
          <w:b w:val="0"/>
          <w:color w:val="auto"/>
          <w:sz w:val="24"/>
          <w:szCs w:val="24"/>
          <w:highlight w:val="none"/>
          <w:lang w:val="en-US" w:eastAsia="zh-CN"/>
        </w:rPr>
        <w:t>监理业绩要求在交通运输部网站“全国公路建设市场信用信息管理系统”（https://hwdms.mot.gov.cn/BMWebSite/）或黑龙江省交通运输厅网站的“黑龙江省公路水路建设市场信用信息管理系统”中能够查询（提供查询截图）。</w:t>
      </w:r>
    </w:p>
    <w:p w14:paraId="3E37CF23">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highlight w:val="none"/>
          <w:lang w:eastAsia="zh-CN"/>
        </w:rPr>
      </w:pPr>
      <w:r>
        <w:rPr>
          <w:rStyle w:val="53"/>
          <w:rFonts w:hint="eastAsia" w:ascii="宋体" w:hAnsi="宋体" w:eastAsia="宋体" w:cs="宋体"/>
          <w:b w:val="0"/>
          <w:color w:val="auto"/>
          <w:sz w:val="24"/>
          <w:szCs w:val="24"/>
          <w:highlight w:val="none"/>
          <w:lang w:eastAsia="zh-CN"/>
        </w:rPr>
        <w:t>（</w:t>
      </w:r>
      <w:r>
        <w:rPr>
          <w:rStyle w:val="53"/>
          <w:rFonts w:hint="eastAsia" w:ascii="宋体" w:hAnsi="宋体" w:eastAsia="宋体" w:cs="宋体"/>
          <w:b w:val="0"/>
          <w:color w:val="auto"/>
          <w:sz w:val="24"/>
          <w:szCs w:val="24"/>
          <w:highlight w:val="none"/>
          <w:lang w:val="en-US" w:eastAsia="zh-CN"/>
        </w:rPr>
        <w:t>3</w:t>
      </w:r>
      <w:r>
        <w:rPr>
          <w:rStyle w:val="53"/>
          <w:rFonts w:hint="eastAsia" w:ascii="宋体" w:hAnsi="宋体" w:eastAsia="宋体" w:cs="宋体"/>
          <w:b w:val="0"/>
          <w:color w:val="auto"/>
          <w:sz w:val="24"/>
          <w:szCs w:val="24"/>
          <w:highlight w:val="none"/>
          <w:lang w:eastAsia="zh-CN"/>
        </w:rPr>
        <w:t>）信誉最低要求</w:t>
      </w:r>
    </w:p>
    <w:p w14:paraId="3AA11BD2">
      <w:pPr>
        <w:pStyle w:val="42"/>
        <w:shd w:val="clear" w:color="auto" w:fill="auto"/>
        <w:spacing w:line="360" w:lineRule="auto"/>
        <w:ind w:firstLine="480" w:firstLineChars="200"/>
        <w:contextualSpacing/>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1、投标人在近三年（2022年1月1日-投标文件递交截止时间前）中不得在合同中违约、被驱逐出现场、亦不曾因任何原因而被废除合同；</w:t>
      </w:r>
    </w:p>
    <w:p w14:paraId="73DD94ED">
      <w:pPr>
        <w:pStyle w:val="42"/>
        <w:shd w:val="clear" w:color="auto" w:fill="auto"/>
        <w:spacing w:line="360" w:lineRule="auto"/>
        <w:ind w:firstLine="480" w:firstLineChars="200"/>
        <w:contextualSpacing/>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2、投标人在近三年（2022年1月1日-投标文件递交截止时间前）中不得有重大质量、安全事故被有关部门处罚；</w:t>
      </w:r>
    </w:p>
    <w:p w14:paraId="0DBD38E0">
      <w:pPr>
        <w:pStyle w:val="42"/>
        <w:shd w:val="clear" w:color="auto" w:fill="auto"/>
        <w:spacing w:line="360" w:lineRule="auto"/>
        <w:ind w:firstLine="480" w:firstLineChars="200"/>
        <w:contextualSpacing/>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3、近三年（2022年1月1日-投标文件递交截止时间前）在“中国执行信息公开网”网站（http://zxgk.court.gov.cn/）中，投标人及其法定代表人被列入失信被执行人名单的，不得参加投标。</w:t>
      </w:r>
    </w:p>
    <w:p w14:paraId="393313D8">
      <w:pPr>
        <w:pStyle w:val="42"/>
        <w:shd w:val="clear" w:color="auto" w:fill="auto"/>
        <w:spacing w:line="360" w:lineRule="auto"/>
        <w:ind w:firstLine="480" w:firstLineChars="200"/>
        <w:contextualSpacing/>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需通过中国裁判文书网（http://wenshu.court.gov.cn）对投标单位、法定代表人和总监理工程师近三年（2022年1月1日-投标文件递交截止时间前）进行无行贿犯罪档案查询工作。经查询有行贿犯罪记录的单位不得参加本项目投标。</w:t>
      </w:r>
    </w:p>
    <w:p w14:paraId="476B71C2">
      <w:pPr>
        <w:pStyle w:val="42"/>
        <w:shd w:val="clear" w:color="auto" w:fill="auto"/>
        <w:spacing w:line="360" w:lineRule="auto"/>
        <w:ind w:firstLine="480" w:firstLineChars="200"/>
        <w:contextualSpacing/>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5、本次招标不接受黑龙江省交通运输厅2023年度或交通运输部2023年度公路监理企业信用评价中认定为D级信用评价等级的投标人提出投标申请。</w:t>
      </w:r>
    </w:p>
    <w:p w14:paraId="6A625C83">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highlight w:val="none"/>
          <w:lang w:eastAsia="zh-CN"/>
        </w:rPr>
      </w:pPr>
      <w:r>
        <w:rPr>
          <w:rStyle w:val="53"/>
          <w:rFonts w:hint="eastAsia" w:ascii="宋体" w:hAnsi="宋体" w:eastAsia="宋体" w:cs="宋体"/>
          <w:b w:val="0"/>
          <w:color w:val="auto"/>
          <w:sz w:val="24"/>
          <w:szCs w:val="24"/>
          <w:highlight w:val="none"/>
          <w:lang w:eastAsia="zh-CN"/>
        </w:rPr>
        <w:t>（</w:t>
      </w:r>
      <w:r>
        <w:rPr>
          <w:rStyle w:val="53"/>
          <w:rFonts w:hint="eastAsia" w:ascii="宋体" w:hAnsi="宋体" w:eastAsia="宋体" w:cs="宋体"/>
          <w:b w:val="0"/>
          <w:color w:val="auto"/>
          <w:sz w:val="24"/>
          <w:szCs w:val="24"/>
          <w:highlight w:val="none"/>
          <w:lang w:val="en-US" w:eastAsia="zh-CN"/>
        </w:rPr>
        <w:t>4</w:t>
      </w:r>
      <w:r>
        <w:rPr>
          <w:rStyle w:val="53"/>
          <w:rFonts w:hint="eastAsia" w:ascii="宋体" w:hAnsi="宋体" w:eastAsia="宋体" w:cs="宋体"/>
          <w:b w:val="0"/>
          <w:color w:val="auto"/>
          <w:sz w:val="24"/>
          <w:szCs w:val="24"/>
          <w:highlight w:val="none"/>
          <w:lang w:eastAsia="zh-CN"/>
        </w:rPr>
        <w:t>）</w:t>
      </w:r>
      <w:r>
        <w:rPr>
          <w:rFonts w:hint="eastAsia" w:ascii="宋体" w:hAnsi="宋体" w:eastAsia="宋体" w:cs="宋体"/>
          <w:color w:val="auto"/>
          <w:sz w:val="24"/>
          <w:szCs w:val="24"/>
          <w:highlight w:val="none"/>
          <w:shd w:val="clear" w:color="auto" w:fill="FFFFFF"/>
        </w:rPr>
        <w:t>主要人员最低要求</w:t>
      </w:r>
    </w:p>
    <w:p w14:paraId="06FD65A0">
      <w:pPr>
        <w:pStyle w:val="42"/>
        <w:shd w:val="clear" w:color="auto" w:fill="auto"/>
        <w:spacing w:line="360" w:lineRule="auto"/>
        <w:ind w:firstLine="480" w:firstLineChars="200"/>
        <w:contextualSpacing/>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总监理工程师1人：</w:t>
      </w:r>
      <w:r>
        <w:rPr>
          <w:rFonts w:hint="eastAsia" w:ascii="宋体" w:hAnsi="宋体" w:eastAsia="宋体" w:cs="宋体"/>
          <w:color w:val="auto"/>
          <w:sz w:val="24"/>
          <w:szCs w:val="24"/>
          <w:highlight w:val="none"/>
          <w:shd w:val="clear" w:color="auto" w:fill="FFFFFF"/>
        </w:rPr>
        <w:t>具有交通运输部颁发的公路工程监理工程师资格证书或交通运输部与人力资源和社会保障部颁发并经注册登记的《监理工程师职业资格证书》（交通运输工程），持有安全、环保培训证书（如在2011年1月1日后取得的监理工程师资格，可不附安全、环保培训证书），且已在投标人处进行岗位登记，具有公路工程相关专业中级及以上职称</w:t>
      </w:r>
      <w:r>
        <w:rPr>
          <w:rFonts w:hint="eastAsia" w:ascii="宋体" w:hAnsi="宋体" w:eastAsia="宋体" w:cs="宋体"/>
          <w:color w:val="auto"/>
          <w:sz w:val="24"/>
          <w:szCs w:val="24"/>
          <w:highlight w:val="none"/>
        </w:rPr>
        <w:t>。</w:t>
      </w:r>
    </w:p>
    <w:p w14:paraId="16AE31E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3.2本次招标接受联合体投标。联合体投标的，应满足下列要求：</w:t>
      </w:r>
    </w:p>
    <w:p w14:paraId="495C057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3.2.1联合体投标的，联合体投标单位不得超过两家（含两家）单位。</w:t>
      </w:r>
    </w:p>
    <w:p w14:paraId="05032C01">
      <w:pPr>
        <w:spacing w:line="360" w:lineRule="auto"/>
        <w:ind w:firstLine="480" w:firstLineChars="200"/>
        <w:rPr>
          <w:rFonts w:ascii="宋体" w:hAnsi="宋体" w:eastAsia="宋体" w:cs="宋体"/>
          <w:color w:val="auto"/>
          <w:sz w:val="24"/>
          <w:szCs w:val="24"/>
        </w:rPr>
      </w:pPr>
      <w:r>
        <w:rPr>
          <w:rFonts w:hint="eastAsia" w:ascii="宋体" w:hAnsi="宋体" w:cs="宋体"/>
          <w:color w:val="auto"/>
          <w:sz w:val="24"/>
          <w:szCs w:val="24"/>
        </w:rPr>
        <w:t>3.2.2</w:t>
      </w:r>
      <w:r>
        <w:rPr>
          <w:rFonts w:hint="eastAsia" w:ascii="宋体" w:hAnsi="宋体" w:eastAsia="宋体" w:cs="宋体"/>
          <w:color w:val="auto"/>
          <w:sz w:val="24"/>
          <w:szCs w:val="24"/>
        </w:rPr>
        <w:t>联合体内成员须在投标前签署联合体协议（格式自拟），在协议中明确联合体内成员各自所应承担的责任、义务及分工；</w:t>
      </w:r>
    </w:p>
    <w:p w14:paraId="658E030C">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cs="宋体"/>
          <w:color w:val="auto"/>
          <w:sz w:val="24"/>
          <w:szCs w:val="24"/>
        </w:rPr>
        <w:t>3</w:t>
      </w:r>
      <w:r>
        <w:rPr>
          <w:rFonts w:hint="eastAsia" w:ascii="宋体" w:hAnsi="宋体" w:eastAsia="宋体" w:cs="宋体"/>
          <w:color w:val="auto"/>
          <w:sz w:val="24"/>
          <w:szCs w:val="24"/>
        </w:rPr>
        <w:t>联合体各方不得再以自己名义单独或参加其他联合体在本招标项目中投标；</w:t>
      </w:r>
    </w:p>
    <w:p w14:paraId="19E26384">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Fonts w:hint="eastAsia" w:ascii="宋体" w:hAnsi="宋体" w:eastAsia="宋体" w:cs="宋体"/>
          <w:color w:val="auto"/>
          <w:sz w:val="24"/>
          <w:szCs w:val="24"/>
        </w:rPr>
        <w:t>注：本项目只需联合体牵头人一方在黑龙江公共资源交易网报名。</w:t>
      </w:r>
    </w:p>
    <w:p w14:paraId="3CC3A351">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eastAsia="zh-CN"/>
        </w:rPr>
      </w:pPr>
      <w:r>
        <w:rPr>
          <w:rStyle w:val="53"/>
          <w:rFonts w:hint="eastAsia" w:ascii="宋体" w:hAnsi="宋体" w:eastAsia="宋体" w:cs="宋体"/>
          <w:b w:val="0"/>
          <w:color w:val="auto"/>
          <w:sz w:val="24"/>
          <w:szCs w:val="24"/>
          <w:lang w:eastAsia="zh-CN"/>
        </w:rPr>
        <w:t>3.</w:t>
      </w:r>
      <w:r>
        <w:rPr>
          <w:rStyle w:val="53"/>
          <w:rFonts w:hint="eastAsia" w:ascii="宋体" w:hAnsi="宋体" w:eastAsia="宋体" w:cs="宋体"/>
          <w:b w:val="0"/>
          <w:color w:val="auto"/>
          <w:sz w:val="24"/>
          <w:szCs w:val="24"/>
          <w:lang w:val="en-US" w:eastAsia="zh-CN"/>
        </w:rPr>
        <w:t>3与招标人存在利害关系可能影响招标公正性的单位，不得参加投标。单位负责人为同一人或存在控股、管理关系的不同单位，不得参加同一标段投标，否则，相关投标均无效。</w:t>
      </w:r>
    </w:p>
    <w:p w14:paraId="14F99359">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eastAsia="zh-CN"/>
        </w:rPr>
      </w:pPr>
      <w:r>
        <w:rPr>
          <w:rStyle w:val="53"/>
          <w:rFonts w:hint="eastAsia" w:ascii="宋体" w:hAnsi="宋体" w:eastAsia="宋体" w:cs="宋体"/>
          <w:b w:val="0"/>
          <w:color w:val="auto"/>
          <w:sz w:val="24"/>
          <w:szCs w:val="24"/>
          <w:lang w:val="en-US" w:eastAsia="zh-CN"/>
        </w:rPr>
        <w:t>3.4本次招标评标采用双信封形式的</w:t>
      </w:r>
      <w:r>
        <w:rPr>
          <w:rStyle w:val="53"/>
          <w:rFonts w:hint="eastAsia" w:ascii="宋体" w:hAnsi="宋体" w:eastAsia="宋体" w:cs="宋体"/>
          <w:bCs w:val="0"/>
          <w:color w:val="auto"/>
          <w:sz w:val="24"/>
          <w:szCs w:val="24"/>
          <w:lang w:val="en-US" w:eastAsia="zh-CN"/>
        </w:rPr>
        <w:t>综合评估法</w:t>
      </w:r>
      <w:r>
        <w:rPr>
          <w:rStyle w:val="53"/>
          <w:rFonts w:hint="eastAsia" w:ascii="宋体" w:hAnsi="宋体" w:eastAsia="宋体" w:cs="宋体"/>
          <w:b w:val="0"/>
          <w:color w:val="auto"/>
          <w:sz w:val="24"/>
          <w:szCs w:val="24"/>
          <w:lang w:val="en-US" w:eastAsia="zh-CN"/>
        </w:rPr>
        <w:t>，对投标人的资格审查采用资格后审形式。</w:t>
      </w:r>
    </w:p>
    <w:p w14:paraId="7317DC71">
      <w:pPr>
        <w:spacing w:line="360" w:lineRule="auto"/>
        <w:outlineLvl w:val="1"/>
        <w:rPr>
          <w:rFonts w:ascii="宋体" w:hAnsi="宋体" w:eastAsia="宋体" w:cs="宋体"/>
          <w:b/>
          <w:bCs/>
          <w:color w:val="auto"/>
          <w:sz w:val="24"/>
          <w:szCs w:val="24"/>
          <w:lang w:eastAsia="zh-TW"/>
        </w:rPr>
      </w:pPr>
      <w:bookmarkStart w:id="4" w:name="_Toc509393622"/>
      <w:bookmarkStart w:id="5" w:name="_Toc509470605"/>
      <w:bookmarkStart w:id="6" w:name="_Toc509387330"/>
      <w:r>
        <w:rPr>
          <w:rFonts w:hint="eastAsia" w:ascii="宋体" w:hAnsi="宋体" w:eastAsia="宋体" w:cs="宋体"/>
          <w:b/>
          <w:bCs/>
          <w:color w:val="auto"/>
          <w:sz w:val="24"/>
          <w:szCs w:val="24"/>
          <w:lang w:eastAsia="zh-TW"/>
        </w:rPr>
        <w:t>4.招标文件的获取</w:t>
      </w:r>
      <w:bookmarkEnd w:id="4"/>
      <w:bookmarkEnd w:id="5"/>
      <w:bookmarkEnd w:id="6"/>
    </w:p>
    <w:p w14:paraId="1AF43982">
      <w:pPr>
        <w:tabs>
          <w:tab w:val="left" w:pos="360"/>
        </w:tabs>
        <w:spacing w:line="360" w:lineRule="auto"/>
        <w:ind w:firstLine="480" w:firstLineChars="200"/>
        <w:rPr>
          <w:rFonts w:ascii="宋体" w:hAnsi="宋体" w:eastAsia="宋体" w:cs="宋体"/>
          <w:color w:val="auto"/>
          <w:sz w:val="24"/>
          <w:szCs w:val="24"/>
          <w:lang w:val="zh-CN"/>
        </w:rPr>
      </w:pPr>
      <w:bookmarkStart w:id="7" w:name="_Toc509393623"/>
      <w:bookmarkStart w:id="8" w:name="_Toc509470606"/>
      <w:bookmarkStart w:id="9" w:name="_Toc509387331"/>
      <w:r>
        <w:rPr>
          <w:rFonts w:hint="eastAsia" w:ascii="宋体" w:hAnsi="宋体" w:eastAsia="宋体" w:cs="宋体"/>
          <w:color w:val="auto"/>
          <w:sz w:val="24"/>
          <w:szCs w:val="24"/>
          <w:lang w:eastAsia="zh-TW"/>
        </w:rPr>
        <w:t>4.1</w:t>
      </w:r>
      <w:r>
        <w:rPr>
          <w:rFonts w:hint="eastAsia" w:ascii="宋体" w:hAnsi="宋体" w:eastAsia="宋体" w:cs="宋体"/>
          <w:color w:val="auto"/>
          <w:sz w:val="24"/>
          <w:szCs w:val="24"/>
          <w:lang w:val="zh-CN" w:eastAsia="zh-TW"/>
        </w:rPr>
        <w:t>凡有意参加投标者</w:t>
      </w:r>
      <w:r>
        <w:rPr>
          <w:rFonts w:hint="eastAsia" w:ascii="宋体" w:hAnsi="宋体" w:eastAsia="宋体" w:cs="宋体"/>
          <w:color w:val="auto"/>
          <w:sz w:val="24"/>
          <w:szCs w:val="24"/>
          <w:lang w:eastAsia="zh-TW"/>
        </w:rPr>
        <w:t>，</w:t>
      </w:r>
      <w:r>
        <w:rPr>
          <w:rFonts w:hint="eastAsia" w:ascii="宋体" w:hAnsi="宋体" w:eastAsia="宋体" w:cs="宋体"/>
          <w:color w:val="auto"/>
          <w:sz w:val="24"/>
          <w:szCs w:val="24"/>
          <w:lang w:val="zh-CN" w:eastAsia="zh-TW"/>
        </w:rPr>
        <w:t>请在</w:t>
      </w:r>
      <w:r>
        <w:rPr>
          <w:rFonts w:hint="eastAsia" w:ascii="宋体" w:hAnsi="宋体" w:eastAsia="宋体" w:cs="宋体"/>
          <w:color w:val="auto"/>
          <w:sz w:val="24"/>
          <w:szCs w:val="24"/>
          <w:lang w:eastAsia="zh-TW"/>
        </w:rPr>
        <w:t>“</w:t>
      </w:r>
      <w:r>
        <w:rPr>
          <w:rFonts w:hint="eastAsia" w:ascii="宋体" w:hAnsi="宋体" w:eastAsia="宋体" w:cs="宋体"/>
          <w:color w:val="auto"/>
          <w:sz w:val="24"/>
          <w:szCs w:val="24"/>
          <w:lang w:val="zh-CN" w:eastAsia="zh-TW"/>
        </w:rPr>
        <w:t>黑龙江公共资源交易网</w:t>
      </w:r>
      <w:r>
        <w:rPr>
          <w:rFonts w:hint="eastAsia" w:ascii="宋体" w:hAnsi="宋体" w:eastAsia="宋体" w:cs="宋体"/>
          <w:color w:val="auto"/>
          <w:sz w:val="24"/>
          <w:szCs w:val="24"/>
          <w:lang w:eastAsia="zh-TW"/>
        </w:rPr>
        <w:t>”（http://ggzyjyw.hlj.gov.cn/）</w:t>
      </w:r>
      <w:r>
        <w:rPr>
          <w:rFonts w:hint="eastAsia" w:ascii="宋体" w:hAnsi="宋体" w:eastAsia="宋体" w:cs="宋体"/>
          <w:color w:val="auto"/>
          <w:sz w:val="24"/>
          <w:szCs w:val="24"/>
          <w:lang w:val="zh-CN" w:eastAsia="zh-TW"/>
        </w:rPr>
        <w:t>进行用户注册、办理数字证书</w:t>
      </w:r>
      <w:r>
        <w:rPr>
          <w:rFonts w:hint="eastAsia" w:ascii="宋体" w:hAnsi="宋体" w:eastAsia="宋体" w:cs="宋体"/>
          <w:color w:val="auto"/>
          <w:sz w:val="24"/>
          <w:szCs w:val="24"/>
          <w:lang w:eastAsia="zh-TW"/>
        </w:rPr>
        <w:t>，</w:t>
      </w:r>
      <w:r>
        <w:rPr>
          <w:rFonts w:hint="eastAsia" w:ascii="宋体" w:hAnsi="宋体" w:eastAsia="宋体" w:cs="宋体"/>
          <w:color w:val="auto"/>
          <w:sz w:val="24"/>
          <w:szCs w:val="24"/>
          <w:lang w:val="zh-CN" w:eastAsia="zh-TW"/>
        </w:rPr>
        <w:t>使用数字证书登录</w:t>
      </w:r>
      <w:r>
        <w:rPr>
          <w:rFonts w:hint="eastAsia" w:ascii="宋体" w:hAnsi="宋体" w:eastAsia="宋体" w:cs="宋体"/>
          <w:color w:val="auto"/>
          <w:sz w:val="24"/>
          <w:szCs w:val="24"/>
          <w:lang w:eastAsia="zh-TW"/>
        </w:rPr>
        <w:t>“</w:t>
      </w:r>
      <w:r>
        <w:rPr>
          <w:rFonts w:hint="eastAsia" w:ascii="宋体" w:hAnsi="宋体" w:eastAsia="宋体" w:cs="宋体"/>
          <w:color w:val="auto"/>
          <w:sz w:val="24"/>
          <w:szCs w:val="24"/>
          <w:lang w:val="zh-CN" w:eastAsia="zh-TW"/>
        </w:rPr>
        <w:t>黑龙江公共资源交易网</w:t>
      </w:r>
      <w:r>
        <w:rPr>
          <w:rFonts w:hint="eastAsia" w:ascii="宋体" w:hAnsi="宋体" w:eastAsia="宋体" w:cs="宋体"/>
          <w:color w:val="auto"/>
          <w:sz w:val="24"/>
          <w:szCs w:val="24"/>
          <w:lang w:eastAsia="zh-TW"/>
        </w:rPr>
        <w:t>”</w:t>
      </w:r>
      <w:r>
        <w:rPr>
          <w:rFonts w:hint="eastAsia" w:ascii="宋体" w:hAnsi="宋体" w:eastAsia="宋体" w:cs="宋体"/>
          <w:color w:val="auto"/>
          <w:sz w:val="24"/>
          <w:szCs w:val="24"/>
          <w:lang w:val="zh-CN" w:eastAsia="zh-TW"/>
        </w:rPr>
        <w:t>上的</w:t>
      </w:r>
      <w:r>
        <w:rPr>
          <w:rFonts w:hint="eastAsia" w:ascii="宋体" w:hAnsi="宋体" w:eastAsia="宋体" w:cs="宋体"/>
          <w:color w:val="auto"/>
          <w:sz w:val="24"/>
          <w:szCs w:val="24"/>
          <w:lang w:eastAsia="zh-TW"/>
        </w:rPr>
        <w:t>“</w:t>
      </w:r>
      <w:r>
        <w:rPr>
          <w:rFonts w:hint="eastAsia" w:ascii="宋体" w:hAnsi="宋体" w:eastAsia="宋体" w:cs="宋体"/>
          <w:color w:val="auto"/>
          <w:sz w:val="24"/>
          <w:szCs w:val="24"/>
          <w:lang w:val="zh-CN" w:eastAsia="zh-TW"/>
        </w:rPr>
        <w:t>交易平台</w:t>
      </w:r>
      <w:r>
        <w:rPr>
          <w:rFonts w:hint="eastAsia" w:ascii="宋体" w:hAnsi="宋体" w:eastAsia="宋体" w:cs="宋体"/>
          <w:color w:val="auto"/>
          <w:sz w:val="24"/>
          <w:szCs w:val="24"/>
          <w:lang w:eastAsia="zh-TW"/>
        </w:rPr>
        <w:t>”，</w:t>
      </w:r>
      <w:r>
        <w:rPr>
          <w:rFonts w:hint="eastAsia" w:ascii="宋体" w:hAnsi="宋体" w:eastAsia="宋体" w:cs="宋体"/>
          <w:color w:val="auto"/>
          <w:sz w:val="24"/>
          <w:szCs w:val="24"/>
          <w:lang w:val="zh-CN" w:eastAsia="zh-TW"/>
        </w:rPr>
        <w:t>明确所投标段</w:t>
      </w:r>
      <w:r>
        <w:rPr>
          <w:rFonts w:hint="eastAsia" w:ascii="宋体" w:hAnsi="宋体" w:eastAsia="宋体" w:cs="宋体"/>
          <w:color w:val="auto"/>
          <w:sz w:val="24"/>
          <w:szCs w:val="24"/>
          <w:lang w:eastAsia="zh-TW"/>
        </w:rPr>
        <w:t>，</w:t>
      </w:r>
      <w:r>
        <w:rPr>
          <w:rFonts w:hint="eastAsia" w:ascii="宋体" w:hAnsi="宋体" w:eastAsia="宋体" w:cs="宋体"/>
          <w:color w:val="auto"/>
          <w:sz w:val="24"/>
          <w:szCs w:val="24"/>
          <w:lang w:val="zh-CN" w:eastAsia="zh-TW"/>
        </w:rPr>
        <w:t>下载招标文件。</w:t>
      </w:r>
      <w:r>
        <w:rPr>
          <w:rFonts w:hint="eastAsia" w:ascii="宋体" w:hAnsi="宋体" w:eastAsia="宋体" w:cs="宋体"/>
          <w:color w:val="auto"/>
          <w:sz w:val="24"/>
          <w:szCs w:val="24"/>
          <w:lang w:val="zh-CN"/>
        </w:rPr>
        <w:t>下载时间为2025年3月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日00时00分至2025年4月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日00时00分（北京时间，下同）。</w:t>
      </w:r>
    </w:p>
    <w:p w14:paraId="19C4190B">
      <w:pPr>
        <w:tabs>
          <w:tab w:val="left" w:pos="360"/>
        </w:tabs>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有关手续请查看“黑龙江公共资源交易网”中的《关于黑龙江公共资源交易平台用户注册及办理数字证书的说明》。</w:t>
      </w:r>
    </w:p>
    <w:p w14:paraId="45F93302">
      <w:pPr>
        <w:tabs>
          <w:tab w:val="left" w:pos="360"/>
        </w:tabs>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4.2潜在投标人使用数字证书通过“黑龙江公共资源交易网”在线下载。</w:t>
      </w:r>
    </w:p>
    <w:p w14:paraId="69AF2E68">
      <w:pPr>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5.</w:t>
      </w:r>
      <w:bookmarkEnd w:id="7"/>
      <w:bookmarkEnd w:id="8"/>
      <w:bookmarkEnd w:id="9"/>
      <w:r>
        <w:rPr>
          <w:rFonts w:hint="eastAsia" w:ascii="宋体" w:hAnsi="宋体" w:eastAsia="宋体" w:cs="宋体"/>
          <w:b/>
          <w:bCs/>
          <w:color w:val="auto"/>
          <w:sz w:val="24"/>
          <w:szCs w:val="24"/>
        </w:rPr>
        <w:t xml:space="preserve"> 投标文件的递交及相关事宜</w:t>
      </w:r>
    </w:p>
    <w:p w14:paraId="16F5EA0A">
      <w:pPr>
        <w:spacing w:line="360" w:lineRule="auto"/>
        <w:ind w:firstLine="480" w:firstLineChars="200"/>
        <w:rPr>
          <w:rFonts w:ascii="宋体" w:hAnsi="宋体" w:eastAsia="宋体" w:cs="宋体"/>
          <w:color w:val="auto"/>
          <w:sz w:val="24"/>
          <w:szCs w:val="24"/>
        </w:rPr>
      </w:pPr>
      <w:bookmarkStart w:id="10" w:name="_Toc28538"/>
      <w:r>
        <w:rPr>
          <w:rFonts w:hint="eastAsia" w:ascii="宋体" w:hAnsi="宋体" w:eastAsia="宋体" w:cs="宋体"/>
          <w:color w:val="auto"/>
          <w:sz w:val="24"/>
          <w:szCs w:val="24"/>
        </w:rPr>
        <w:t xml:space="preserve">5.1本项目投标采用电子投标文件，投标人应投标文件递交截止时间前完成递交工作。 </w:t>
      </w:r>
    </w:p>
    <w:p w14:paraId="7DE2A082">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电子投标文件应为加密的投标文件。投标文件递交的截止时间为</w:t>
      </w:r>
      <w:r>
        <w:rPr>
          <w:rFonts w:hint="eastAsia" w:ascii="宋体" w:hAnsi="宋体" w:eastAsia="宋体" w:cs="宋体"/>
          <w:color w:val="auto"/>
          <w:sz w:val="24"/>
          <w:szCs w:val="24"/>
          <w:lang w:eastAsia="zh-CN"/>
        </w:rPr>
        <w:t>2025年4月18日9时00分</w:t>
      </w:r>
      <w:r>
        <w:rPr>
          <w:rFonts w:hint="eastAsia" w:ascii="宋体" w:hAnsi="宋体" w:eastAsia="宋体" w:cs="宋体"/>
          <w:color w:val="auto"/>
          <w:sz w:val="24"/>
          <w:szCs w:val="24"/>
        </w:rPr>
        <w:t xml:space="preserve">，投标人应在截止时间前投标人应于电子投标文件递交截止时间前将电子投标文件第一个信封（商务及技术文件）、电子投标文件第二个信封（报价文件）分别上传至“黑龙江公共资源交易网”上的“交易平台”进行网上投标，未在电子投标文件递交截止时间前递交电子投标文件的，电子交易平台将予以拒收。 </w:t>
      </w:r>
    </w:p>
    <w:p w14:paraId="6C436AA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5.2线上远程（第一信封）开标时间为</w:t>
      </w:r>
      <w:r>
        <w:rPr>
          <w:rFonts w:hint="eastAsia" w:ascii="宋体" w:hAnsi="宋体" w:eastAsia="宋体" w:cs="宋体"/>
          <w:color w:val="auto"/>
          <w:sz w:val="24"/>
          <w:szCs w:val="24"/>
          <w:lang w:eastAsia="zh-CN"/>
        </w:rPr>
        <w:t>2025年4月18日9时00分</w:t>
      </w:r>
      <w:r>
        <w:rPr>
          <w:rFonts w:hint="eastAsia" w:ascii="宋体" w:hAnsi="宋体" w:eastAsia="宋体" w:cs="宋体"/>
          <w:color w:val="auto"/>
          <w:sz w:val="24"/>
          <w:szCs w:val="24"/>
        </w:rPr>
        <w:t xml:space="preserve">，投标人应使用数字证书准时参加远程开标工作。开标地点为：黑龙江省公共资源交易中心。 </w:t>
      </w:r>
    </w:p>
    <w:p w14:paraId="653A467B">
      <w:p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重要说明：投标人在交易平台上传投标文件第一信封（商务及技术文件）时，切勿出现有关报价内容，由于投标人自身原因导致投标报价在平台泄露，投标人自行承担责任。如需填报价请用“0”代替。最终汇总上传文件时报价正常填写。</w:t>
      </w:r>
    </w:p>
    <w:p w14:paraId="01F1F1EC">
      <w:pPr>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 xml:space="preserve">6.踏勘现场和答疑安排 </w:t>
      </w:r>
    </w:p>
    <w:p w14:paraId="24EA9A6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6.1招标人不统一组织踏勘现场。 </w:t>
      </w:r>
    </w:p>
    <w:p w14:paraId="6383F098">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6.2投标人提问、质疑以及招标人对招标文件的澄清均通过网上进行。 </w:t>
      </w:r>
    </w:p>
    <w:p w14:paraId="2EC7B12B">
      <w:pPr>
        <w:spacing w:line="360" w:lineRule="auto"/>
        <w:outlineLvl w:val="1"/>
        <w:rPr>
          <w:rFonts w:ascii="宋体" w:hAnsi="宋体" w:eastAsia="宋体" w:cs="宋体"/>
          <w:color w:val="auto"/>
          <w:sz w:val="24"/>
          <w:szCs w:val="24"/>
          <w:lang w:eastAsia="zh-TW"/>
        </w:rPr>
      </w:pPr>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TW"/>
        </w:rPr>
        <w:t>.</w:t>
      </w:r>
      <w:bookmarkEnd w:id="10"/>
      <w:r>
        <w:rPr>
          <w:rFonts w:hint="eastAsia" w:ascii="宋体" w:hAnsi="宋体" w:eastAsia="宋体" w:cs="宋体"/>
          <w:b/>
          <w:bCs/>
          <w:color w:val="auto"/>
          <w:sz w:val="24"/>
          <w:szCs w:val="24"/>
          <w:lang w:eastAsia="zh-TW"/>
        </w:rPr>
        <w:t xml:space="preserve"> 发布公告的媒介</w:t>
      </w:r>
    </w:p>
    <w:p w14:paraId="53D96779">
      <w:pPr>
        <w:pStyle w:val="42"/>
        <w:spacing w:line="360" w:lineRule="auto"/>
        <w:ind w:firstLine="480" w:firstLineChars="200"/>
        <w:contextualSpacing/>
        <w:jc w:val="both"/>
        <w:rPr>
          <w:rStyle w:val="53"/>
          <w:rFonts w:ascii="宋体" w:hAnsi="宋体" w:eastAsia="宋体" w:cs="宋体"/>
          <w:b w:val="0"/>
          <w:color w:val="auto"/>
          <w:sz w:val="24"/>
          <w:szCs w:val="24"/>
          <w:lang w:val="en-US" w:eastAsia="zh-CN"/>
        </w:rPr>
      </w:pPr>
      <w:bookmarkStart w:id="11" w:name="_Toc17862"/>
      <w:r>
        <w:rPr>
          <w:rStyle w:val="53"/>
          <w:rFonts w:hint="eastAsia" w:ascii="宋体" w:hAnsi="宋体" w:eastAsia="宋体" w:cs="宋体"/>
          <w:b w:val="0"/>
          <w:color w:val="auto"/>
          <w:sz w:val="24"/>
          <w:szCs w:val="24"/>
          <w:lang w:val="en-US" w:eastAsia="zh-CN"/>
        </w:rPr>
        <w:t>本次招标公告同时在黑龙江公共资源交易网（https://ggzyjyw.hlj.gov.cn/）、黑龙江省交通运输厅(http://www.hljjt.gov.cn)上发布。</w:t>
      </w:r>
    </w:p>
    <w:p w14:paraId="54CA742B">
      <w:pPr>
        <w:spacing w:line="360" w:lineRule="auto"/>
        <w:outlineLvl w:val="1"/>
        <w:rPr>
          <w:rFonts w:ascii="宋体" w:hAnsi="宋体" w:eastAsia="宋体" w:cs="宋体"/>
          <w:b/>
          <w:bCs/>
          <w:color w:val="auto"/>
          <w:sz w:val="24"/>
          <w:szCs w:val="24"/>
          <w:lang w:eastAsia="zh-TW"/>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TW"/>
        </w:rPr>
        <w:t>.</w:t>
      </w:r>
      <w:bookmarkEnd w:id="11"/>
      <w:r>
        <w:rPr>
          <w:rFonts w:hint="eastAsia" w:ascii="宋体" w:hAnsi="宋体" w:eastAsia="宋体" w:cs="宋体"/>
          <w:b/>
          <w:bCs/>
          <w:color w:val="auto"/>
          <w:sz w:val="24"/>
          <w:szCs w:val="24"/>
          <w:lang w:eastAsia="zh-TW"/>
        </w:rPr>
        <w:t xml:space="preserve"> 中标候选人公示</w:t>
      </w:r>
    </w:p>
    <w:p w14:paraId="0F8E34A7">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rPr>
      </w:pPr>
      <w:r>
        <w:rPr>
          <w:rStyle w:val="53"/>
          <w:rFonts w:hint="eastAsia" w:ascii="宋体" w:hAnsi="宋体" w:eastAsia="宋体" w:cs="宋体"/>
          <w:b w:val="0"/>
          <w:color w:val="auto"/>
          <w:sz w:val="24"/>
          <w:szCs w:val="24"/>
          <w:lang w:val="en-US"/>
        </w:rPr>
        <w:t>本项目在</w:t>
      </w:r>
      <w:r>
        <w:rPr>
          <w:rStyle w:val="53"/>
          <w:rFonts w:hint="eastAsia" w:ascii="宋体" w:hAnsi="宋体" w:eastAsia="宋体" w:cs="宋体"/>
          <w:b w:val="0"/>
          <w:color w:val="auto"/>
          <w:sz w:val="24"/>
          <w:szCs w:val="24"/>
          <w:lang w:val="en-US" w:eastAsia="zh-CN"/>
        </w:rPr>
        <w:t>黑龙江公共资源交易网（https://ggzyjyw.hlj.gov.cn/）、黑龙江省交通运输厅(http://www.hljjt.gov.cn)</w:t>
      </w:r>
      <w:r>
        <w:rPr>
          <w:rStyle w:val="53"/>
          <w:rFonts w:hint="eastAsia" w:ascii="宋体" w:hAnsi="宋体" w:eastAsia="宋体" w:cs="宋体"/>
          <w:b w:val="0"/>
          <w:color w:val="auto"/>
          <w:sz w:val="24"/>
          <w:szCs w:val="24"/>
          <w:lang w:val="en-US"/>
        </w:rPr>
        <w:t>上公示中标候选人，公示期为3日，公示内容包括：</w:t>
      </w:r>
    </w:p>
    <w:p w14:paraId="5B677C0F">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 xml:space="preserve">（1）中标候选人排序、名称、投标报价，对监理质量要求、安全目标和监理服务期限的响应情况； </w:t>
      </w:r>
    </w:p>
    <w:p w14:paraId="2A5E647D">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 xml:space="preserve">（2）中标候选人在投标文件中承诺的总监理工程师姓名、个人业绩、相关证书名称和编号； </w:t>
      </w:r>
    </w:p>
    <w:p w14:paraId="62296896">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 xml:space="preserve">（3）中标候选人在投标文件中填报的项目业绩； </w:t>
      </w:r>
    </w:p>
    <w:p w14:paraId="3EDB3F1F">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（4）被否决投标的投标人名称、否决依据和原因；</w:t>
      </w:r>
    </w:p>
    <w:p w14:paraId="2E391863">
      <w:pPr>
        <w:pStyle w:val="42"/>
        <w:shd w:val="clear" w:color="auto" w:fill="auto"/>
        <w:spacing w:line="360" w:lineRule="auto"/>
        <w:ind w:firstLine="480" w:firstLineChars="200"/>
        <w:contextualSpacing/>
        <w:jc w:val="both"/>
        <w:rPr>
          <w:rFonts w:ascii="宋体" w:hAnsi="宋体" w:eastAsia="宋体" w:cs="宋体"/>
          <w:color w:val="auto"/>
          <w:sz w:val="24"/>
          <w:szCs w:val="24"/>
        </w:rPr>
      </w:pPr>
      <w:r>
        <w:rPr>
          <w:rStyle w:val="53"/>
          <w:rFonts w:hint="eastAsia" w:ascii="宋体" w:hAnsi="宋体" w:eastAsia="宋体" w:cs="宋体"/>
          <w:b w:val="0"/>
          <w:color w:val="auto"/>
          <w:sz w:val="24"/>
          <w:szCs w:val="24"/>
          <w:lang w:val="en-US" w:eastAsia="zh-CN"/>
        </w:rPr>
        <w:t>（5）提出异议的渠道和方式。</w:t>
      </w:r>
    </w:p>
    <w:p w14:paraId="52F049CC">
      <w:pPr>
        <w:spacing w:line="360" w:lineRule="auto"/>
        <w:outlineLvl w:val="1"/>
        <w:rPr>
          <w:rFonts w:ascii="宋体" w:hAnsi="宋体" w:eastAsia="宋体" w:cs="宋体"/>
          <w:b/>
          <w:bCs/>
          <w:color w:val="auto"/>
          <w:sz w:val="24"/>
          <w:szCs w:val="24"/>
        </w:rPr>
      </w:pPr>
      <w:bookmarkStart w:id="12" w:name="_Toc20674"/>
      <w:r>
        <w:rPr>
          <w:rFonts w:hint="eastAsia" w:ascii="宋体" w:hAnsi="宋体" w:eastAsia="宋体" w:cs="宋体"/>
          <w:b/>
          <w:bCs/>
          <w:color w:val="auto"/>
          <w:sz w:val="24"/>
          <w:szCs w:val="24"/>
        </w:rPr>
        <w:t>9.联系方式</w:t>
      </w:r>
      <w:bookmarkEnd w:id="12"/>
    </w:p>
    <w:p w14:paraId="358406AF">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招 标 人：鸡东县交通运输局</w:t>
      </w:r>
    </w:p>
    <w:p w14:paraId="02267206">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地    址：鸡东县城建路1号</w:t>
      </w:r>
    </w:p>
    <w:p w14:paraId="6C82AF5C">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联 系 人：李先生</w:t>
      </w:r>
    </w:p>
    <w:p w14:paraId="43DB968A">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电    话：0467-5582703</w:t>
      </w:r>
    </w:p>
    <w:p w14:paraId="516D8EF8">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招标代理机构：泾清项目管理有限公司</w:t>
      </w:r>
    </w:p>
    <w:p w14:paraId="275A6EC1">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地    址：黑龙江省哈尔滨市平房区渤海路副6号动漫基地F座2单元4086室</w:t>
      </w:r>
    </w:p>
    <w:p w14:paraId="73E4DA5E">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联 系 人：闫女士</w:t>
      </w:r>
    </w:p>
    <w:p w14:paraId="4AD4B90A">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电    话：18745015912</w:t>
      </w:r>
    </w:p>
    <w:p w14:paraId="63F1C1DD">
      <w:pPr>
        <w:pStyle w:val="42"/>
        <w:shd w:val="clear" w:color="auto" w:fill="auto"/>
        <w:spacing w:line="360" w:lineRule="auto"/>
        <w:ind w:firstLine="480" w:firstLineChars="200"/>
        <w:contextualSpacing/>
        <w:jc w:val="both"/>
        <w:rPr>
          <w:rStyle w:val="53"/>
          <w:rFonts w:ascii="宋体" w:hAnsi="宋体" w:eastAsia="宋体" w:cs="宋体"/>
          <w:b w:val="0"/>
          <w:color w:val="auto"/>
          <w:sz w:val="24"/>
          <w:szCs w:val="24"/>
          <w:lang w:val="en-US" w:eastAsia="zh-CN"/>
        </w:rPr>
      </w:pPr>
      <w:r>
        <w:rPr>
          <w:rStyle w:val="53"/>
          <w:rFonts w:hint="eastAsia" w:ascii="宋体" w:hAnsi="宋体" w:eastAsia="宋体" w:cs="宋体"/>
          <w:b w:val="0"/>
          <w:color w:val="auto"/>
          <w:sz w:val="24"/>
          <w:szCs w:val="24"/>
          <w:lang w:val="en-US" w:eastAsia="zh-CN"/>
        </w:rPr>
        <w:t>监督部门：鸡西市交通运输局</w:t>
      </w:r>
    </w:p>
    <w:p w14:paraId="74982636">
      <w:pPr>
        <w:pStyle w:val="42"/>
        <w:shd w:val="clear" w:color="auto" w:fill="auto"/>
        <w:spacing w:line="360" w:lineRule="auto"/>
        <w:ind w:firstLine="480" w:firstLineChars="200"/>
        <w:contextualSpacing/>
        <w:jc w:val="both"/>
        <w:rPr>
          <w:rStyle w:val="53"/>
          <w:rFonts w:ascii="宋体" w:hAnsi="宋体" w:eastAsia="宋体" w:cs="宋体"/>
          <w:b w:val="0"/>
          <w:color w:val="auto"/>
          <w:sz w:val="21"/>
          <w:szCs w:val="21"/>
          <w:lang w:val="en-US" w:eastAsia="zh-CN"/>
        </w:rPr>
      </w:pPr>
      <w:r>
        <w:rPr>
          <w:rStyle w:val="53"/>
          <w:rFonts w:hint="eastAsia" w:ascii="宋体" w:hAnsi="宋体" w:eastAsia="宋体" w:cs="宋体"/>
          <w:b w:val="0"/>
          <w:color w:val="auto"/>
          <w:sz w:val="24"/>
          <w:szCs w:val="24"/>
          <w:lang w:val="en-US" w:eastAsia="zh-CN"/>
        </w:rPr>
        <w:t>联系电话：0467-2664206</w:t>
      </w:r>
    </w:p>
    <w:p w14:paraId="588FF24E">
      <w:pPr>
        <w:jc w:val="center"/>
        <w:outlineLvl w:val="0"/>
        <w:rPr>
          <w:rFonts w:ascii="宋体" w:hAnsi="宋体" w:eastAsia="宋体" w:cs="宋体"/>
          <w:color w:val="auto"/>
          <w:sz w:val="48"/>
          <w:szCs w:val="48"/>
        </w:rPr>
      </w:pPr>
      <w:bookmarkStart w:id="13" w:name="_Toc509393637"/>
      <w:bookmarkStart w:id="14" w:name="_Toc1246"/>
      <w:bookmarkStart w:id="15" w:name="_Toc509470620"/>
      <w:bookmarkStart w:id="16" w:name="bookmark0"/>
    </w:p>
    <w:p w14:paraId="2B771490">
      <w:pPr>
        <w:jc w:val="center"/>
        <w:outlineLvl w:val="0"/>
        <w:rPr>
          <w:rFonts w:ascii="宋体" w:hAnsi="宋体" w:eastAsia="宋体" w:cs="宋体"/>
          <w:color w:val="auto"/>
          <w:sz w:val="48"/>
          <w:szCs w:val="48"/>
        </w:rPr>
      </w:pPr>
    </w:p>
    <w:p w14:paraId="7F67A211">
      <w:pPr>
        <w:jc w:val="center"/>
        <w:outlineLvl w:val="0"/>
        <w:rPr>
          <w:rFonts w:ascii="宋体" w:hAnsi="宋体" w:eastAsia="宋体" w:cs="宋体"/>
          <w:color w:val="auto"/>
          <w:sz w:val="48"/>
          <w:szCs w:val="48"/>
        </w:rPr>
      </w:pPr>
    </w:p>
    <w:p w14:paraId="0F81406E">
      <w:pPr>
        <w:jc w:val="center"/>
        <w:outlineLvl w:val="0"/>
        <w:rPr>
          <w:rFonts w:ascii="宋体" w:hAnsi="宋体" w:eastAsia="宋体" w:cs="宋体"/>
          <w:color w:val="auto"/>
          <w:sz w:val="48"/>
          <w:szCs w:val="48"/>
        </w:rPr>
      </w:pPr>
    </w:p>
    <w:p w14:paraId="3A1051E1">
      <w:pPr>
        <w:jc w:val="center"/>
        <w:outlineLvl w:val="0"/>
        <w:rPr>
          <w:rFonts w:ascii="宋体" w:hAnsi="宋体" w:eastAsia="宋体" w:cs="宋体"/>
          <w:color w:val="auto"/>
          <w:sz w:val="48"/>
          <w:szCs w:val="48"/>
        </w:rPr>
      </w:pPr>
    </w:p>
    <w:p w14:paraId="1A5C86F7">
      <w:pPr>
        <w:jc w:val="center"/>
        <w:outlineLvl w:val="0"/>
        <w:rPr>
          <w:rFonts w:ascii="宋体" w:hAnsi="宋体" w:eastAsia="宋体" w:cs="宋体"/>
          <w:color w:val="auto"/>
          <w:sz w:val="48"/>
          <w:szCs w:val="48"/>
        </w:rPr>
      </w:pPr>
    </w:p>
    <w:p w14:paraId="6F3BF81D">
      <w:pPr>
        <w:rPr>
          <w:rFonts w:ascii="宋体" w:hAnsi="宋体" w:eastAsia="宋体" w:cs="宋体"/>
          <w:color w:val="auto"/>
          <w:sz w:val="52"/>
          <w:szCs w:val="52"/>
        </w:rPr>
      </w:pPr>
      <w:bookmarkStart w:id="17" w:name="_Toc510348970"/>
      <w:r>
        <w:rPr>
          <w:rFonts w:hint="eastAsia" w:ascii="宋体" w:hAnsi="宋体" w:eastAsia="宋体" w:cs="宋体"/>
          <w:color w:val="auto"/>
          <w:sz w:val="52"/>
          <w:szCs w:val="52"/>
        </w:rPr>
        <w:br w:type="page"/>
      </w:r>
    </w:p>
    <w:bookmarkEnd w:id="13"/>
    <w:bookmarkEnd w:id="14"/>
    <w:bookmarkEnd w:id="15"/>
    <w:bookmarkEnd w:id="16"/>
    <w:bookmarkEnd w:id="17"/>
    <w:p w14:paraId="216A3EB5">
      <w:pPr>
        <w:pStyle w:val="3"/>
        <w:spacing w:before="0" w:after="0" w:line="360" w:lineRule="auto"/>
        <w:jc w:val="center"/>
        <w:rPr>
          <w:rFonts w:ascii="宋体" w:hAnsi="宋体" w:eastAsia="宋体" w:cs="宋体"/>
          <w:color w:val="auto"/>
          <w:lang w:val="zh-TW"/>
        </w:rPr>
      </w:pPr>
      <w:bookmarkStart w:id="18" w:name="_Toc509387404"/>
      <w:bookmarkStart w:id="19" w:name="_Toc7569"/>
      <w:bookmarkStart w:id="20" w:name="_Toc509470691"/>
      <w:bookmarkStart w:id="21" w:name="_Toc509393703"/>
      <w:bookmarkStart w:id="25" w:name="_GoBack"/>
      <w:bookmarkEnd w:id="25"/>
      <w:r>
        <w:rPr>
          <w:rFonts w:hint="eastAsia" w:ascii="宋体" w:hAnsi="宋体" w:eastAsia="宋体" w:cs="宋体"/>
          <w:color w:val="auto"/>
          <w:lang w:val="zh-TW"/>
        </w:rPr>
        <w:t>评标办法（综合评估法)</w:t>
      </w:r>
      <w:bookmarkEnd w:id="18"/>
      <w:bookmarkEnd w:id="19"/>
      <w:bookmarkEnd w:id="20"/>
      <w:bookmarkEnd w:id="21"/>
    </w:p>
    <w:p w14:paraId="0B02A193">
      <w:pPr>
        <w:spacing w:line="360" w:lineRule="auto"/>
        <w:rPr>
          <w:rFonts w:ascii="宋体" w:hAnsi="宋体" w:eastAsia="宋体" w:cs="宋体"/>
          <w:b/>
          <w:bCs/>
          <w:color w:val="auto"/>
          <w:sz w:val="28"/>
          <w:szCs w:val="28"/>
          <w:lang w:val="zh-TW" w:eastAsia="zh-TW"/>
        </w:rPr>
      </w:pPr>
      <w:bookmarkStart w:id="22" w:name="_Toc509470692"/>
      <w:r>
        <w:rPr>
          <w:rFonts w:hint="eastAsia" w:ascii="宋体" w:hAnsi="宋体" w:eastAsia="宋体" w:cs="宋体"/>
          <w:b/>
          <w:bCs/>
          <w:color w:val="auto"/>
          <w:sz w:val="28"/>
          <w:szCs w:val="28"/>
          <w:lang w:val="zh-TW" w:eastAsia="zh-TW"/>
        </w:rPr>
        <w:t>评标办法前附表</w:t>
      </w:r>
      <w:bookmarkEnd w:id="22"/>
    </w:p>
    <w:tbl>
      <w:tblPr>
        <w:tblStyle w:val="33"/>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14"/>
        <w:gridCol w:w="1223"/>
        <w:gridCol w:w="6104"/>
      </w:tblGrid>
      <w:tr w14:paraId="4DE0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37" w:type="dxa"/>
            <w:gridSpan w:val="2"/>
            <w:shd w:val="clear" w:color="auto" w:fill="FFFFFF"/>
            <w:tcMar>
              <w:top w:w="57" w:type="dxa"/>
              <w:left w:w="57" w:type="dxa"/>
              <w:bottom w:w="57" w:type="dxa"/>
              <w:right w:w="57" w:type="dxa"/>
            </w:tcMar>
            <w:vAlign w:val="bottom"/>
          </w:tcPr>
          <w:p w14:paraId="4C3D67E9">
            <w:pPr>
              <w:pStyle w:val="42"/>
              <w:shd w:val="clear" w:color="auto" w:fill="auto"/>
              <w:spacing w:line="240" w:lineRule="auto"/>
              <w:jc w:val="center"/>
              <w:rPr>
                <w:rFonts w:ascii="宋体" w:hAnsi="宋体" w:eastAsia="宋体" w:cs="宋体"/>
                <w:b/>
                <w:color w:val="auto"/>
              </w:rPr>
            </w:pPr>
            <w:r>
              <w:rPr>
                <w:rStyle w:val="58"/>
                <w:rFonts w:hint="eastAsia" w:ascii="宋体" w:hAnsi="宋体" w:eastAsia="宋体" w:cs="宋体"/>
                <w:b/>
                <w:color w:val="auto"/>
                <w:sz w:val="21"/>
                <w:szCs w:val="21"/>
              </w:rPr>
              <w:t>条款号</w:t>
            </w:r>
          </w:p>
        </w:tc>
        <w:tc>
          <w:tcPr>
            <w:tcW w:w="6104" w:type="dxa"/>
            <w:shd w:val="clear" w:color="auto" w:fill="FFFFFF"/>
            <w:tcMar>
              <w:top w:w="57" w:type="dxa"/>
              <w:left w:w="57" w:type="dxa"/>
              <w:bottom w:w="57" w:type="dxa"/>
              <w:right w:w="57" w:type="dxa"/>
            </w:tcMar>
            <w:vAlign w:val="bottom"/>
          </w:tcPr>
          <w:p w14:paraId="42AE93A2">
            <w:pPr>
              <w:pStyle w:val="42"/>
              <w:shd w:val="clear" w:color="auto" w:fill="auto"/>
              <w:spacing w:line="240" w:lineRule="auto"/>
              <w:jc w:val="center"/>
              <w:rPr>
                <w:rFonts w:ascii="宋体" w:hAnsi="宋体" w:eastAsia="宋体" w:cs="宋体"/>
                <w:b/>
                <w:color w:val="auto"/>
              </w:rPr>
            </w:pPr>
            <w:r>
              <w:rPr>
                <w:rStyle w:val="58"/>
                <w:rFonts w:hint="eastAsia" w:ascii="宋体" w:hAnsi="宋体" w:eastAsia="宋体" w:cs="宋体"/>
                <w:b/>
                <w:color w:val="auto"/>
                <w:sz w:val="21"/>
                <w:szCs w:val="21"/>
              </w:rPr>
              <w:t>评审因素与评审标准</w:t>
            </w:r>
          </w:p>
        </w:tc>
      </w:tr>
      <w:tr w14:paraId="3758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14" w:type="dxa"/>
            <w:shd w:val="clear" w:color="auto" w:fill="FFFFFF"/>
            <w:tcMar>
              <w:top w:w="57" w:type="dxa"/>
              <w:left w:w="57" w:type="dxa"/>
              <w:bottom w:w="57" w:type="dxa"/>
              <w:right w:w="57" w:type="dxa"/>
            </w:tcMar>
            <w:vAlign w:val="center"/>
          </w:tcPr>
          <w:p w14:paraId="35325969">
            <w:pPr>
              <w:pStyle w:val="42"/>
              <w:shd w:val="clear" w:color="auto" w:fill="auto"/>
              <w:spacing w:line="240" w:lineRule="auto"/>
              <w:jc w:val="center"/>
              <w:rPr>
                <w:rFonts w:ascii="宋体" w:hAnsi="宋体" w:eastAsia="宋体" w:cs="宋体"/>
                <w:color w:val="auto"/>
              </w:rPr>
            </w:pPr>
            <w:r>
              <w:rPr>
                <w:rStyle w:val="58"/>
                <w:rFonts w:hint="eastAsia" w:ascii="宋体" w:hAnsi="宋体" w:eastAsia="宋体" w:cs="宋体"/>
                <w:color w:val="auto"/>
                <w:sz w:val="21"/>
                <w:szCs w:val="21"/>
              </w:rPr>
              <w:t>1</w:t>
            </w:r>
          </w:p>
        </w:tc>
        <w:tc>
          <w:tcPr>
            <w:tcW w:w="1223" w:type="dxa"/>
            <w:shd w:val="clear" w:color="auto" w:fill="FFFFFF"/>
            <w:tcMar>
              <w:top w:w="57" w:type="dxa"/>
              <w:left w:w="57" w:type="dxa"/>
              <w:bottom w:w="57" w:type="dxa"/>
              <w:right w:w="57" w:type="dxa"/>
            </w:tcMar>
            <w:vAlign w:val="center"/>
          </w:tcPr>
          <w:p w14:paraId="37739C11">
            <w:pPr>
              <w:pStyle w:val="42"/>
              <w:shd w:val="clear" w:color="auto" w:fill="auto"/>
              <w:spacing w:line="240" w:lineRule="auto"/>
              <w:jc w:val="center"/>
              <w:rPr>
                <w:rFonts w:ascii="宋体" w:hAnsi="宋体" w:eastAsia="宋体" w:cs="宋体"/>
                <w:color w:val="auto"/>
              </w:rPr>
            </w:pPr>
            <w:r>
              <w:rPr>
                <w:rStyle w:val="58"/>
                <w:rFonts w:hint="eastAsia" w:ascii="宋体" w:hAnsi="宋体" w:eastAsia="宋体" w:cs="宋体"/>
                <w:color w:val="auto"/>
                <w:sz w:val="21"/>
                <w:szCs w:val="21"/>
              </w:rPr>
              <w:t>评标方法</w:t>
            </w:r>
          </w:p>
        </w:tc>
        <w:tc>
          <w:tcPr>
            <w:tcW w:w="6104" w:type="dxa"/>
            <w:shd w:val="clear" w:color="auto" w:fill="FFFFFF"/>
            <w:tcMar>
              <w:top w:w="57" w:type="dxa"/>
              <w:left w:w="57" w:type="dxa"/>
              <w:bottom w:w="57" w:type="dxa"/>
              <w:right w:w="57" w:type="dxa"/>
            </w:tcMar>
            <w:vAlign w:val="center"/>
          </w:tcPr>
          <w:p w14:paraId="30E3A8BE">
            <w:pPr>
              <w:pStyle w:val="42"/>
              <w:shd w:val="clear" w:color="auto" w:fill="auto"/>
              <w:spacing w:line="300" w:lineRule="auto"/>
              <w:ind w:firstLine="420" w:firstLineChars="200"/>
              <w:jc w:val="both"/>
              <w:rPr>
                <w:rFonts w:ascii="宋体" w:hAnsi="宋体" w:eastAsia="宋体" w:cs="宋体"/>
                <w:color w:val="auto"/>
              </w:rPr>
            </w:pPr>
            <w:r>
              <w:rPr>
                <w:rStyle w:val="58"/>
                <w:rFonts w:hint="eastAsia" w:ascii="宋体" w:hAnsi="宋体" w:eastAsia="宋体" w:cs="宋体"/>
                <w:color w:val="auto"/>
                <w:sz w:val="21"/>
                <w:szCs w:val="21"/>
                <w:lang w:eastAsia="zh-CN"/>
              </w:rPr>
              <w:t>综合评分相等时，评标委员会依次按照以下优先顺序推荐中标候选人或确定中标人：</w:t>
            </w:r>
          </w:p>
          <w:p w14:paraId="135FAAAE">
            <w:pPr>
              <w:pStyle w:val="42"/>
              <w:shd w:val="clear" w:color="auto" w:fill="auto"/>
              <w:tabs>
                <w:tab w:val="left" w:pos="1011"/>
              </w:tabs>
              <w:spacing w:line="300" w:lineRule="auto"/>
              <w:ind w:left="1140" w:hanging="720"/>
              <w:jc w:val="both"/>
              <w:rPr>
                <w:rStyle w:val="58"/>
                <w:rFonts w:ascii="宋体" w:hAnsi="宋体" w:eastAsia="宋体" w:cs="宋体"/>
                <w:color w:val="auto"/>
                <w:sz w:val="21"/>
                <w:szCs w:val="21"/>
              </w:rPr>
            </w:pPr>
            <w:r>
              <w:rPr>
                <w:rFonts w:ascii="宋体" w:hAnsi="宋体" w:eastAsia="宋体" w:cs="宋体"/>
                <w:color w:val="auto"/>
                <w:shd w:val="clear" w:color="auto" w:fill="FFFFFF"/>
                <w:lang w:val="zh-TW" w:eastAsia="zh-TW" w:bidi="zh-TW"/>
              </w:rPr>
              <w:t>（1）</w:t>
            </w:r>
            <w:r>
              <w:rPr>
                <w:rStyle w:val="58"/>
                <w:rFonts w:hint="eastAsia" w:ascii="宋体" w:hAnsi="宋体" w:eastAsia="宋体" w:cs="宋体"/>
                <w:color w:val="auto"/>
                <w:sz w:val="21"/>
                <w:szCs w:val="21"/>
              </w:rPr>
              <w:t>评标价低的优先；</w:t>
            </w:r>
          </w:p>
          <w:p w14:paraId="1C62CE81">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rPr>
            </w:pPr>
            <w:r>
              <w:rPr>
                <w:rStyle w:val="58"/>
                <w:rFonts w:hint="eastAsia" w:ascii="宋体" w:hAnsi="宋体" w:eastAsia="宋体" w:cs="宋体"/>
                <w:color w:val="auto"/>
                <w:sz w:val="21"/>
                <w:szCs w:val="21"/>
                <w:lang w:eastAsia="zh-CN"/>
              </w:rPr>
              <w:t>（2）最近一年（2023年度）被黑龙江省交通运输主管部门评为较高信用等级的投标人优先；</w:t>
            </w:r>
          </w:p>
          <w:p w14:paraId="14EA9151">
            <w:pPr>
              <w:pStyle w:val="42"/>
              <w:shd w:val="clear" w:color="auto" w:fill="auto"/>
              <w:tabs>
                <w:tab w:val="left" w:pos="1011"/>
              </w:tabs>
              <w:spacing w:line="300" w:lineRule="auto"/>
              <w:ind w:firstLine="420" w:firstLineChars="200"/>
              <w:jc w:val="both"/>
              <w:rPr>
                <w:rFonts w:ascii="宋体" w:hAnsi="宋体" w:eastAsia="宋体" w:cs="宋体"/>
                <w:color w:val="auto"/>
              </w:rPr>
            </w:pPr>
            <w:r>
              <w:rPr>
                <w:rStyle w:val="58"/>
                <w:rFonts w:hint="eastAsia" w:ascii="宋体" w:hAnsi="宋体" w:eastAsia="宋体" w:cs="宋体"/>
                <w:color w:val="auto"/>
                <w:sz w:val="21"/>
                <w:szCs w:val="21"/>
                <w:lang w:eastAsia="zh-CN"/>
              </w:rPr>
              <w:t>（3）最近一年（2023年度）被交通运输部评为较高信用等级的投标人优先；</w:t>
            </w:r>
          </w:p>
          <w:p w14:paraId="626AAE7F">
            <w:pPr>
              <w:pStyle w:val="42"/>
              <w:shd w:val="clear" w:color="auto" w:fill="auto"/>
              <w:tabs>
                <w:tab w:val="left" w:pos="1011"/>
              </w:tabs>
              <w:spacing w:line="300" w:lineRule="auto"/>
              <w:ind w:left="420"/>
              <w:jc w:val="both"/>
              <w:rPr>
                <w:rFonts w:ascii="宋体" w:hAnsi="宋体" w:eastAsia="宋体" w:cs="宋体"/>
                <w:color w:val="auto"/>
              </w:rPr>
            </w:pPr>
            <w:r>
              <w:rPr>
                <w:rStyle w:val="58"/>
                <w:rFonts w:hint="eastAsia" w:ascii="宋体" w:hAnsi="宋体" w:eastAsia="宋体" w:cs="宋体"/>
                <w:color w:val="auto"/>
                <w:sz w:val="21"/>
                <w:szCs w:val="21"/>
                <w:lang w:eastAsia="zh-CN"/>
              </w:rPr>
              <w:t>（4）商务和技术得分较高的投标人优先。</w:t>
            </w:r>
          </w:p>
        </w:tc>
      </w:tr>
      <w:tr w14:paraId="6C0F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14" w:type="dxa"/>
            <w:shd w:val="clear" w:color="auto" w:fill="FFFFFF"/>
            <w:tcMar>
              <w:top w:w="57" w:type="dxa"/>
              <w:left w:w="57" w:type="dxa"/>
              <w:bottom w:w="57" w:type="dxa"/>
              <w:right w:w="57" w:type="dxa"/>
            </w:tcMar>
            <w:vAlign w:val="center"/>
          </w:tcPr>
          <w:p w14:paraId="5CF18654">
            <w:pPr>
              <w:pStyle w:val="42"/>
              <w:shd w:val="clear" w:color="auto" w:fill="auto"/>
              <w:spacing w:line="240" w:lineRule="auto"/>
              <w:jc w:val="center"/>
              <w:rPr>
                <w:rFonts w:ascii="宋体" w:hAnsi="宋体" w:eastAsia="宋体" w:cs="宋体"/>
                <w:color w:val="auto"/>
              </w:rPr>
            </w:pPr>
            <w:r>
              <w:rPr>
                <w:rStyle w:val="58"/>
                <w:rFonts w:hint="eastAsia" w:ascii="宋体" w:hAnsi="宋体" w:eastAsia="宋体" w:cs="宋体"/>
                <w:color w:val="auto"/>
                <w:sz w:val="21"/>
                <w:szCs w:val="21"/>
              </w:rPr>
              <w:t>2.1.1</w:t>
            </w:r>
          </w:p>
          <w:p w14:paraId="6F117E97">
            <w:pPr>
              <w:pStyle w:val="42"/>
              <w:shd w:val="clear" w:color="auto" w:fill="auto"/>
              <w:spacing w:line="240" w:lineRule="auto"/>
              <w:jc w:val="center"/>
              <w:rPr>
                <w:rFonts w:ascii="宋体" w:hAnsi="宋体" w:eastAsia="宋体" w:cs="宋体"/>
                <w:color w:val="auto"/>
              </w:rPr>
            </w:pPr>
            <w:r>
              <w:rPr>
                <w:rStyle w:val="58"/>
                <w:rFonts w:hint="eastAsia" w:ascii="宋体" w:hAnsi="宋体" w:eastAsia="宋体" w:cs="宋体"/>
                <w:color w:val="auto"/>
                <w:sz w:val="21"/>
                <w:szCs w:val="21"/>
              </w:rPr>
              <w:t>2.1.3</w:t>
            </w:r>
          </w:p>
        </w:tc>
        <w:tc>
          <w:tcPr>
            <w:tcW w:w="1223" w:type="dxa"/>
            <w:shd w:val="clear" w:color="auto" w:fill="FFFFFF"/>
            <w:tcMar>
              <w:top w:w="57" w:type="dxa"/>
              <w:left w:w="57" w:type="dxa"/>
              <w:bottom w:w="57" w:type="dxa"/>
              <w:right w:w="57" w:type="dxa"/>
            </w:tcMar>
            <w:vAlign w:val="center"/>
          </w:tcPr>
          <w:p w14:paraId="2CAF3F2C">
            <w:pPr>
              <w:pStyle w:val="42"/>
              <w:shd w:val="clear" w:color="auto" w:fill="auto"/>
              <w:spacing w:line="240" w:lineRule="auto"/>
              <w:jc w:val="center"/>
              <w:rPr>
                <w:rFonts w:ascii="宋体" w:hAnsi="宋体" w:eastAsia="宋体" w:cs="宋体"/>
                <w:color w:val="auto"/>
              </w:rPr>
            </w:pPr>
            <w:r>
              <w:rPr>
                <w:rStyle w:val="58"/>
                <w:rFonts w:hint="eastAsia" w:ascii="宋体" w:hAnsi="宋体" w:eastAsia="宋体" w:cs="宋体"/>
                <w:color w:val="auto"/>
                <w:sz w:val="21"/>
                <w:szCs w:val="21"/>
                <w:lang w:eastAsia="zh-CN"/>
              </w:rPr>
              <w:t>形式评审与 响应性评审 标准</w:t>
            </w:r>
          </w:p>
        </w:tc>
        <w:tc>
          <w:tcPr>
            <w:tcW w:w="6104" w:type="dxa"/>
            <w:shd w:val="clear" w:color="auto" w:fill="FFFFFF"/>
            <w:tcMar>
              <w:top w:w="57" w:type="dxa"/>
              <w:left w:w="57" w:type="dxa"/>
              <w:bottom w:w="57" w:type="dxa"/>
              <w:right w:w="57" w:type="dxa"/>
            </w:tcMar>
            <w:vAlign w:val="center"/>
          </w:tcPr>
          <w:p w14:paraId="67C9C78F">
            <w:pPr>
              <w:pStyle w:val="42"/>
              <w:shd w:val="clear" w:color="auto" w:fill="auto"/>
              <w:spacing w:line="300" w:lineRule="auto"/>
              <w:ind w:firstLine="422" w:firstLineChars="200"/>
              <w:jc w:val="both"/>
              <w:rPr>
                <w:rFonts w:ascii="宋体" w:hAnsi="宋体" w:eastAsia="宋体" w:cs="宋体"/>
                <w:b/>
                <w:color w:val="auto"/>
              </w:rPr>
            </w:pPr>
            <w:r>
              <w:rPr>
                <w:rStyle w:val="58"/>
                <w:rFonts w:hint="eastAsia" w:ascii="宋体" w:hAnsi="宋体" w:eastAsia="宋体" w:cs="宋体"/>
                <w:b/>
                <w:color w:val="auto"/>
                <w:sz w:val="21"/>
                <w:szCs w:val="21"/>
                <w:lang w:eastAsia="zh-CN"/>
              </w:rPr>
              <w:t>第一个信封（商务及技术文件）评审标准：</w:t>
            </w:r>
          </w:p>
          <w:p w14:paraId="65B07BA2">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rPr>
            </w:pPr>
            <w:r>
              <w:rPr>
                <w:rFonts w:ascii="宋体" w:hAnsi="宋体" w:eastAsia="宋体" w:cs="宋体"/>
                <w:color w:val="auto"/>
                <w:shd w:val="clear" w:color="auto" w:fill="FFFFFF"/>
                <w:lang w:bidi="zh-TW"/>
              </w:rPr>
              <w:t>（1）</w:t>
            </w:r>
            <w:r>
              <w:rPr>
                <w:rStyle w:val="58"/>
                <w:rFonts w:hint="eastAsia" w:ascii="宋体" w:hAnsi="宋体" w:eastAsia="宋体" w:cs="宋体"/>
                <w:color w:val="auto"/>
                <w:sz w:val="21"/>
                <w:szCs w:val="21"/>
                <w:lang w:eastAsia="zh-CN"/>
              </w:rPr>
              <w:t>投标文件按照招标文件规定的格式、内容填写，字迹清晰可辨：</w:t>
            </w:r>
          </w:p>
          <w:p w14:paraId="454EA15A">
            <w:pPr>
              <w:pStyle w:val="42"/>
              <w:shd w:val="clear" w:color="auto" w:fill="auto"/>
              <w:tabs>
                <w:tab w:val="left" w:pos="1075"/>
              </w:tabs>
              <w:spacing w:line="300" w:lineRule="auto"/>
              <w:ind w:firstLine="420" w:firstLineChars="200"/>
              <w:jc w:val="both"/>
              <w:rPr>
                <w:rStyle w:val="58"/>
                <w:rFonts w:ascii="宋体" w:hAnsi="宋体" w:eastAsia="宋体" w:cs="宋体"/>
                <w:color w:val="auto"/>
                <w:sz w:val="21"/>
                <w:szCs w:val="21"/>
                <w:lang w:eastAsia="zh-CN"/>
              </w:rPr>
            </w:pPr>
            <w:r>
              <w:rPr>
                <w:rStyle w:val="58"/>
                <w:rFonts w:hint="eastAsia" w:ascii="宋体" w:hAnsi="宋体" w:eastAsia="宋体" w:cs="宋体"/>
                <w:color w:val="auto"/>
                <w:sz w:val="21"/>
                <w:szCs w:val="21"/>
                <w:lang w:eastAsia="zh-CN"/>
              </w:rPr>
              <w:t>a．投标函按招标文件规定填报了项目名称、标段号、补遗书编号（如有)、监理服务期限、工程质量要求及安全目标；</w:t>
            </w:r>
          </w:p>
          <w:p w14:paraId="325CA12F">
            <w:pPr>
              <w:pStyle w:val="42"/>
              <w:shd w:val="clear" w:color="auto" w:fill="auto"/>
              <w:tabs>
                <w:tab w:val="left" w:pos="1075"/>
              </w:tabs>
              <w:spacing w:line="300" w:lineRule="auto"/>
              <w:ind w:firstLine="420" w:firstLineChars="200"/>
              <w:jc w:val="both"/>
              <w:rPr>
                <w:rStyle w:val="58"/>
                <w:rFonts w:ascii="宋体" w:hAnsi="宋体" w:eastAsia="宋体" w:cs="宋体"/>
                <w:color w:val="auto"/>
                <w:sz w:val="21"/>
                <w:szCs w:val="21"/>
                <w:lang w:eastAsia="zh-CN"/>
              </w:rPr>
            </w:pPr>
            <w:r>
              <w:rPr>
                <w:rStyle w:val="58"/>
                <w:rFonts w:hint="eastAsia" w:ascii="宋体" w:hAnsi="宋体" w:eastAsia="宋体" w:cs="宋体"/>
                <w:color w:val="auto"/>
                <w:sz w:val="21"/>
                <w:szCs w:val="21"/>
                <w:lang w:eastAsia="zh-CN"/>
              </w:rPr>
              <w:t>b．承诺函内容与招标文件规定一致，未进行修改和删减；</w:t>
            </w:r>
          </w:p>
          <w:p w14:paraId="34E1783C">
            <w:pPr>
              <w:pStyle w:val="42"/>
              <w:shd w:val="clear" w:color="auto" w:fill="auto"/>
              <w:tabs>
                <w:tab w:val="left" w:pos="1075"/>
              </w:tabs>
              <w:spacing w:line="300" w:lineRule="auto"/>
              <w:ind w:firstLine="420" w:firstLineChars="200"/>
              <w:jc w:val="both"/>
              <w:rPr>
                <w:rStyle w:val="58"/>
                <w:rFonts w:ascii="宋体" w:hAnsi="宋体" w:eastAsia="宋体" w:cs="宋体"/>
                <w:color w:val="auto"/>
                <w:sz w:val="21"/>
                <w:szCs w:val="21"/>
                <w:lang w:eastAsia="zh-CN"/>
              </w:rPr>
            </w:pPr>
            <w:r>
              <w:rPr>
                <w:rStyle w:val="58"/>
                <w:rFonts w:hint="eastAsia" w:ascii="宋体" w:hAnsi="宋体" w:eastAsia="宋体" w:cs="宋体"/>
                <w:color w:val="auto"/>
                <w:sz w:val="21"/>
                <w:szCs w:val="21"/>
                <w:lang w:eastAsia="zh-CN"/>
              </w:rPr>
              <w:t>c．投标文件组成齐全完整，内容均按规定填写。</w:t>
            </w:r>
          </w:p>
          <w:p w14:paraId="08DB60E3">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rPr>
            </w:pPr>
            <w:r>
              <w:rPr>
                <w:rFonts w:ascii="宋体" w:hAnsi="宋体" w:eastAsia="宋体" w:cs="宋体"/>
                <w:color w:val="auto"/>
                <w:shd w:val="clear" w:color="auto" w:fill="FFFFFF"/>
                <w:lang w:bidi="zh-TW"/>
              </w:rPr>
              <w:t>（2）</w:t>
            </w:r>
            <w:r>
              <w:rPr>
                <w:rStyle w:val="58"/>
                <w:rFonts w:hint="eastAsia" w:ascii="宋体" w:hAnsi="宋体" w:eastAsia="宋体" w:cs="宋体"/>
                <w:color w:val="auto"/>
                <w:sz w:val="21"/>
                <w:szCs w:val="21"/>
                <w:lang w:eastAsia="zh-CN"/>
              </w:rPr>
              <w:t>投标文件上法定代表人或其委托代理人的签字、投标人的单位章盖章齐全，符合招标文件规定。</w:t>
            </w:r>
          </w:p>
          <w:p w14:paraId="251DDD91">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rPr>
            </w:pPr>
            <w:r>
              <w:rPr>
                <w:rFonts w:ascii="宋体" w:hAnsi="宋体" w:eastAsia="宋体" w:cs="宋体"/>
                <w:color w:val="auto"/>
                <w:shd w:val="clear" w:color="auto" w:fill="FFFFFF"/>
                <w:lang w:bidi="zh-TW"/>
              </w:rPr>
              <w:t>（3）</w:t>
            </w:r>
            <w:r>
              <w:rPr>
                <w:rStyle w:val="58"/>
                <w:rFonts w:hint="eastAsia" w:ascii="宋体" w:hAnsi="宋体" w:eastAsia="宋体" w:cs="宋体"/>
                <w:color w:val="auto"/>
                <w:sz w:val="21"/>
                <w:szCs w:val="21"/>
                <w:lang w:eastAsia="zh-CN"/>
              </w:rPr>
              <w:t>投标人按照招标文件的规定提供了投标保证金：</w:t>
            </w:r>
          </w:p>
          <w:p w14:paraId="45C7B7BE">
            <w:pPr>
              <w:pStyle w:val="42"/>
              <w:shd w:val="clear" w:color="auto" w:fill="auto"/>
              <w:tabs>
                <w:tab w:val="left" w:pos="1075"/>
              </w:tabs>
              <w:spacing w:line="300" w:lineRule="auto"/>
              <w:ind w:firstLine="420" w:firstLineChars="200"/>
              <w:jc w:val="both"/>
              <w:rPr>
                <w:rStyle w:val="58"/>
                <w:rFonts w:ascii="宋体" w:hAnsi="宋体" w:eastAsia="宋体" w:cs="宋体"/>
                <w:color w:val="auto"/>
                <w:sz w:val="21"/>
                <w:szCs w:val="21"/>
                <w:lang w:eastAsia="zh-CN"/>
              </w:rPr>
            </w:pPr>
            <w:r>
              <w:rPr>
                <w:rStyle w:val="58"/>
                <w:rFonts w:hint="eastAsia" w:ascii="宋体" w:hAnsi="宋体" w:eastAsia="宋体" w:cs="宋体"/>
                <w:color w:val="auto"/>
                <w:sz w:val="21"/>
                <w:szCs w:val="21"/>
                <w:lang w:eastAsia="zh-CN"/>
              </w:rPr>
              <w:t>a.投标保证金金额符合招标文件规定的金额，且投标保证金有效期不少于投标有效期；</w:t>
            </w:r>
          </w:p>
          <w:p w14:paraId="1BAC5E09">
            <w:pPr>
              <w:pStyle w:val="42"/>
              <w:shd w:val="clear" w:color="auto" w:fill="auto"/>
              <w:tabs>
                <w:tab w:val="left" w:pos="1075"/>
              </w:tabs>
              <w:spacing w:line="300" w:lineRule="auto"/>
              <w:ind w:firstLine="420" w:firstLineChars="200"/>
              <w:jc w:val="both"/>
              <w:rPr>
                <w:rStyle w:val="58"/>
                <w:rFonts w:ascii="宋体" w:hAnsi="宋体" w:eastAsia="宋体" w:cs="宋体"/>
                <w:color w:val="auto"/>
                <w:sz w:val="21"/>
                <w:szCs w:val="21"/>
                <w:lang w:eastAsia="zh-CN"/>
              </w:rPr>
            </w:pPr>
            <w:r>
              <w:rPr>
                <w:rStyle w:val="45"/>
                <w:rFonts w:hint="eastAsia" w:ascii="宋体" w:hAnsi="宋体" w:eastAsia="宋体" w:cs="宋体"/>
                <w:b w:val="0"/>
                <w:bCs w:val="0"/>
                <w:color w:val="auto"/>
                <w:sz w:val="21"/>
                <w:szCs w:val="21"/>
                <w:lang w:eastAsia="zh-CN"/>
              </w:rPr>
              <w:t>b</w:t>
            </w:r>
            <w:r>
              <w:rPr>
                <w:rFonts w:hint="eastAsia" w:ascii="宋体" w:hAnsi="宋体" w:eastAsia="宋体" w:cs="宋体"/>
                <w:color w:val="auto"/>
              </w:rPr>
              <w:t xml:space="preserve">. </w:t>
            </w:r>
            <w:r>
              <w:rPr>
                <w:rStyle w:val="58"/>
                <w:rFonts w:hint="eastAsia" w:ascii="宋体" w:hAnsi="宋体" w:eastAsia="宋体" w:cs="宋体"/>
                <w:color w:val="auto"/>
                <w:sz w:val="21"/>
                <w:szCs w:val="21"/>
                <w:lang w:eastAsia="zh-CN"/>
              </w:rPr>
              <w:t>投标人应在投标保证金递交截止时间之前，将投标保证金由投标人的基本账户转入“交易平台”提供账户。</w:t>
            </w:r>
          </w:p>
          <w:p w14:paraId="6D34793B">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rPr>
            </w:pPr>
            <w:r>
              <w:rPr>
                <w:rFonts w:ascii="宋体" w:hAnsi="宋体" w:eastAsia="宋体" w:cs="宋体"/>
                <w:color w:val="auto"/>
                <w:shd w:val="clear" w:color="auto" w:fill="FFFFFF"/>
                <w:lang w:bidi="zh-TW"/>
              </w:rPr>
              <w:t>（4）</w:t>
            </w:r>
            <w:r>
              <w:rPr>
                <w:rStyle w:val="58"/>
                <w:rFonts w:hint="eastAsia" w:ascii="宋体" w:hAnsi="宋体" w:eastAsia="宋体" w:cs="宋体"/>
                <w:color w:val="auto"/>
                <w:sz w:val="21"/>
                <w:szCs w:val="21"/>
                <w:lang w:eastAsia="zh-CN"/>
              </w:rPr>
              <w:t>投标人法定代表人授权委托代理人签署投标文件的，须提交授权委托书，且授权人和被授权人均在授权委托书上签名，未使用印章、签名章或其他电子制版签名代替。</w:t>
            </w:r>
          </w:p>
          <w:p w14:paraId="6B946EFD">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rPr>
            </w:pPr>
            <w:r>
              <w:rPr>
                <w:rFonts w:ascii="宋体" w:hAnsi="宋体" w:eastAsia="宋体" w:cs="宋体"/>
                <w:color w:val="auto"/>
                <w:shd w:val="clear" w:color="auto" w:fill="FFFFFF"/>
                <w:lang w:bidi="zh-TW"/>
              </w:rPr>
              <w:t>（5）</w:t>
            </w:r>
            <w:r>
              <w:rPr>
                <w:rStyle w:val="58"/>
                <w:rFonts w:hint="eastAsia" w:ascii="宋体" w:hAnsi="宋体" w:eastAsia="宋体" w:cs="宋体"/>
                <w:color w:val="auto"/>
                <w:sz w:val="21"/>
                <w:szCs w:val="21"/>
                <w:lang w:eastAsia="zh-CN"/>
              </w:rPr>
              <w:t>投标人法定代表人亲自签署投标文件的，提供了法定代表人身份证明，且法定代表人在法定代表人身份证明上签名，未使用印章、签名章或其他电子制版签名代替。</w:t>
            </w:r>
          </w:p>
          <w:p w14:paraId="5ABC0118">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rPr>
            </w:pPr>
            <w:r>
              <w:rPr>
                <w:rFonts w:ascii="宋体" w:hAnsi="宋体" w:eastAsia="宋体" w:cs="宋体"/>
                <w:color w:val="auto"/>
                <w:shd w:val="clear" w:color="auto" w:fill="FFFFFF"/>
                <w:lang w:bidi="zh-TW"/>
              </w:rPr>
              <w:t>（6）</w:t>
            </w:r>
            <w:r>
              <w:rPr>
                <w:rStyle w:val="58"/>
                <w:rFonts w:hint="eastAsia" w:ascii="宋体" w:hAnsi="宋体" w:eastAsia="宋体" w:cs="宋体"/>
                <w:color w:val="auto"/>
                <w:sz w:val="21"/>
                <w:szCs w:val="21"/>
                <w:lang w:eastAsia="zh-CN"/>
              </w:rPr>
              <w:t>同一投标人未提交两个以上不同的投标文件。</w:t>
            </w:r>
          </w:p>
          <w:p w14:paraId="3406EEAA">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bidi="ar-SA"/>
              </w:rPr>
            </w:pPr>
            <w:r>
              <w:rPr>
                <w:rFonts w:ascii="宋体" w:hAnsi="宋体" w:eastAsia="宋体" w:cs="宋体"/>
                <w:color w:val="auto"/>
                <w:shd w:val="clear" w:color="auto" w:fill="FFFFFF"/>
              </w:rPr>
              <w:t>（7）</w:t>
            </w:r>
            <w:r>
              <w:rPr>
                <w:rStyle w:val="58"/>
                <w:rFonts w:hint="eastAsia" w:ascii="宋体" w:hAnsi="宋体" w:eastAsia="宋体" w:cs="宋体"/>
                <w:color w:val="auto"/>
                <w:sz w:val="21"/>
                <w:szCs w:val="21"/>
                <w:lang w:eastAsia="zh-CN"/>
              </w:rPr>
              <w:t>投标文件中未出现有关投标报价的内容。</w:t>
            </w:r>
          </w:p>
          <w:p w14:paraId="41E54258">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bidi="ar-SA"/>
              </w:rPr>
            </w:pPr>
            <w:r>
              <w:rPr>
                <w:rFonts w:ascii="宋体" w:hAnsi="宋体" w:eastAsia="宋体" w:cs="宋体"/>
                <w:color w:val="auto"/>
                <w:shd w:val="clear" w:color="auto" w:fill="FFFFFF"/>
              </w:rPr>
              <w:t>（8）</w:t>
            </w:r>
            <w:r>
              <w:rPr>
                <w:rStyle w:val="58"/>
                <w:rFonts w:hint="eastAsia" w:ascii="宋体" w:hAnsi="宋体" w:eastAsia="宋体" w:cs="宋体"/>
                <w:color w:val="auto"/>
                <w:sz w:val="21"/>
                <w:szCs w:val="21"/>
                <w:lang w:eastAsia="zh-CN"/>
              </w:rPr>
              <w:t>投标人的投标内容符合本项目招标文件所明确的招标范围的相关内容。</w:t>
            </w:r>
          </w:p>
          <w:p w14:paraId="47C0717F">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rPr>
            </w:pPr>
            <w:r>
              <w:rPr>
                <w:rFonts w:ascii="宋体" w:hAnsi="宋体" w:eastAsia="宋体" w:cs="宋体"/>
                <w:color w:val="auto"/>
                <w:shd w:val="clear" w:color="auto" w:fill="FFFFFF"/>
                <w:lang w:bidi="zh-TW"/>
              </w:rPr>
              <w:t>（9）</w:t>
            </w:r>
            <w:r>
              <w:rPr>
                <w:rStyle w:val="58"/>
                <w:rFonts w:hint="eastAsia" w:ascii="宋体" w:hAnsi="宋体" w:eastAsia="宋体" w:cs="宋体"/>
                <w:color w:val="auto"/>
                <w:sz w:val="21"/>
                <w:szCs w:val="21"/>
                <w:lang w:eastAsia="zh-CN"/>
              </w:rPr>
              <w:t>投标人的投标有效期符合招标文件的规定。</w:t>
            </w:r>
          </w:p>
          <w:p w14:paraId="7E8F5956">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rPr>
            </w:pPr>
            <w:r>
              <w:rPr>
                <w:rFonts w:ascii="宋体" w:hAnsi="宋体" w:eastAsia="宋体" w:cs="宋体"/>
                <w:color w:val="auto"/>
                <w:shd w:val="clear" w:color="auto" w:fill="FFFFFF"/>
                <w:lang w:bidi="zh-TW"/>
              </w:rPr>
              <w:t>（10）</w:t>
            </w:r>
            <w:r>
              <w:rPr>
                <w:rStyle w:val="58"/>
                <w:rFonts w:hint="eastAsia" w:ascii="宋体" w:hAnsi="宋体" w:eastAsia="宋体" w:cs="宋体"/>
                <w:color w:val="auto"/>
                <w:sz w:val="21"/>
                <w:szCs w:val="21"/>
                <w:lang w:eastAsia="zh-CN"/>
              </w:rPr>
              <w:t>投标文件载明的招标项目完成期限未超过招标文件规定的时限。</w:t>
            </w:r>
          </w:p>
          <w:p w14:paraId="55CA4C3A">
            <w:pPr>
              <w:pStyle w:val="42"/>
              <w:shd w:val="clear" w:color="auto" w:fill="auto"/>
              <w:tabs>
                <w:tab w:val="left" w:pos="1011"/>
              </w:tabs>
              <w:spacing w:line="300" w:lineRule="auto"/>
              <w:ind w:firstLine="420" w:firstLineChars="200"/>
              <w:jc w:val="both"/>
              <w:rPr>
                <w:rStyle w:val="58"/>
                <w:rFonts w:ascii="宋体" w:hAnsi="宋体" w:eastAsia="宋体" w:cs="宋体"/>
                <w:color w:val="auto"/>
                <w:sz w:val="21"/>
                <w:szCs w:val="21"/>
                <w:lang w:eastAsia="zh-CN" w:bidi="ar-SA"/>
              </w:rPr>
            </w:pPr>
            <w:r>
              <w:rPr>
                <w:rFonts w:ascii="宋体" w:hAnsi="宋体" w:eastAsia="宋体" w:cs="宋体"/>
                <w:color w:val="auto"/>
                <w:shd w:val="clear" w:color="auto" w:fill="FFFFFF"/>
              </w:rPr>
              <w:t>（11）</w:t>
            </w:r>
            <w:r>
              <w:rPr>
                <w:rStyle w:val="58"/>
                <w:rFonts w:hint="eastAsia" w:ascii="宋体" w:hAnsi="宋体" w:eastAsia="宋体" w:cs="宋体"/>
                <w:color w:val="auto"/>
                <w:sz w:val="21"/>
                <w:szCs w:val="21"/>
                <w:lang w:eastAsia="zh-CN"/>
              </w:rPr>
              <w:t>投标文件对招标文件的实质性要求和条件作出响应。</w:t>
            </w:r>
          </w:p>
          <w:p w14:paraId="2272ED2B">
            <w:pPr>
              <w:pStyle w:val="42"/>
              <w:shd w:val="clear" w:color="auto" w:fill="auto"/>
              <w:tabs>
                <w:tab w:val="left" w:pos="1011"/>
              </w:tabs>
              <w:spacing w:line="300" w:lineRule="auto"/>
              <w:ind w:firstLine="420" w:firstLineChars="200"/>
              <w:jc w:val="both"/>
              <w:rPr>
                <w:rFonts w:ascii="宋体" w:hAnsi="宋体" w:eastAsia="宋体" w:cs="宋体"/>
                <w:color w:val="auto"/>
              </w:rPr>
            </w:pPr>
            <w:r>
              <w:rPr>
                <w:rFonts w:ascii="宋体" w:hAnsi="宋体" w:eastAsia="宋体" w:cs="宋体"/>
                <w:color w:val="auto"/>
              </w:rPr>
              <w:t>（12）</w:t>
            </w:r>
            <w:r>
              <w:rPr>
                <w:rStyle w:val="58"/>
                <w:rFonts w:hint="eastAsia" w:ascii="宋体" w:hAnsi="宋体" w:eastAsia="宋体" w:cs="宋体"/>
                <w:color w:val="auto"/>
                <w:sz w:val="21"/>
                <w:szCs w:val="21"/>
                <w:lang w:eastAsia="zh-CN"/>
              </w:rPr>
              <w:t>投标文件未附有招标人不能接受的条件。</w:t>
            </w:r>
          </w:p>
          <w:p w14:paraId="39DC490C">
            <w:pPr>
              <w:pStyle w:val="42"/>
              <w:shd w:val="clear" w:color="auto" w:fill="auto"/>
              <w:tabs>
                <w:tab w:val="left" w:pos="1011"/>
              </w:tabs>
              <w:spacing w:line="300" w:lineRule="auto"/>
              <w:ind w:firstLine="420" w:firstLineChars="200"/>
              <w:jc w:val="both"/>
              <w:rPr>
                <w:rFonts w:ascii="宋体" w:hAnsi="宋体" w:eastAsia="宋体" w:cs="宋体"/>
                <w:color w:val="auto"/>
              </w:rPr>
            </w:pPr>
            <w:r>
              <w:rPr>
                <w:rFonts w:ascii="宋体" w:hAnsi="宋体" w:eastAsia="宋体" w:cs="宋体"/>
                <w:color w:val="auto"/>
              </w:rPr>
              <w:t>（13）</w:t>
            </w:r>
            <w:r>
              <w:rPr>
                <w:rStyle w:val="58"/>
                <w:rFonts w:hint="eastAsia" w:ascii="宋体" w:hAnsi="宋体" w:eastAsia="宋体" w:cs="宋体"/>
                <w:color w:val="auto"/>
                <w:sz w:val="21"/>
                <w:szCs w:val="21"/>
                <w:lang w:eastAsia="zh-CN"/>
              </w:rPr>
              <w:t>权利义务符合招标文件规定：</w:t>
            </w:r>
          </w:p>
          <w:p w14:paraId="32E20721">
            <w:pPr>
              <w:pStyle w:val="42"/>
              <w:shd w:val="clear" w:color="auto" w:fill="auto"/>
              <w:spacing w:line="300" w:lineRule="auto"/>
              <w:ind w:firstLine="420" w:firstLineChars="200"/>
              <w:jc w:val="both"/>
              <w:rPr>
                <w:rFonts w:ascii="宋体" w:hAnsi="宋体" w:eastAsia="宋体" w:cs="宋体"/>
                <w:color w:val="auto"/>
              </w:rPr>
            </w:pPr>
            <w:r>
              <w:rPr>
                <w:rStyle w:val="45"/>
                <w:rFonts w:hint="eastAsia" w:ascii="宋体" w:hAnsi="宋体" w:eastAsia="宋体" w:cs="宋体"/>
                <w:b w:val="0"/>
                <w:bCs w:val="0"/>
                <w:color w:val="auto"/>
                <w:sz w:val="21"/>
                <w:szCs w:val="21"/>
                <w:lang w:eastAsia="zh-CN"/>
              </w:rPr>
              <w:t>a.投标人应接受招标文件规定的风险划分原则，未提出新的风险划分办法；</w:t>
            </w:r>
          </w:p>
          <w:p w14:paraId="0D49CC6E">
            <w:pPr>
              <w:pStyle w:val="42"/>
              <w:shd w:val="clear" w:color="auto" w:fill="auto"/>
              <w:spacing w:line="300" w:lineRule="auto"/>
              <w:ind w:firstLine="420" w:firstLineChars="200"/>
              <w:jc w:val="both"/>
              <w:rPr>
                <w:rFonts w:ascii="宋体" w:hAnsi="宋体" w:eastAsia="宋体" w:cs="宋体"/>
                <w:color w:val="auto"/>
              </w:rPr>
            </w:pPr>
            <w:r>
              <w:rPr>
                <w:rStyle w:val="45"/>
                <w:rFonts w:hint="eastAsia" w:ascii="宋体" w:hAnsi="宋体" w:eastAsia="宋体" w:cs="宋体"/>
                <w:b w:val="0"/>
                <w:bCs w:val="0"/>
                <w:color w:val="auto"/>
                <w:sz w:val="21"/>
                <w:szCs w:val="21"/>
                <w:lang w:eastAsia="zh-CN"/>
              </w:rPr>
              <w:t>b.投标人未增加委托人的责任范围，或减少投标人义务；</w:t>
            </w:r>
          </w:p>
          <w:p w14:paraId="644572E0">
            <w:pPr>
              <w:pStyle w:val="42"/>
              <w:shd w:val="clear" w:color="auto" w:fill="auto"/>
              <w:spacing w:line="300" w:lineRule="auto"/>
              <w:ind w:firstLine="420" w:firstLineChars="200"/>
              <w:jc w:val="both"/>
              <w:rPr>
                <w:rFonts w:ascii="宋体" w:hAnsi="宋体" w:eastAsia="宋体" w:cs="宋体"/>
                <w:color w:val="auto"/>
              </w:rPr>
            </w:pPr>
            <w:r>
              <w:rPr>
                <w:rStyle w:val="45"/>
                <w:rFonts w:hint="eastAsia" w:ascii="宋体" w:hAnsi="宋体" w:eastAsia="宋体" w:cs="宋体"/>
                <w:b w:val="0"/>
                <w:bCs w:val="0"/>
                <w:color w:val="auto"/>
                <w:sz w:val="21"/>
                <w:szCs w:val="21"/>
                <w:lang w:eastAsia="zh-CN"/>
              </w:rPr>
              <w:t>c.投标人未提出不同的支付办法；</w:t>
            </w:r>
          </w:p>
          <w:p w14:paraId="5FAB7E88">
            <w:pPr>
              <w:pStyle w:val="42"/>
              <w:shd w:val="clear" w:color="auto" w:fill="auto"/>
              <w:spacing w:line="300" w:lineRule="auto"/>
              <w:ind w:firstLine="420" w:firstLineChars="200"/>
              <w:jc w:val="both"/>
              <w:rPr>
                <w:rFonts w:ascii="宋体" w:hAnsi="宋体" w:eastAsia="宋体" w:cs="宋体"/>
                <w:color w:val="auto"/>
              </w:rPr>
            </w:pPr>
            <w:r>
              <w:rPr>
                <w:rStyle w:val="45"/>
                <w:rFonts w:hint="eastAsia" w:ascii="宋体" w:hAnsi="宋体" w:eastAsia="宋体" w:cs="宋体"/>
                <w:b w:val="0"/>
                <w:bCs w:val="0"/>
                <w:color w:val="auto"/>
                <w:sz w:val="21"/>
                <w:szCs w:val="21"/>
                <w:lang w:eastAsia="zh-CN"/>
              </w:rPr>
              <w:t>d.投标人对合同纠纷、事故处理办法未提出异议；</w:t>
            </w:r>
          </w:p>
          <w:p w14:paraId="03E15712">
            <w:pPr>
              <w:pStyle w:val="42"/>
              <w:shd w:val="clear" w:color="auto" w:fill="auto"/>
              <w:spacing w:line="300" w:lineRule="auto"/>
              <w:ind w:firstLine="420" w:firstLineChars="200"/>
              <w:jc w:val="both"/>
              <w:rPr>
                <w:rFonts w:ascii="宋体" w:hAnsi="宋体" w:eastAsia="宋体" w:cs="宋体"/>
                <w:color w:val="auto"/>
              </w:rPr>
            </w:pPr>
            <w:r>
              <w:rPr>
                <w:rStyle w:val="45"/>
                <w:rFonts w:hint="eastAsia" w:ascii="宋体" w:hAnsi="宋体" w:eastAsia="宋体" w:cs="宋体"/>
                <w:b w:val="0"/>
                <w:bCs w:val="0"/>
                <w:color w:val="auto"/>
                <w:sz w:val="21"/>
                <w:szCs w:val="21"/>
                <w:lang w:eastAsia="zh-CN"/>
              </w:rPr>
              <w:t>e.投标人在投标活动中无欺诈行为；</w:t>
            </w:r>
          </w:p>
          <w:p w14:paraId="692990A6">
            <w:pPr>
              <w:pStyle w:val="42"/>
              <w:shd w:val="clear" w:color="auto" w:fill="auto"/>
              <w:spacing w:line="300" w:lineRule="auto"/>
              <w:ind w:firstLine="420" w:firstLineChars="200"/>
              <w:jc w:val="both"/>
              <w:rPr>
                <w:rFonts w:ascii="宋体" w:hAnsi="宋体" w:eastAsia="宋体" w:cs="宋体"/>
                <w:color w:val="auto"/>
              </w:rPr>
            </w:pPr>
            <w:r>
              <w:rPr>
                <w:rStyle w:val="45"/>
                <w:rFonts w:hint="eastAsia" w:ascii="宋体" w:hAnsi="宋体" w:eastAsia="宋体" w:cs="宋体"/>
                <w:b w:val="0"/>
                <w:bCs w:val="0"/>
                <w:color w:val="auto"/>
                <w:sz w:val="21"/>
                <w:szCs w:val="21"/>
                <w:lang w:eastAsia="zh-CN"/>
              </w:rPr>
              <w:t>f.投标人未对合同条款有重要保留。</w:t>
            </w:r>
          </w:p>
          <w:p w14:paraId="2C2DF7E2">
            <w:pPr>
              <w:pStyle w:val="42"/>
              <w:shd w:val="clear" w:color="auto" w:fill="auto"/>
              <w:tabs>
                <w:tab w:val="left" w:pos="1011"/>
              </w:tabs>
              <w:spacing w:line="300" w:lineRule="auto"/>
              <w:ind w:firstLine="420" w:firstLineChars="200"/>
              <w:jc w:val="both"/>
              <w:rPr>
                <w:rFonts w:ascii="宋体" w:hAnsi="宋体" w:eastAsia="宋体" w:cs="宋体"/>
                <w:color w:val="auto"/>
              </w:rPr>
            </w:pPr>
            <w:r>
              <w:rPr>
                <w:rFonts w:ascii="宋体" w:hAnsi="宋体" w:eastAsia="宋体" w:cs="宋体"/>
                <w:color w:val="auto"/>
              </w:rPr>
              <w:t>（14）</w:t>
            </w:r>
            <w:r>
              <w:rPr>
                <w:rStyle w:val="58"/>
                <w:rFonts w:hint="eastAsia" w:ascii="宋体" w:hAnsi="宋体" w:eastAsia="宋体" w:cs="宋体"/>
                <w:color w:val="auto"/>
                <w:sz w:val="21"/>
                <w:szCs w:val="21"/>
                <w:lang w:eastAsia="zh-CN"/>
              </w:rPr>
              <w:t>不存在违反法律、法规的其他情形。</w:t>
            </w:r>
          </w:p>
        </w:tc>
      </w:tr>
      <w:tr w14:paraId="4A3D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9" w:hRule="atLeast"/>
        </w:trPr>
        <w:tc>
          <w:tcPr>
            <w:tcW w:w="1014" w:type="dxa"/>
            <w:shd w:val="clear" w:color="auto" w:fill="FFFFFF"/>
            <w:tcMar>
              <w:top w:w="57" w:type="dxa"/>
              <w:left w:w="57" w:type="dxa"/>
              <w:bottom w:w="57" w:type="dxa"/>
              <w:right w:w="57" w:type="dxa"/>
            </w:tcMar>
            <w:vAlign w:val="center"/>
          </w:tcPr>
          <w:p w14:paraId="1BD376B5">
            <w:pPr>
              <w:pStyle w:val="42"/>
              <w:shd w:val="clear" w:color="auto" w:fill="auto"/>
              <w:spacing w:line="240" w:lineRule="auto"/>
              <w:jc w:val="center"/>
              <w:rPr>
                <w:rFonts w:ascii="宋体" w:hAnsi="宋体" w:eastAsia="宋体" w:cs="宋体"/>
                <w:color w:val="auto"/>
              </w:rPr>
            </w:pPr>
            <w:r>
              <w:rPr>
                <w:rStyle w:val="58"/>
                <w:rFonts w:hint="eastAsia" w:ascii="宋体" w:hAnsi="宋体" w:eastAsia="宋体" w:cs="宋体"/>
                <w:color w:val="auto"/>
                <w:sz w:val="21"/>
                <w:szCs w:val="21"/>
              </w:rPr>
              <w:t>2.1.1</w:t>
            </w:r>
          </w:p>
          <w:p w14:paraId="7503C051">
            <w:pPr>
              <w:jc w:val="center"/>
              <w:rPr>
                <w:rFonts w:ascii="宋体" w:hAnsi="宋体" w:eastAsia="宋体" w:cs="宋体"/>
                <w:color w:val="auto"/>
                <w:szCs w:val="21"/>
              </w:rPr>
            </w:pPr>
            <w:r>
              <w:rPr>
                <w:rStyle w:val="58"/>
                <w:rFonts w:hint="eastAsia" w:ascii="宋体" w:hAnsi="宋体" w:eastAsia="宋体" w:cs="宋体"/>
                <w:color w:val="auto"/>
                <w:sz w:val="21"/>
                <w:szCs w:val="21"/>
              </w:rPr>
              <w:t>2.1.3</w:t>
            </w:r>
          </w:p>
        </w:tc>
        <w:tc>
          <w:tcPr>
            <w:tcW w:w="1223" w:type="dxa"/>
            <w:shd w:val="clear" w:color="auto" w:fill="FFFFFF"/>
            <w:tcMar>
              <w:top w:w="57" w:type="dxa"/>
              <w:left w:w="57" w:type="dxa"/>
              <w:bottom w:w="57" w:type="dxa"/>
              <w:right w:w="57" w:type="dxa"/>
            </w:tcMar>
            <w:vAlign w:val="center"/>
          </w:tcPr>
          <w:p w14:paraId="4C05C836">
            <w:pPr>
              <w:jc w:val="center"/>
              <w:rPr>
                <w:rFonts w:ascii="宋体" w:hAnsi="宋体" w:eastAsia="宋体" w:cs="宋体"/>
                <w:color w:val="auto"/>
                <w:szCs w:val="21"/>
              </w:rPr>
            </w:pPr>
            <w:r>
              <w:rPr>
                <w:rStyle w:val="58"/>
                <w:rFonts w:hint="eastAsia" w:ascii="宋体" w:hAnsi="宋体" w:eastAsia="宋体" w:cs="宋体"/>
                <w:color w:val="auto"/>
                <w:sz w:val="21"/>
                <w:szCs w:val="21"/>
                <w:lang w:eastAsia="zh-CN"/>
              </w:rPr>
              <w:t>形式评审与 响应性评审 标准</w:t>
            </w:r>
          </w:p>
        </w:tc>
        <w:tc>
          <w:tcPr>
            <w:tcW w:w="6104" w:type="dxa"/>
            <w:shd w:val="clear" w:color="auto" w:fill="FFFFFF"/>
            <w:tcMar>
              <w:top w:w="57" w:type="dxa"/>
              <w:left w:w="57" w:type="dxa"/>
              <w:bottom w:w="57" w:type="dxa"/>
              <w:right w:w="57" w:type="dxa"/>
            </w:tcMar>
            <w:vAlign w:val="center"/>
          </w:tcPr>
          <w:p w14:paraId="309BA2D4">
            <w:pPr>
              <w:pStyle w:val="42"/>
              <w:shd w:val="clear" w:color="auto" w:fill="auto"/>
              <w:spacing w:line="300" w:lineRule="auto"/>
              <w:ind w:firstLine="422" w:firstLineChars="200"/>
              <w:jc w:val="both"/>
              <w:rPr>
                <w:rFonts w:ascii="宋体" w:hAnsi="宋体" w:eastAsia="宋体" w:cs="宋体"/>
                <w:b/>
                <w:color w:val="auto"/>
              </w:rPr>
            </w:pPr>
            <w:r>
              <w:rPr>
                <w:rStyle w:val="56"/>
                <w:rFonts w:hint="eastAsia" w:ascii="宋体" w:hAnsi="宋体" w:eastAsia="宋体" w:cs="宋体"/>
                <w:b/>
                <w:color w:val="auto"/>
                <w:sz w:val="21"/>
                <w:szCs w:val="21"/>
                <w:lang w:eastAsia="zh-CN"/>
              </w:rPr>
              <w:t>第二个信封（报价文件）评审标准：</w:t>
            </w:r>
          </w:p>
          <w:p w14:paraId="785CB90B">
            <w:pPr>
              <w:pStyle w:val="42"/>
              <w:shd w:val="clear" w:color="auto" w:fill="auto"/>
              <w:tabs>
                <w:tab w:val="left" w:pos="283"/>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(1)</w:t>
            </w:r>
            <w:r>
              <w:rPr>
                <w:rStyle w:val="56"/>
                <w:rFonts w:hint="eastAsia" w:ascii="宋体" w:hAnsi="宋体" w:eastAsia="宋体" w:cs="宋体"/>
                <w:color w:val="auto"/>
                <w:sz w:val="21"/>
                <w:szCs w:val="21"/>
                <w:lang w:eastAsia="zh-CN"/>
              </w:rPr>
              <w:t>投标文件按照招标文件规定的格式、内容填写，字迹清晰可辨，内容齐全完整：</w:t>
            </w:r>
          </w:p>
          <w:p w14:paraId="235353C0">
            <w:pPr>
              <w:pStyle w:val="42"/>
              <w:numPr>
                <w:ilvl w:val="0"/>
                <w:numId w:val="1"/>
              </w:numPr>
              <w:shd w:val="clear" w:color="auto" w:fill="auto"/>
              <w:tabs>
                <w:tab w:val="left" w:pos="444"/>
                <w:tab w:val="left" w:pos="727"/>
              </w:tabs>
              <w:spacing w:line="300" w:lineRule="auto"/>
              <w:ind w:firstLine="420" w:firstLineChars="200"/>
              <w:jc w:val="both"/>
              <w:rPr>
                <w:rFonts w:ascii="宋体" w:hAnsi="宋体" w:eastAsia="宋体" w:cs="宋体"/>
                <w:color w:val="auto"/>
              </w:rPr>
            </w:pPr>
            <w:r>
              <w:rPr>
                <w:rStyle w:val="56"/>
                <w:rFonts w:hint="eastAsia" w:ascii="宋体" w:hAnsi="宋体" w:eastAsia="宋体" w:cs="宋体"/>
                <w:color w:val="auto"/>
                <w:sz w:val="21"/>
                <w:szCs w:val="21"/>
                <w:lang w:eastAsia="zh-CN"/>
              </w:rPr>
              <w:t>投标函按招标文件规定填报了项目名称、标段号、补遗书编号（如有)、投标价（包括大写金额和小写金额</w:t>
            </w:r>
            <w:r>
              <w:rPr>
                <w:rStyle w:val="56"/>
                <w:rFonts w:hint="eastAsia" w:ascii="宋体" w:hAnsi="宋体" w:eastAsia="宋体" w:cs="宋体"/>
                <w:color w:val="auto"/>
                <w:sz w:val="21"/>
                <w:szCs w:val="21"/>
                <w:lang w:val="en-US" w:eastAsia="zh-CN" w:bidi="en-US"/>
              </w:rPr>
              <w:t>)；</w:t>
            </w:r>
          </w:p>
          <w:p w14:paraId="59000F80">
            <w:pPr>
              <w:pStyle w:val="42"/>
              <w:numPr>
                <w:ilvl w:val="0"/>
                <w:numId w:val="1"/>
              </w:numPr>
              <w:shd w:val="clear" w:color="auto" w:fill="auto"/>
              <w:tabs>
                <w:tab w:val="left" w:pos="302"/>
                <w:tab w:val="left" w:pos="425"/>
                <w:tab w:val="left" w:pos="593"/>
                <w:tab w:val="left" w:pos="727"/>
              </w:tabs>
              <w:spacing w:line="300" w:lineRule="auto"/>
              <w:ind w:firstLine="420" w:firstLineChars="200"/>
              <w:jc w:val="both"/>
              <w:rPr>
                <w:rFonts w:ascii="宋体" w:hAnsi="宋体" w:eastAsia="宋体" w:cs="宋体"/>
                <w:color w:val="auto"/>
              </w:rPr>
            </w:pPr>
            <w:r>
              <w:rPr>
                <w:rStyle w:val="56"/>
                <w:rFonts w:hint="eastAsia" w:ascii="宋体" w:hAnsi="宋体" w:eastAsia="宋体" w:cs="宋体"/>
                <w:color w:val="auto"/>
                <w:sz w:val="21"/>
                <w:szCs w:val="21"/>
                <w:lang w:eastAsia="zh-CN"/>
              </w:rPr>
              <w:t>投标文件组成齐全完整，内容均按规定填写。</w:t>
            </w:r>
          </w:p>
          <w:p w14:paraId="2CAA6C0A">
            <w:pPr>
              <w:pStyle w:val="42"/>
              <w:shd w:val="clear" w:color="auto" w:fill="auto"/>
              <w:tabs>
                <w:tab w:val="left" w:pos="283"/>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(2)</w:t>
            </w:r>
            <w:r>
              <w:rPr>
                <w:rStyle w:val="56"/>
                <w:rFonts w:hint="eastAsia" w:ascii="宋体" w:hAnsi="宋体" w:eastAsia="宋体" w:cs="宋体"/>
                <w:color w:val="auto"/>
                <w:sz w:val="21"/>
                <w:szCs w:val="21"/>
                <w:lang w:eastAsia="zh-CN"/>
              </w:rPr>
              <w:t>投标文件上法定代表人或其委托代理人的签字、投标人的单位章盖章齐全，符合招标文件规定；</w:t>
            </w:r>
          </w:p>
          <w:p w14:paraId="14A52C48">
            <w:pPr>
              <w:pStyle w:val="42"/>
              <w:shd w:val="clear" w:color="auto" w:fill="auto"/>
              <w:tabs>
                <w:tab w:val="left" w:pos="283"/>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(3)</w:t>
            </w:r>
            <w:r>
              <w:rPr>
                <w:rStyle w:val="56"/>
                <w:rFonts w:hint="eastAsia" w:ascii="宋体" w:hAnsi="宋体" w:eastAsia="宋体" w:cs="宋体"/>
                <w:color w:val="auto"/>
                <w:sz w:val="21"/>
                <w:szCs w:val="21"/>
                <w:lang w:eastAsia="zh-CN"/>
              </w:rPr>
              <w:t>投标报价未超过招标文件设定的最高投标限价；</w:t>
            </w:r>
          </w:p>
          <w:p w14:paraId="14F654F6">
            <w:pPr>
              <w:pStyle w:val="42"/>
              <w:shd w:val="clear" w:color="auto" w:fill="auto"/>
              <w:tabs>
                <w:tab w:val="left" w:pos="283"/>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(4)</w:t>
            </w:r>
            <w:r>
              <w:rPr>
                <w:rStyle w:val="56"/>
                <w:rFonts w:hint="eastAsia" w:ascii="宋体" w:hAnsi="宋体" w:eastAsia="宋体" w:cs="宋体"/>
                <w:color w:val="auto"/>
                <w:sz w:val="21"/>
                <w:szCs w:val="21"/>
                <w:lang w:eastAsia="zh-CN"/>
              </w:rPr>
              <w:t>投标报价的大写金额能够确定具体数值；</w:t>
            </w:r>
          </w:p>
          <w:p w14:paraId="03686B80">
            <w:pPr>
              <w:pStyle w:val="42"/>
              <w:shd w:val="clear" w:color="auto" w:fill="auto"/>
              <w:tabs>
                <w:tab w:val="left" w:pos="283"/>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(5)</w:t>
            </w:r>
            <w:r>
              <w:rPr>
                <w:rStyle w:val="56"/>
                <w:rFonts w:hint="eastAsia" w:ascii="宋体" w:hAnsi="宋体" w:eastAsia="宋体" w:cs="宋体"/>
                <w:color w:val="auto"/>
                <w:sz w:val="21"/>
                <w:szCs w:val="21"/>
                <w:lang w:eastAsia="zh-CN"/>
              </w:rPr>
              <w:t>同一投标人未提交两个以上不同的投标报价；</w:t>
            </w:r>
          </w:p>
        </w:tc>
      </w:tr>
      <w:tr w14:paraId="79ED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8" w:hRule="atLeast"/>
        </w:trPr>
        <w:tc>
          <w:tcPr>
            <w:tcW w:w="1014" w:type="dxa"/>
            <w:shd w:val="clear" w:color="auto" w:fill="FFFFFF"/>
            <w:tcMar>
              <w:top w:w="57" w:type="dxa"/>
              <w:left w:w="57" w:type="dxa"/>
              <w:bottom w:w="57" w:type="dxa"/>
              <w:right w:w="57" w:type="dxa"/>
            </w:tcMar>
            <w:vAlign w:val="center"/>
          </w:tcPr>
          <w:p w14:paraId="7F1C5E58">
            <w:pPr>
              <w:pStyle w:val="42"/>
              <w:shd w:val="clear" w:color="auto" w:fill="auto"/>
              <w:spacing w:line="240" w:lineRule="auto"/>
              <w:jc w:val="center"/>
              <w:rPr>
                <w:rStyle w:val="58"/>
                <w:rFonts w:ascii="宋体" w:hAnsi="宋体" w:eastAsia="宋体" w:cs="宋体"/>
                <w:color w:val="auto"/>
                <w:sz w:val="21"/>
                <w:szCs w:val="21"/>
                <w:lang w:eastAsia="zh-CN"/>
              </w:rPr>
            </w:pPr>
            <w:r>
              <w:rPr>
                <w:rStyle w:val="58"/>
                <w:rFonts w:hint="eastAsia" w:ascii="宋体" w:hAnsi="宋体" w:eastAsia="宋体" w:cs="宋体"/>
                <w:color w:val="auto"/>
                <w:sz w:val="21"/>
                <w:szCs w:val="21"/>
                <w:lang w:eastAsia="zh-CN"/>
              </w:rPr>
              <w:t>2.1.2</w:t>
            </w:r>
          </w:p>
          <w:p w14:paraId="2345AB5E">
            <w:pPr>
              <w:pStyle w:val="42"/>
              <w:shd w:val="clear" w:color="auto" w:fill="auto"/>
              <w:ind w:left="4410" w:leftChars="2100"/>
              <w:jc w:val="center"/>
              <w:rPr>
                <w:rStyle w:val="58"/>
                <w:rFonts w:ascii="宋体" w:hAnsi="宋体" w:eastAsia="宋体" w:cs="宋体"/>
                <w:color w:val="auto"/>
                <w:sz w:val="21"/>
                <w:szCs w:val="21"/>
              </w:rPr>
            </w:pPr>
            <w:r>
              <w:rPr>
                <w:rStyle w:val="56"/>
                <w:rFonts w:hint="eastAsia" w:ascii="宋体" w:hAnsi="宋体" w:eastAsia="宋体" w:cs="宋体"/>
                <w:color w:val="auto"/>
                <w:sz w:val="21"/>
                <w:szCs w:val="21"/>
              </w:rPr>
              <w:t>2.1.2</w:t>
            </w:r>
          </w:p>
        </w:tc>
        <w:tc>
          <w:tcPr>
            <w:tcW w:w="1223" w:type="dxa"/>
            <w:shd w:val="clear" w:color="auto" w:fill="FFFFFF"/>
            <w:tcMar>
              <w:top w:w="57" w:type="dxa"/>
              <w:left w:w="57" w:type="dxa"/>
              <w:bottom w:w="57" w:type="dxa"/>
              <w:right w:w="57" w:type="dxa"/>
            </w:tcMar>
            <w:vAlign w:val="center"/>
          </w:tcPr>
          <w:p w14:paraId="59B8DA27">
            <w:pPr>
              <w:jc w:val="center"/>
              <w:rPr>
                <w:rStyle w:val="58"/>
                <w:rFonts w:ascii="宋体" w:hAnsi="宋体" w:eastAsia="宋体" w:cs="宋体"/>
                <w:color w:val="auto"/>
                <w:sz w:val="21"/>
                <w:szCs w:val="21"/>
                <w:lang w:eastAsia="zh-CN"/>
              </w:rPr>
            </w:pPr>
            <w:r>
              <w:rPr>
                <w:rStyle w:val="58"/>
                <w:rFonts w:hint="eastAsia" w:ascii="宋体" w:hAnsi="宋体" w:eastAsia="宋体" w:cs="宋体"/>
                <w:color w:val="auto"/>
                <w:sz w:val="21"/>
                <w:szCs w:val="21"/>
                <w:lang w:eastAsia="zh-CN"/>
              </w:rPr>
              <w:t>资格评审标准</w:t>
            </w:r>
          </w:p>
          <w:p w14:paraId="4E6F4E95">
            <w:pPr>
              <w:pStyle w:val="42"/>
              <w:shd w:val="clear" w:color="auto" w:fill="auto"/>
              <w:ind w:left="4410" w:leftChars="2100"/>
              <w:jc w:val="center"/>
              <w:rPr>
                <w:rStyle w:val="58"/>
                <w:rFonts w:ascii="宋体" w:hAnsi="宋体" w:eastAsia="宋体" w:cs="宋体"/>
                <w:color w:val="auto"/>
                <w:sz w:val="21"/>
                <w:szCs w:val="21"/>
                <w:lang w:eastAsia="zh-CN"/>
              </w:rPr>
            </w:pPr>
            <w:r>
              <w:rPr>
                <w:rStyle w:val="56"/>
                <w:rFonts w:hint="eastAsia" w:ascii="宋体" w:hAnsi="宋体" w:eastAsia="宋体" w:cs="宋体"/>
                <w:color w:val="auto"/>
                <w:sz w:val="21"/>
                <w:szCs w:val="21"/>
              </w:rPr>
              <w:t>资格评审标 准</w:t>
            </w:r>
          </w:p>
        </w:tc>
        <w:tc>
          <w:tcPr>
            <w:tcW w:w="6104" w:type="dxa"/>
            <w:shd w:val="clear" w:color="auto" w:fill="FFFFFF"/>
            <w:tcMar>
              <w:top w:w="57" w:type="dxa"/>
              <w:left w:w="57" w:type="dxa"/>
              <w:bottom w:w="57" w:type="dxa"/>
              <w:right w:w="57" w:type="dxa"/>
            </w:tcMar>
            <w:vAlign w:val="center"/>
          </w:tcPr>
          <w:p w14:paraId="0B69685C">
            <w:pPr>
              <w:pStyle w:val="42"/>
              <w:shd w:val="clear" w:color="auto" w:fill="auto"/>
              <w:tabs>
                <w:tab w:val="left" w:pos="850"/>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(1)</w:t>
            </w:r>
            <w:r>
              <w:rPr>
                <w:rStyle w:val="56"/>
                <w:rFonts w:hint="eastAsia" w:ascii="宋体" w:hAnsi="宋体" w:eastAsia="宋体" w:cs="宋体"/>
                <w:color w:val="auto"/>
                <w:sz w:val="21"/>
                <w:szCs w:val="21"/>
                <w:lang w:eastAsia="zh-CN"/>
              </w:rPr>
              <w:t>投标人具备有效的营业执照、组织机构代码证、监理资质证书和基本账户开户许可证。</w:t>
            </w:r>
          </w:p>
          <w:p w14:paraId="763A9718">
            <w:pPr>
              <w:pStyle w:val="42"/>
              <w:shd w:val="clear" w:color="auto" w:fill="auto"/>
              <w:tabs>
                <w:tab w:val="left" w:pos="850"/>
              </w:tabs>
              <w:spacing w:line="300" w:lineRule="auto"/>
              <w:ind w:firstLine="420" w:firstLineChars="200"/>
              <w:jc w:val="both"/>
              <w:rPr>
                <w:rStyle w:val="56"/>
                <w:rFonts w:ascii="宋体" w:hAnsi="宋体" w:eastAsia="宋体" w:cs="宋体"/>
                <w:color w:val="auto"/>
                <w:sz w:val="21"/>
                <w:szCs w:val="21"/>
                <w:lang w:eastAsia="zh-CN"/>
              </w:rPr>
            </w:pPr>
            <w:r>
              <w:rPr>
                <w:rFonts w:hint="eastAsia" w:ascii="宋体" w:hAnsi="宋体" w:eastAsia="宋体"/>
                <w:color w:val="auto"/>
                <w:shd w:val="clear" w:color="auto" w:fill="FFFFFF"/>
                <w:lang w:bidi="en-US"/>
              </w:rPr>
              <w:t>(2)</w:t>
            </w:r>
            <w:r>
              <w:rPr>
                <w:rStyle w:val="56"/>
                <w:rFonts w:hint="eastAsia" w:ascii="宋体" w:hAnsi="宋体" w:eastAsia="宋体" w:cs="宋体"/>
                <w:color w:val="auto"/>
                <w:sz w:val="21"/>
                <w:szCs w:val="21"/>
                <w:lang w:eastAsia="zh-CN"/>
              </w:rPr>
              <w:t>投标人的资质等级符合第二章“投标人须知”第 1.4.1 项规定。</w:t>
            </w:r>
          </w:p>
          <w:p w14:paraId="0A2E715F">
            <w:pPr>
              <w:pStyle w:val="42"/>
              <w:shd w:val="clear" w:color="auto" w:fill="auto"/>
              <w:tabs>
                <w:tab w:val="left" w:pos="850"/>
                <w:tab w:val="left" w:pos="1078"/>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(3)</w:t>
            </w:r>
            <w:r>
              <w:rPr>
                <w:rStyle w:val="56"/>
                <w:rFonts w:hint="eastAsia" w:ascii="宋体" w:hAnsi="宋体" w:eastAsia="宋体" w:cs="宋体"/>
                <w:color w:val="auto"/>
                <w:sz w:val="21"/>
                <w:szCs w:val="21"/>
                <w:lang w:eastAsia="zh-CN"/>
              </w:rPr>
              <w:t>投标人的类似项目业绩符合第二章“投标人须知”第 1.4.1 项规定。</w:t>
            </w:r>
          </w:p>
          <w:p w14:paraId="307CB552">
            <w:pPr>
              <w:pStyle w:val="42"/>
              <w:shd w:val="clear" w:color="auto" w:fill="auto"/>
              <w:tabs>
                <w:tab w:val="left" w:pos="850"/>
                <w:tab w:val="left" w:pos="1075"/>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(4)</w:t>
            </w:r>
            <w:r>
              <w:rPr>
                <w:rStyle w:val="56"/>
                <w:rFonts w:hint="eastAsia" w:ascii="宋体" w:hAnsi="宋体" w:eastAsia="宋体" w:cs="宋体"/>
                <w:color w:val="auto"/>
                <w:sz w:val="21"/>
                <w:szCs w:val="21"/>
                <w:lang w:eastAsia="zh-CN"/>
              </w:rPr>
              <w:t>投标人的信誉符合第二章“投标人须知”第 1.4.1 项规定。</w:t>
            </w:r>
          </w:p>
          <w:p w14:paraId="68B02C8C">
            <w:pPr>
              <w:pStyle w:val="42"/>
              <w:shd w:val="clear" w:color="auto" w:fill="auto"/>
              <w:tabs>
                <w:tab w:val="left" w:pos="850"/>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(5)</w:t>
            </w:r>
            <w:r>
              <w:rPr>
                <w:rStyle w:val="56"/>
                <w:rFonts w:hint="eastAsia" w:ascii="宋体" w:hAnsi="宋体" w:eastAsia="宋体" w:cs="宋体"/>
                <w:color w:val="auto"/>
                <w:sz w:val="21"/>
                <w:szCs w:val="21"/>
                <w:lang w:eastAsia="zh-CN"/>
              </w:rPr>
              <w:t>投标人的总监理工程师资格、在岗情况符合招标文件第二章“投标人须知”第 1.4.1 项规定。</w:t>
            </w:r>
          </w:p>
          <w:p w14:paraId="77C4E87E">
            <w:pPr>
              <w:pStyle w:val="42"/>
              <w:shd w:val="clear" w:color="auto" w:fill="auto"/>
              <w:tabs>
                <w:tab w:val="left" w:pos="850"/>
                <w:tab w:val="left" w:pos="1073"/>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(6)</w:t>
            </w:r>
            <w:r>
              <w:rPr>
                <w:rStyle w:val="56"/>
                <w:rFonts w:hint="eastAsia" w:ascii="宋体" w:hAnsi="宋体" w:eastAsia="宋体" w:cs="宋体"/>
                <w:color w:val="auto"/>
                <w:sz w:val="21"/>
                <w:szCs w:val="21"/>
                <w:lang w:eastAsia="zh-CN"/>
              </w:rPr>
              <w:t>投标人的其他要求符合第二章“投标人须知”第1.4.1项规定。</w:t>
            </w:r>
          </w:p>
          <w:p w14:paraId="46E345AE">
            <w:pPr>
              <w:pStyle w:val="42"/>
              <w:shd w:val="clear" w:color="auto" w:fill="auto"/>
              <w:tabs>
                <w:tab w:val="left" w:pos="708"/>
                <w:tab w:val="left" w:pos="850"/>
              </w:tabs>
              <w:spacing w:line="300" w:lineRule="auto"/>
              <w:ind w:firstLine="420" w:firstLineChars="200"/>
              <w:jc w:val="both"/>
              <w:rPr>
                <w:rFonts w:ascii="宋体" w:hAnsi="宋体" w:eastAsia="宋体" w:cs="宋体"/>
                <w:color w:val="auto"/>
              </w:rPr>
            </w:pPr>
            <w:r>
              <w:rPr>
                <w:rFonts w:hint="eastAsia" w:ascii="宋体" w:hAnsi="宋体" w:eastAsia="宋体"/>
                <w:color w:val="auto"/>
                <w:lang w:bidi="en-US"/>
              </w:rPr>
              <w:t>(7)</w:t>
            </w:r>
            <w:r>
              <w:rPr>
                <w:rStyle w:val="56"/>
                <w:rFonts w:hint="eastAsia" w:ascii="宋体" w:hAnsi="宋体" w:eastAsia="宋体" w:cs="宋体"/>
                <w:color w:val="auto"/>
                <w:sz w:val="21"/>
                <w:szCs w:val="21"/>
                <w:lang w:eastAsia="zh-CN"/>
              </w:rPr>
              <w:t>投标人不存在第二章“投标人须知”第</w:t>
            </w:r>
            <w:r>
              <w:rPr>
                <w:rStyle w:val="56"/>
                <w:rFonts w:hint="eastAsia" w:ascii="宋体" w:hAnsi="宋体" w:eastAsia="宋体" w:cs="宋体"/>
                <w:color w:val="auto"/>
                <w:sz w:val="21"/>
                <w:szCs w:val="21"/>
                <w:lang w:eastAsia="zh-CN" w:bidi="en-US"/>
              </w:rPr>
              <w:t>1.4.3</w:t>
            </w:r>
            <w:r>
              <w:rPr>
                <w:rStyle w:val="56"/>
                <w:rFonts w:hint="eastAsia" w:ascii="宋体" w:hAnsi="宋体" w:eastAsia="宋体" w:cs="宋体"/>
                <w:color w:val="auto"/>
                <w:sz w:val="21"/>
                <w:szCs w:val="21"/>
                <w:lang w:eastAsia="zh-CN"/>
              </w:rPr>
              <w:t>项或第</w:t>
            </w:r>
            <w:r>
              <w:rPr>
                <w:rStyle w:val="56"/>
                <w:rFonts w:hint="eastAsia" w:ascii="宋体" w:hAnsi="宋体" w:eastAsia="宋体" w:cs="宋体"/>
                <w:color w:val="auto"/>
                <w:sz w:val="21"/>
                <w:szCs w:val="21"/>
                <w:lang w:eastAsia="zh-CN" w:bidi="en-US"/>
              </w:rPr>
              <w:t>1.4.4</w:t>
            </w:r>
            <w:r>
              <w:rPr>
                <w:rStyle w:val="56"/>
                <w:rFonts w:hint="eastAsia" w:ascii="宋体" w:hAnsi="宋体" w:eastAsia="宋体" w:cs="宋体"/>
                <w:color w:val="auto"/>
                <w:sz w:val="21"/>
                <w:szCs w:val="21"/>
                <w:lang w:eastAsia="zh-CN"/>
              </w:rPr>
              <w:t>项规定的任何一种情形。</w:t>
            </w:r>
          </w:p>
          <w:p w14:paraId="20DFF4D2">
            <w:pPr>
              <w:pStyle w:val="42"/>
              <w:tabs>
                <w:tab w:val="left" w:pos="850"/>
                <w:tab w:val="left" w:pos="1073"/>
              </w:tabs>
              <w:spacing w:line="300" w:lineRule="auto"/>
              <w:ind w:firstLine="420" w:firstLineChars="200"/>
              <w:jc w:val="both"/>
              <w:rPr>
                <w:rStyle w:val="56"/>
                <w:rFonts w:ascii="宋体" w:hAnsi="宋体" w:eastAsia="宋体" w:cs="宋体"/>
                <w:color w:val="auto"/>
                <w:sz w:val="21"/>
                <w:szCs w:val="21"/>
                <w:lang w:val="en-US" w:eastAsia="zh-CN"/>
              </w:rPr>
            </w:pPr>
            <w:r>
              <w:rPr>
                <w:rStyle w:val="56"/>
                <w:rFonts w:hint="eastAsia" w:ascii="宋体" w:hAnsi="宋体" w:eastAsia="宋体" w:cs="宋体"/>
                <w:color w:val="auto"/>
                <w:sz w:val="21"/>
                <w:szCs w:val="21"/>
                <w:lang w:eastAsia="zh-CN"/>
              </w:rPr>
              <w:t>(</w:t>
            </w:r>
            <w:r>
              <w:rPr>
                <w:rStyle w:val="56"/>
                <w:rFonts w:hint="eastAsia" w:ascii="宋体" w:hAnsi="宋体" w:eastAsia="宋体" w:cs="宋体"/>
                <w:color w:val="auto"/>
                <w:sz w:val="21"/>
                <w:szCs w:val="21"/>
                <w:lang w:val="en-US" w:eastAsia="zh-CN"/>
              </w:rPr>
              <w:t>8</w:t>
            </w:r>
            <w:r>
              <w:rPr>
                <w:rStyle w:val="56"/>
                <w:rFonts w:hint="eastAsia" w:ascii="宋体" w:hAnsi="宋体" w:eastAsia="宋体" w:cs="宋体"/>
                <w:color w:val="auto"/>
                <w:sz w:val="21"/>
                <w:szCs w:val="21"/>
                <w:lang w:eastAsia="zh-CN"/>
              </w:rPr>
              <w:t>)以联合体形式参与投标的，联合体各方均未再以自己名义单独或参加其他联合体在同一标段中投标；独立参与投标的，投标人未同时参加联合体在同一标段中投标。</w:t>
            </w:r>
          </w:p>
          <w:p w14:paraId="799F7E8B">
            <w:pPr>
              <w:pStyle w:val="42"/>
              <w:tabs>
                <w:tab w:val="left" w:pos="850"/>
                <w:tab w:val="left" w:pos="1073"/>
              </w:tabs>
              <w:spacing w:line="300" w:lineRule="auto"/>
              <w:ind w:firstLine="420" w:firstLineChars="200"/>
              <w:jc w:val="both"/>
              <w:rPr>
                <w:rStyle w:val="56"/>
                <w:rFonts w:ascii="宋体" w:hAnsi="宋体" w:eastAsia="宋体" w:cs="宋体"/>
                <w:color w:val="auto"/>
                <w:sz w:val="21"/>
                <w:szCs w:val="21"/>
                <w:lang w:eastAsia="zh-CN"/>
              </w:rPr>
            </w:pPr>
            <w:r>
              <w:rPr>
                <w:rStyle w:val="56"/>
                <w:rFonts w:hint="eastAsia" w:ascii="宋体" w:hAnsi="宋体" w:eastAsia="宋体" w:cs="宋体"/>
                <w:color w:val="auto"/>
                <w:sz w:val="21"/>
                <w:szCs w:val="21"/>
                <w:lang w:eastAsia="zh-CN"/>
              </w:rPr>
              <w:t>(</w:t>
            </w:r>
            <w:r>
              <w:rPr>
                <w:rStyle w:val="56"/>
                <w:rFonts w:hint="eastAsia" w:ascii="宋体" w:hAnsi="宋体" w:eastAsia="宋体" w:cs="宋体"/>
                <w:color w:val="auto"/>
                <w:sz w:val="21"/>
                <w:szCs w:val="21"/>
                <w:lang w:val="en-US" w:eastAsia="zh-CN"/>
              </w:rPr>
              <w:t>9</w:t>
            </w:r>
            <w:r>
              <w:rPr>
                <w:rStyle w:val="56"/>
                <w:rFonts w:hint="eastAsia" w:ascii="宋体" w:hAnsi="宋体" w:eastAsia="宋体" w:cs="宋体"/>
                <w:color w:val="auto"/>
                <w:sz w:val="21"/>
                <w:szCs w:val="21"/>
                <w:lang w:eastAsia="zh-CN"/>
              </w:rPr>
              <w:t>)不存在违反法律、法规的其他情形。</w:t>
            </w:r>
          </w:p>
        </w:tc>
      </w:tr>
    </w:tbl>
    <w:p w14:paraId="2ECDFEDE">
      <w:pPr>
        <w:widowControl/>
        <w:rPr>
          <w:rFonts w:ascii="宋体" w:hAnsi="宋体" w:eastAsia="宋体" w:cs="宋体"/>
          <w:color w:val="auto"/>
          <w:lang w:bidi="en-US"/>
        </w:rPr>
      </w:pPr>
      <w:r>
        <w:rPr>
          <w:rFonts w:hint="eastAsia" w:ascii="宋体" w:hAnsi="宋体" w:eastAsia="宋体" w:cs="宋体"/>
          <w:color w:val="auto"/>
          <w:lang w:bidi="en-US"/>
        </w:rPr>
        <w:br w:type="page"/>
      </w:r>
    </w:p>
    <w:p w14:paraId="627D8E50">
      <w:pPr>
        <w:jc w:val="right"/>
        <w:rPr>
          <w:rFonts w:ascii="宋体" w:hAnsi="宋体" w:eastAsia="宋体" w:cs="宋体"/>
          <w:color w:val="auto"/>
          <w:lang w:bidi="en-US"/>
        </w:rPr>
      </w:pPr>
      <w:r>
        <w:rPr>
          <w:rFonts w:hint="eastAsia" w:ascii="宋体" w:hAnsi="宋体" w:eastAsia="宋体" w:cs="宋体"/>
          <w:color w:val="auto"/>
          <w:lang w:bidi="en-US"/>
        </w:rPr>
        <w:t>续上表</w:t>
      </w:r>
    </w:p>
    <w:tbl>
      <w:tblPr>
        <w:tblStyle w:val="33"/>
        <w:tblW w:w="8518" w:type="dxa"/>
        <w:tblInd w:w="0" w:type="dxa"/>
        <w:tblLayout w:type="fixed"/>
        <w:tblCellMar>
          <w:top w:w="0" w:type="dxa"/>
          <w:left w:w="10" w:type="dxa"/>
          <w:bottom w:w="0" w:type="dxa"/>
          <w:right w:w="10" w:type="dxa"/>
        </w:tblCellMar>
      </w:tblPr>
      <w:tblGrid>
        <w:gridCol w:w="923"/>
        <w:gridCol w:w="1256"/>
        <w:gridCol w:w="6339"/>
      </w:tblGrid>
      <w:tr w14:paraId="5C9CB544">
        <w:trPr>
          <w:trHeight w:val="433" w:hRule="atLeast"/>
        </w:trPr>
        <w:tc>
          <w:tcPr>
            <w:tcW w:w="923" w:type="dxa"/>
            <w:tcBorders>
              <w:top w:val="single" w:color="auto" w:sz="4" w:space="0"/>
              <w:left w:val="single" w:color="auto" w:sz="4" w:space="0"/>
            </w:tcBorders>
            <w:shd w:val="clear" w:color="auto" w:fill="FFFFFF"/>
            <w:vAlign w:val="center"/>
          </w:tcPr>
          <w:p w14:paraId="0DE6566B">
            <w:pPr>
              <w:pStyle w:val="42"/>
              <w:shd w:val="clear" w:color="auto" w:fill="auto"/>
              <w:spacing w:line="240" w:lineRule="auto"/>
              <w:jc w:val="center"/>
              <w:rPr>
                <w:rFonts w:ascii="宋体" w:hAnsi="宋体" w:eastAsia="宋体" w:cs="宋体"/>
                <w:color w:val="auto"/>
              </w:rPr>
            </w:pPr>
            <w:r>
              <w:rPr>
                <w:rFonts w:hint="eastAsia" w:ascii="宋体" w:hAnsi="宋体" w:eastAsia="宋体" w:cs="宋体"/>
                <w:b/>
                <w:bCs/>
                <w:color w:val="auto"/>
              </w:rPr>
              <w:t>条款号</w:t>
            </w:r>
          </w:p>
        </w:tc>
        <w:tc>
          <w:tcPr>
            <w:tcW w:w="1256" w:type="dxa"/>
            <w:tcBorders>
              <w:top w:val="single" w:color="auto" w:sz="4" w:space="0"/>
              <w:left w:val="single" w:color="auto" w:sz="4" w:space="0"/>
            </w:tcBorders>
            <w:shd w:val="clear" w:color="auto" w:fill="FFFFFF"/>
            <w:vAlign w:val="center"/>
          </w:tcPr>
          <w:p w14:paraId="2EB6D0BE">
            <w:pPr>
              <w:pStyle w:val="42"/>
              <w:shd w:val="clear" w:color="auto" w:fill="auto"/>
              <w:spacing w:line="240" w:lineRule="auto"/>
              <w:jc w:val="center"/>
              <w:rPr>
                <w:rFonts w:ascii="宋体" w:hAnsi="宋体" w:eastAsia="宋体" w:cs="宋体"/>
                <w:color w:val="auto"/>
              </w:rPr>
            </w:pPr>
            <w:r>
              <w:rPr>
                <w:rFonts w:hint="eastAsia" w:ascii="宋体" w:hAnsi="宋体" w:eastAsia="宋体" w:cs="宋体"/>
                <w:b/>
                <w:bCs/>
                <w:color w:val="auto"/>
              </w:rPr>
              <w:t>条款内容</w:t>
            </w:r>
          </w:p>
        </w:tc>
        <w:tc>
          <w:tcPr>
            <w:tcW w:w="6339" w:type="dxa"/>
            <w:tcBorders>
              <w:top w:val="single" w:color="auto" w:sz="4" w:space="0"/>
              <w:left w:val="single" w:color="auto" w:sz="4" w:space="0"/>
              <w:right w:val="single" w:color="auto" w:sz="4" w:space="0"/>
            </w:tcBorders>
            <w:shd w:val="clear" w:color="auto" w:fill="FFFFFF"/>
            <w:vAlign w:val="center"/>
          </w:tcPr>
          <w:p w14:paraId="1FC4772C">
            <w:pPr>
              <w:pStyle w:val="42"/>
              <w:shd w:val="clear" w:color="auto" w:fill="auto"/>
              <w:spacing w:line="240" w:lineRule="auto"/>
              <w:jc w:val="center"/>
              <w:rPr>
                <w:rFonts w:ascii="宋体" w:hAnsi="宋体" w:eastAsia="宋体" w:cs="宋体"/>
                <w:color w:val="auto"/>
              </w:rPr>
            </w:pPr>
            <w:r>
              <w:rPr>
                <w:rFonts w:hint="eastAsia" w:ascii="宋体" w:hAnsi="宋体" w:eastAsia="宋体" w:cs="宋体"/>
                <w:b/>
                <w:bCs/>
                <w:color w:val="auto"/>
              </w:rPr>
              <w:t>编列内容</w:t>
            </w:r>
          </w:p>
        </w:tc>
      </w:tr>
      <w:tr w14:paraId="52542407">
        <w:tc>
          <w:tcPr>
            <w:tcW w:w="923" w:type="dxa"/>
            <w:tcBorders>
              <w:top w:val="single" w:color="auto" w:sz="4" w:space="0"/>
              <w:left w:val="single" w:color="auto" w:sz="4" w:space="0"/>
            </w:tcBorders>
            <w:shd w:val="clear" w:color="auto" w:fill="FFFFFF"/>
            <w:vAlign w:val="center"/>
          </w:tcPr>
          <w:p w14:paraId="2CA68335">
            <w:pPr>
              <w:pStyle w:val="42"/>
              <w:shd w:val="clear" w:color="auto" w:fill="auto"/>
              <w:spacing w:line="240" w:lineRule="auto"/>
              <w:jc w:val="center"/>
              <w:rPr>
                <w:rFonts w:ascii="宋体" w:hAnsi="宋体" w:eastAsia="宋体" w:cs="宋体"/>
                <w:color w:val="auto"/>
              </w:rPr>
            </w:pPr>
            <w:r>
              <w:rPr>
                <w:rStyle w:val="62"/>
                <w:rFonts w:hint="eastAsia" w:ascii="宋体" w:hAnsi="宋体" w:eastAsia="宋体" w:cs="宋体"/>
                <w:bCs/>
                <w:color w:val="auto"/>
                <w:sz w:val="21"/>
                <w:szCs w:val="21"/>
              </w:rPr>
              <w:t>2.2.1</w:t>
            </w:r>
          </w:p>
        </w:tc>
        <w:tc>
          <w:tcPr>
            <w:tcW w:w="1256" w:type="dxa"/>
            <w:tcBorders>
              <w:top w:val="single" w:color="auto" w:sz="4" w:space="0"/>
              <w:left w:val="single" w:color="auto" w:sz="4" w:space="0"/>
            </w:tcBorders>
            <w:shd w:val="clear" w:color="auto" w:fill="FFFFFF"/>
            <w:vAlign w:val="center"/>
          </w:tcPr>
          <w:p w14:paraId="167475CC">
            <w:pPr>
              <w:pStyle w:val="42"/>
              <w:shd w:val="clear" w:color="auto" w:fill="auto"/>
              <w:spacing w:line="240" w:lineRule="auto"/>
              <w:jc w:val="center"/>
              <w:rPr>
                <w:rFonts w:ascii="宋体" w:hAnsi="宋体" w:eastAsia="宋体" w:cs="宋体"/>
                <w:color w:val="auto"/>
              </w:rPr>
            </w:pPr>
            <w:r>
              <w:rPr>
                <w:rStyle w:val="53"/>
                <w:rFonts w:hint="eastAsia" w:ascii="宋体" w:hAnsi="宋体" w:eastAsia="宋体" w:cs="宋体"/>
                <w:b w:val="0"/>
                <w:bCs w:val="0"/>
                <w:color w:val="auto"/>
                <w:sz w:val="21"/>
                <w:szCs w:val="21"/>
              </w:rPr>
              <w:t>分值构成</w:t>
            </w:r>
          </w:p>
          <w:p w14:paraId="6B6539E9">
            <w:pPr>
              <w:pStyle w:val="42"/>
              <w:shd w:val="clear" w:color="auto" w:fill="auto"/>
              <w:spacing w:line="240" w:lineRule="auto"/>
              <w:jc w:val="center"/>
              <w:rPr>
                <w:rFonts w:ascii="宋体" w:hAnsi="宋体" w:eastAsia="宋体" w:cs="宋体"/>
                <w:color w:val="auto"/>
              </w:rPr>
            </w:pPr>
            <w:r>
              <w:rPr>
                <w:rStyle w:val="53"/>
                <w:rFonts w:hint="eastAsia" w:ascii="宋体" w:hAnsi="宋体" w:eastAsia="宋体" w:cs="宋体"/>
                <w:b w:val="0"/>
                <w:bCs w:val="0"/>
                <w:color w:val="auto"/>
                <w:sz w:val="21"/>
                <w:szCs w:val="21"/>
              </w:rPr>
              <w:t>(总分</w:t>
            </w:r>
            <w:r>
              <w:rPr>
                <w:rStyle w:val="62"/>
                <w:rFonts w:hint="eastAsia" w:ascii="宋体" w:hAnsi="宋体" w:eastAsia="宋体" w:cs="宋体"/>
                <w:bCs/>
                <w:color w:val="auto"/>
                <w:sz w:val="21"/>
                <w:szCs w:val="21"/>
                <w:lang w:val="zh-TW" w:eastAsia="zh-TW" w:bidi="zh-TW"/>
              </w:rPr>
              <w:t>100</w:t>
            </w:r>
            <w:r>
              <w:rPr>
                <w:rStyle w:val="53"/>
                <w:rFonts w:hint="eastAsia" w:ascii="宋体" w:hAnsi="宋体" w:eastAsia="宋体" w:cs="宋体"/>
                <w:b w:val="0"/>
                <w:bCs w:val="0"/>
                <w:color w:val="auto"/>
                <w:sz w:val="21"/>
                <w:szCs w:val="21"/>
              </w:rPr>
              <w:t>分）</w:t>
            </w:r>
          </w:p>
        </w:tc>
        <w:tc>
          <w:tcPr>
            <w:tcW w:w="6339" w:type="dxa"/>
            <w:tcBorders>
              <w:top w:val="single" w:color="auto" w:sz="4" w:space="0"/>
              <w:left w:val="single" w:color="auto" w:sz="4" w:space="0"/>
              <w:right w:val="single" w:color="auto" w:sz="4" w:space="0"/>
            </w:tcBorders>
            <w:shd w:val="clear" w:color="auto" w:fill="FFFFFF"/>
            <w:vAlign w:val="center"/>
          </w:tcPr>
          <w:p w14:paraId="4E14812B">
            <w:pPr>
              <w:pStyle w:val="42"/>
              <w:shd w:val="clear" w:color="auto" w:fill="auto"/>
              <w:spacing w:line="300" w:lineRule="auto"/>
              <w:ind w:firstLine="422" w:firstLineChars="200"/>
              <w:jc w:val="both"/>
              <w:rPr>
                <w:rFonts w:ascii="宋体" w:hAnsi="宋体" w:eastAsia="宋体" w:cs="宋体"/>
                <w:b/>
                <w:color w:val="auto"/>
              </w:rPr>
            </w:pPr>
            <w:r>
              <w:rPr>
                <w:rFonts w:hint="eastAsia" w:ascii="宋体" w:hAnsi="宋体" w:eastAsia="宋体" w:cs="宋体"/>
                <w:b/>
                <w:bCs/>
                <w:color w:val="auto"/>
              </w:rPr>
              <w:t>第一个信封（商务及技术文件）评分分值构成：</w:t>
            </w:r>
          </w:p>
          <w:p w14:paraId="6BCADCCB">
            <w:pPr>
              <w:pStyle w:val="42"/>
              <w:shd w:val="clear" w:color="auto" w:fill="auto"/>
              <w:spacing w:line="300" w:lineRule="auto"/>
              <w:ind w:firstLine="420" w:firstLineChars="200"/>
              <w:jc w:val="both"/>
              <w:rPr>
                <w:rStyle w:val="53"/>
                <w:rFonts w:ascii="宋体" w:hAnsi="宋体" w:eastAsia="宋体" w:cs="宋体"/>
                <w:b w:val="0"/>
                <w:bCs w:val="0"/>
                <w:color w:val="auto"/>
                <w:sz w:val="21"/>
                <w:szCs w:val="21"/>
                <w:lang w:eastAsia="zh-CN"/>
              </w:rPr>
            </w:pPr>
            <w:r>
              <w:rPr>
                <w:rStyle w:val="53"/>
                <w:rFonts w:hint="eastAsia" w:ascii="宋体" w:hAnsi="宋体" w:eastAsia="宋体" w:cs="宋体"/>
                <w:b w:val="0"/>
                <w:bCs w:val="0"/>
                <w:color w:val="auto"/>
                <w:sz w:val="21"/>
                <w:szCs w:val="21"/>
                <w:lang w:eastAsia="zh-CN"/>
              </w:rPr>
              <w:t>技术建议书：</w:t>
            </w:r>
            <w:r>
              <w:rPr>
                <w:rStyle w:val="53"/>
                <w:rFonts w:hint="eastAsia" w:ascii="宋体" w:hAnsi="宋体" w:eastAsia="宋体" w:cs="宋体"/>
                <w:b w:val="0"/>
                <w:bCs w:val="0"/>
                <w:color w:val="auto"/>
                <w:sz w:val="21"/>
                <w:szCs w:val="21"/>
                <w:u w:val="single"/>
                <w:lang w:val="en-US" w:eastAsia="zh-CN"/>
              </w:rPr>
              <w:t>35</w:t>
            </w:r>
            <w:r>
              <w:rPr>
                <w:rStyle w:val="53"/>
                <w:rFonts w:hint="eastAsia" w:ascii="宋体" w:hAnsi="宋体" w:eastAsia="宋体" w:cs="宋体"/>
                <w:b w:val="0"/>
                <w:bCs w:val="0"/>
                <w:color w:val="auto"/>
                <w:sz w:val="21"/>
                <w:szCs w:val="21"/>
                <w:lang w:eastAsia="zh-CN"/>
              </w:rPr>
              <w:t xml:space="preserve">分 </w:t>
            </w:r>
          </w:p>
          <w:p w14:paraId="02FBE381">
            <w:pPr>
              <w:pStyle w:val="42"/>
              <w:shd w:val="clear" w:color="auto" w:fill="auto"/>
              <w:spacing w:line="300" w:lineRule="auto"/>
              <w:ind w:firstLine="420" w:firstLineChars="200"/>
              <w:jc w:val="both"/>
              <w:rPr>
                <w:rStyle w:val="53"/>
                <w:rFonts w:ascii="宋体" w:hAnsi="宋体" w:eastAsia="宋体" w:cs="宋体"/>
                <w:b w:val="0"/>
                <w:bCs w:val="0"/>
                <w:color w:val="auto"/>
                <w:sz w:val="21"/>
                <w:szCs w:val="21"/>
                <w:lang w:eastAsia="zh-CN"/>
              </w:rPr>
            </w:pPr>
            <w:r>
              <w:rPr>
                <w:rStyle w:val="53"/>
                <w:rFonts w:hint="eastAsia" w:ascii="宋体" w:hAnsi="宋体" w:eastAsia="宋体" w:cs="宋体"/>
                <w:b w:val="0"/>
                <w:bCs w:val="0"/>
                <w:color w:val="auto"/>
                <w:sz w:val="21"/>
                <w:szCs w:val="21"/>
                <w:lang w:eastAsia="zh-CN"/>
              </w:rPr>
              <w:t>主要人员：</w:t>
            </w:r>
            <w:r>
              <w:rPr>
                <w:rStyle w:val="53"/>
                <w:rFonts w:hint="eastAsia" w:ascii="宋体" w:hAnsi="宋体" w:eastAsia="宋体" w:cs="宋体"/>
                <w:b w:val="0"/>
                <w:bCs w:val="0"/>
                <w:color w:val="auto"/>
                <w:sz w:val="21"/>
                <w:szCs w:val="21"/>
                <w:u w:val="single"/>
                <w:lang w:val="en-US" w:eastAsia="zh-CN"/>
              </w:rPr>
              <w:t>25</w:t>
            </w:r>
            <w:r>
              <w:rPr>
                <w:rStyle w:val="53"/>
                <w:rFonts w:hint="eastAsia" w:ascii="宋体" w:hAnsi="宋体" w:eastAsia="宋体" w:cs="宋体"/>
                <w:b w:val="0"/>
                <w:bCs w:val="0"/>
                <w:color w:val="auto"/>
                <w:sz w:val="21"/>
                <w:szCs w:val="21"/>
                <w:lang w:eastAsia="zh-CN"/>
              </w:rPr>
              <w:t xml:space="preserve">分 </w:t>
            </w:r>
          </w:p>
          <w:p w14:paraId="1AA2ACFE">
            <w:pPr>
              <w:pStyle w:val="42"/>
              <w:shd w:val="clear" w:color="auto" w:fill="auto"/>
              <w:spacing w:line="300" w:lineRule="auto"/>
              <w:ind w:firstLine="420" w:firstLineChars="200"/>
              <w:jc w:val="both"/>
              <w:rPr>
                <w:rStyle w:val="53"/>
                <w:rFonts w:ascii="宋体" w:hAnsi="宋体" w:eastAsia="宋体" w:cs="宋体"/>
                <w:b w:val="0"/>
                <w:bCs w:val="0"/>
                <w:color w:val="auto"/>
                <w:sz w:val="21"/>
                <w:szCs w:val="21"/>
                <w:lang w:eastAsia="zh-CN"/>
              </w:rPr>
            </w:pPr>
            <w:r>
              <w:rPr>
                <w:rStyle w:val="53"/>
                <w:rFonts w:hint="eastAsia" w:ascii="宋体" w:hAnsi="宋体" w:eastAsia="宋体" w:cs="宋体"/>
                <w:b w:val="0"/>
                <w:bCs w:val="0"/>
                <w:color w:val="auto"/>
                <w:sz w:val="21"/>
                <w:szCs w:val="21"/>
                <w:lang w:eastAsia="zh-CN"/>
              </w:rPr>
              <w:t>企业业绩：</w:t>
            </w:r>
            <w:r>
              <w:rPr>
                <w:rStyle w:val="53"/>
                <w:rFonts w:hint="eastAsia" w:ascii="宋体" w:hAnsi="宋体" w:eastAsia="宋体" w:cs="宋体"/>
                <w:b w:val="0"/>
                <w:bCs w:val="0"/>
                <w:color w:val="auto"/>
                <w:sz w:val="21"/>
                <w:szCs w:val="21"/>
                <w:u w:val="single"/>
                <w:lang w:val="en-US" w:eastAsia="zh-CN"/>
              </w:rPr>
              <w:t>25</w:t>
            </w:r>
            <w:r>
              <w:rPr>
                <w:rStyle w:val="53"/>
                <w:rFonts w:hint="eastAsia" w:ascii="宋体" w:hAnsi="宋体" w:eastAsia="宋体" w:cs="宋体"/>
                <w:b w:val="0"/>
                <w:bCs w:val="0"/>
                <w:color w:val="auto"/>
                <w:sz w:val="21"/>
                <w:szCs w:val="21"/>
                <w:lang w:eastAsia="zh-CN"/>
              </w:rPr>
              <w:t xml:space="preserve">分 </w:t>
            </w:r>
          </w:p>
          <w:p w14:paraId="06BDB8B8">
            <w:pPr>
              <w:pStyle w:val="42"/>
              <w:shd w:val="clear" w:color="auto" w:fill="auto"/>
              <w:spacing w:line="300" w:lineRule="auto"/>
              <w:ind w:firstLine="420" w:firstLineChars="200"/>
              <w:jc w:val="both"/>
              <w:rPr>
                <w:rStyle w:val="53"/>
                <w:rFonts w:ascii="宋体" w:hAnsi="宋体" w:eastAsia="宋体" w:cs="宋体"/>
                <w:b w:val="0"/>
                <w:bCs w:val="0"/>
                <w:color w:val="auto"/>
                <w:sz w:val="21"/>
                <w:szCs w:val="21"/>
                <w:lang w:eastAsia="zh-CN"/>
              </w:rPr>
            </w:pPr>
            <w:r>
              <w:rPr>
                <w:rStyle w:val="53"/>
                <w:rFonts w:hint="eastAsia" w:ascii="宋体" w:hAnsi="宋体" w:eastAsia="宋体" w:cs="宋体"/>
                <w:b w:val="0"/>
                <w:bCs w:val="0"/>
                <w:color w:val="auto"/>
                <w:sz w:val="21"/>
                <w:szCs w:val="21"/>
                <w:lang w:eastAsia="zh-CN"/>
              </w:rPr>
              <w:t>履约信誉：</w:t>
            </w:r>
            <w:r>
              <w:rPr>
                <w:rStyle w:val="53"/>
                <w:rFonts w:hint="eastAsia" w:ascii="宋体" w:hAnsi="宋体" w:eastAsia="宋体" w:cs="宋体"/>
                <w:b w:val="0"/>
                <w:bCs w:val="0"/>
                <w:color w:val="auto"/>
                <w:sz w:val="21"/>
                <w:szCs w:val="21"/>
                <w:u w:val="single"/>
                <w:lang w:val="en-US" w:eastAsia="zh-CN"/>
              </w:rPr>
              <w:t>5</w:t>
            </w:r>
            <w:r>
              <w:rPr>
                <w:rStyle w:val="53"/>
                <w:rFonts w:hint="eastAsia" w:ascii="宋体" w:hAnsi="宋体" w:eastAsia="宋体" w:cs="宋体"/>
                <w:b w:val="0"/>
                <w:bCs w:val="0"/>
                <w:color w:val="auto"/>
                <w:sz w:val="21"/>
                <w:szCs w:val="21"/>
                <w:lang w:eastAsia="zh-CN"/>
              </w:rPr>
              <w:t>分</w:t>
            </w:r>
          </w:p>
          <w:p w14:paraId="4DE5D6AC">
            <w:pPr>
              <w:pStyle w:val="42"/>
              <w:shd w:val="clear" w:color="auto" w:fill="auto"/>
              <w:spacing w:line="300" w:lineRule="auto"/>
              <w:ind w:firstLine="422" w:firstLineChars="200"/>
              <w:jc w:val="both"/>
              <w:rPr>
                <w:rFonts w:ascii="宋体" w:hAnsi="宋体" w:eastAsia="宋体" w:cs="宋体"/>
                <w:b/>
                <w:color w:val="auto"/>
              </w:rPr>
            </w:pPr>
            <w:r>
              <w:rPr>
                <w:rFonts w:hint="eastAsia" w:ascii="宋体" w:hAnsi="宋体" w:eastAsia="宋体" w:cs="宋体"/>
                <w:b/>
                <w:bCs/>
                <w:color w:val="auto"/>
              </w:rPr>
              <w:t>第二个信封（报价文件）评分分值构成：</w:t>
            </w:r>
          </w:p>
          <w:p w14:paraId="49EA21FF">
            <w:pPr>
              <w:pStyle w:val="42"/>
              <w:shd w:val="clear" w:color="auto" w:fill="auto"/>
              <w:spacing w:line="300" w:lineRule="auto"/>
              <w:ind w:firstLine="420" w:firstLineChars="200"/>
              <w:jc w:val="both"/>
              <w:rPr>
                <w:rFonts w:ascii="宋体" w:hAnsi="宋体" w:eastAsia="宋体" w:cs="宋体"/>
                <w:color w:val="auto"/>
              </w:rPr>
            </w:pPr>
            <w:r>
              <w:rPr>
                <w:rStyle w:val="53"/>
                <w:rFonts w:hint="eastAsia" w:ascii="宋体" w:hAnsi="宋体" w:eastAsia="宋体" w:cs="宋体"/>
                <w:b w:val="0"/>
                <w:bCs w:val="0"/>
                <w:color w:val="auto"/>
                <w:sz w:val="21"/>
                <w:szCs w:val="21"/>
              </w:rPr>
              <w:t xml:space="preserve">评标价: </w:t>
            </w:r>
            <w:r>
              <w:rPr>
                <w:rStyle w:val="53"/>
                <w:rFonts w:hint="eastAsia" w:ascii="宋体" w:hAnsi="宋体" w:eastAsia="宋体" w:cs="宋体"/>
                <w:b w:val="0"/>
                <w:bCs w:val="0"/>
                <w:color w:val="auto"/>
                <w:sz w:val="21"/>
                <w:szCs w:val="21"/>
                <w:u w:val="single"/>
                <w:lang w:val="en-US" w:eastAsia="zh-CN"/>
              </w:rPr>
              <w:t>10</w:t>
            </w:r>
            <w:r>
              <w:rPr>
                <w:rStyle w:val="53"/>
                <w:rFonts w:hint="eastAsia" w:ascii="宋体" w:hAnsi="宋体" w:eastAsia="宋体" w:cs="宋体"/>
                <w:b w:val="0"/>
                <w:bCs w:val="0"/>
                <w:color w:val="auto"/>
                <w:sz w:val="21"/>
                <w:szCs w:val="21"/>
              </w:rPr>
              <w:t>分</w:t>
            </w:r>
          </w:p>
        </w:tc>
      </w:tr>
      <w:tr w14:paraId="12DE156B">
        <w:tc>
          <w:tcPr>
            <w:tcW w:w="923" w:type="dxa"/>
            <w:tcBorders>
              <w:top w:val="single" w:color="auto" w:sz="4" w:space="0"/>
              <w:left w:val="single" w:color="auto" w:sz="4" w:space="0"/>
            </w:tcBorders>
            <w:shd w:val="clear" w:color="auto" w:fill="FFFFFF"/>
            <w:vAlign w:val="center"/>
          </w:tcPr>
          <w:p w14:paraId="50E99958">
            <w:pPr>
              <w:pStyle w:val="42"/>
              <w:shd w:val="clear" w:color="auto" w:fill="auto"/>
              <w:spacing w:line="240" w:lineRule="auto"/>
              <w:jc w:val="center"/>
              <w:rPr>
                <w:rFonts w:ascii="宋体" w:hAnsi="宋体" w:eastAsia="宋体" w:cs="宋体"/>
                <w:color w:val="auto"/>
              </w:rPr>
            </w:pPr>
            <w:r>
              <w:rPr>
                <w:rStyle w:val="62"/>
                <w:rFonts w:hint="eastAsia" w:ascii="宋体" w:hAnsi="宋体" w:eastAsia="宋体" w:cs="宋体"/>
                <w:bCs/>
                <w:color w:val="auto"/>
                <w:sz w:val="21"/>
                <w:szCs w:val="21"/>
              </w:rPr>
              <w:t>2.2.2</w:t>
            </w:r>
          </w:p>
        </w:tc>
        <w:tc>
          <w:tcPr>
            <w:tcW w:w="1256" w:type="dxa"/>
            <w:tcBorders>
              <w:top w:val="single" w:color="auto" w:sz="4" w:space="0"/>
              <w:left w:val="single" w:color="auto" w:sz="4" w:space="0"/>
            </w:tcBorders>
            <w:shd w:val="clear" w:color="auto" w:fill="FFFFFF"/>
            <w:vAlign w:val="center"/>
          </w:tcPr>
          <w:p w14:paraId="3C8D7803">
            <w:pPr>
              <w:pStyle w:val="42"/>
              <w:shd w:val="clear" w:color="auto" w:fill="auto"/>
              <w:spacing w:line="240" w:lineRule="auto"/>
              <w:jc w:val="center"/>
              <w:rPr>
                <w:rFonts w:ascii="宋体" w:hAnsi="宋体" w:eastAsia="宋体" w:cs="宋体"/>
                <w:color w:val="auto"/>
              </w:rPr>
            </w:pPr>
            <w:r>
              <w:rPr>
                <w:rStyle w:val="53"/>
                <w:rFonts w:hint="eastAsia" w:ascii="宋体" w:hAnsi="宋体" w:eastAsia="宋体" w:cs="宋体"/>
                <w:b w:val="0"/>
                <w:bCs w:val="0"/>
                <w:color w:val="auto"/>
                <w:sz w:val="21"/>
                <w:szCs w:val="21"/>
              </w:rPr>
              <w:t>评标基准价 计算方法</w:t>
            </w:r>
          </w:p>
        </w:tc>
        <w:tc>
          <w:tcPr>
            <w:tcW w:w="6339" w:type="dxa"/>
            <w:tcBorders>
              <w:top w:val="single" w:color="auto" w:sz="4" w:space="0"/>
              <w:left w:val="single" w:color="auto" w:sz="4" w:space="0"/>
              <w:right w:val="single" w:color="auto" w:sz="4" w:space="0"/>
            </w:tcBorders>
            <w:shd w:val="clear" w:color="auto" w:fill="FFFFFF"/>
            <w:vAlign w:val="center"/>
          </w:tcPr>
          <w:p w14:paraId="0B2323C1">
            <w:pPr>
              <w:pStyle w:val="42"/>
              <w:shd w:val="clear" w:color="auto" w:fill="auto"/>
              <w:spacing w:line="300" w:lineRule="auto"/>
              <w:ind w:firstLine="420" w:firstLineChars="200"/>
              <w:jc w:val="both"/>
              <w:rPr>
                <w:rFonts w:ascii="宋体" w:hAnsi="宋体" w:eastAsia="宋体" w:cs="宋体"/>
                <w:color w:val="auto"/>
              </w:rPr>
            </w:pPr>
            <w:r>
              <w:rPr>
                <w:rStyle w:val="53"/>
                <w:rFonts w:hint="eastAsia" w:ascii="宋体" w:hAnsi="宋体" w:eastAsia="宋体" w:cs="宋体"/>
                <w:b w:val="0"/>
                <w:bCs w:val="0"/>
                <w:color w:val="auto"/>
                <w:sz w:val="21"/>
                <w:szCs w:val="21"/>
                <w:lang w:eastAsia="zh-CN"/>
              </w:rPr>
              <w:t>评标基准价的计算：</w:t>
            </w:r>
          </w:p>
          <w:p w14:paraId="0154145C">
            <w:pPr>
              <w:pStyle w:val="42"/>
              <w:shd w:val="clear" w:color="auto" w:fill="auto"/>
              <w:spacing w:line="300" w:lineRule="auto"/>
              <w:ind w:firstLine="420" w:firstLineChars="200"/>
              <w:jc w:val="both"/>
              <w:rPr>
                <w:rFonts w:ascii="宋体" w:hAnsi="宋体" w:eastAsia="宋体" w:cs="宋体"/>
                <w:color w:val="auto"/>
              </w:rPr>
            </w:pPr>
            <w:r>
              <w:rPr>
                <w:rStyle w:val="53"/>
                <w:rFonts w:hint="eastAsia" w:ascii="宋体" w:hAnsi="宋体" w:eastAsia="宋体" w:cs="宋体"/>
                <w:b w:val="0"/>
                <w:bCs w:val="0"/>
                <w:color w:val="auto"/>
                <w:sz w:val="21"/>
                <w:szCs w:val="21"/>
                <w:lang w:eastAsia="zh-CN"/>
              </w:rPr>
              <w:t>在开标现场，招标人将当场计算并宣布评标基准价。</w:t>
            </w:r>
          </w:p>
          <w:p w14:paraId="3982BE63">
            <w:pPr>
              <w:pStyle w:val="42"/>
              <w:numPr>
                <w:ilvl w:val="0"/>
                <w:numId w:val="2"/>
              </w:numPr>
              <w:shd w:val="clear" w:color="auto" w:fill="auto"/>
              <w:tabs>
                <w:tab w:val="left" w:pos="413"/>
              </w:tabs>
              <w:spacing w:line="300" w:lineRule="auto"/>
              <w:ind w:firstLine="420" w:firstLineChars="200"/>
              <w:jc w:val="both"/>
              <w:rPr>
                <w:rFonts w:ascii="宋体" w:hAnsi="宋体" w:eastAsia="宋体" w:cs="宋体"/>
                <w:color w:val="auto"/>
              </w:rPr>
            </w:pPr>
            <w:r>
              <w:rPr>
                <w:rStyle w:val="53"/>
                <w:rFonts w:hint="eastAsia" w:ascii="宋体" w:hAnsi="宋体" w:eastAsia="宋体" w:cs="宋体"/>
                <w:b w:val="0"/>
                <w:bCs w:val="0"/>
                <w:color w:val="auto"/>
                <w:sz w:val="21"/>
                <w:szCs w:val="21"/>
              </w:rPr>
              <w:t>评标价的确定：</w:t>
            </w:r>
          </w:p>
          <w:p w14:paraId="4EC66B89">
            <w:pPr>
              <w:pStyle w:val="42"/>
              <w:shd w:val="clear" w:color="auto" w:fill="auto"/>
              <w:spacing w:line="300" w:lineRule="auto"/>
              <w:ind w:firstLine="420" w:firstLineChars="200"/>
              <w:jc w:val="both"/>
              <w:rPr>
                <w:rFonts w:ascii="宋体" w:hAnsi="宋体" w:eastAsia="宋体" w:cs="宋体"/>
                <w:color w:val="auto"/>
              </w:rPr>
            </w:pPr>
            <w:r>
              <w:rPr>
                <w:rStyle w:val="53"/>
                <w:rFonts w:hint="eastAsia" w:ascii="宋体" w:hAnsi="宋体" w:eastAsia="宋体" w:cs="宋体"/>
                <w:b w:val="0"/>
                <w:bCs w:val="0"/>
                <w:color w:val="auto"/>
                <w:sz w:val="21"/>
                <w:szCs w:val="21"/>
              </w:rPr>
              <w:t>评标价=投标函文字报价</w:t>
            </w:r>
          </w:p>
          <w:p w14:paraId="77EC3216">
            <w:pPr>
              <w:pStyle w:val="42"/>
              <w:numPr>
                <w:ilvl w:val="0"/>
                <w:numId w:val="2"/>
              </w:numPr>
              <w:shd w:val="clear" w:color="auto" w:fill="auto"/>
              <w:tabs>
                <w:tab w:val="left" w:pos="415"/>
              </w:tabs>
              <w:spacing w:line="300" w:lineRule="auto"/>
              <w:ind w:firstLine="420" w:firstLineChars="200"/>
              <w:jc w:val="both"/>
              <w:rPr>
                <w:rFonts w:ascii="宋体" w:hAnsi="宋体" w:eastAsia="宋体" w:cs="宋体"/>
                <w:color w:val="auto"/>
              </w:rPr>
            </w:pPr>
            <w:r>
              <w:rPr>
                <w:rStyle w:val="53"/>
                <w:rFonts w:hint="eastAsia" w:ascii="宋体" w:hAnsi="宋体" w:eastAsia="宋体" w:cs="宋体"/>
                <w:b w:val="0"/>
                <w:bCs w:val="0"/>
                <w:color w:val="auto"/>
                <w:sz w:val="21"/>
                <w:szCs w:val="21"/>
              </w:rPr>
              <w:t>评标价平均值的计算：</w:t>
            </w:r>
          </w:p>
          <w:p w14:paraId="5D7B50A8">
            <w:pPr>
              <w:pStyle w:val="42"/>
              <w:shd w:val="clear" w:color="auto" w:fill="auto"/>
              <w:spacing w:line="300" w:lineRule="auto"/>
              <w:ind w:firstLine="420" w:firstLineChars="200"/>
              <w:jc w:val="both"/>
              <w:rPr>
                <w:rFonts w:ascii="宋体" w:hAnsi="宋体" w:eastAsia="宋体" w:cs="宋体"/>
                <w:color w:val="auto"/>
              </w:rPr>
            </w:pPr>
            <w:r>
              <w:rPr>
                <w:rStyle w:val="53"/>
                <w:rFonts w:hint="eastAsia" w:ascii="宋体" w:hAnsi="宋体" w:eastAsia="宋体" w:cs="宋体"/>
                <w:b w:val="0"/>
                <w:bCs w:val="0"/>
                <w:color w:val="auto"/>
                <w:sz w:val="21"/>
                <w:szCs w:val="21"/>
                <w:lang w:eastAsia="zh-CN"/>
              </w:rPr>
              <w:t>除按第二章“投标人须知”第</w:t>
            </w:r>
            <w:r>
              <w:rPr>
                <w:rStyle w:val="62"/>
                <w:rFonts w:hint="eastAsia" w:ascii="宋体" w:hAnsi="宋体" w:eastAsia="宋体" w:cs="宋体"/>
                <w:b/>
                <w:bCs/>
                <w:color w:val="auto"/>
                <w:sz w:val="21"/>
                <w:szCs w:val="21"/>
                <w:lang w:eastAsia="zh-CN"/>
              </w:rPr>
              <w:t>5.2.4</w:t>
            </w:r>
            <w:r>
              <w:rPr>
                <w:rStyle w:val="53"/>
                <w:rFonts w:hint="eastAsia" w:ascii="宋体" w:hAnsi="宋体" w:eastAsia="宋体" w:cs="宋体"/>
                <w:b w:val="0"/>
                <w:bCs w:val="0"/>
                <w:color w:val="auto"/>
                <w:sz w:val="21"/>
                <w:szCs w:val="21"/>
                <w:lang w:eastAsia="zh-CN"/>
              </w:rPr>
              <w:t>项规定开标现场被宣布为不进入评标基准价计算的投标报价之外，所有投标人的评标价去掉一个最高值和一个最低值后的算术平均值即为评标价平均值（如果参与评标价平均值计算的有效投标人少于</w:t>
            </w:r>
            <w:r>
              <w:rPr>
                <w:rStyle w:val="62"/>
                <w:rFonts w:hint="eastAsia" w:ascii="宋体" w:hAnsi="宋体" w:eastAsia="宋体" w:cs="宋体"/>
                <w:b/>
                <w:bCs/>
                <w:color w:val="auto"/>
                <w:sz w:val="21"/>
                <w:szCs w:val="21"/>
                <w:lang w:val="zh-TW" w:eastAsia="zh-CN" w:bidi="zh-TW"/>
              </w:rPr>
              <w:t>5</w:t>
            </w:r>
            <w:r>
              <w:rPr>
                <w:rStyle w:val="53"/>
                <w:rFonts w:hint="eastAsia" w:ascii="宋体" w:hAnsi="宋体" w:eastAsia="宋体" w:cs="宋体"/>
                <w:b w:val="0"/>
                <w:bCs w:val="0"/>
                <w:color w:val="auto"/>
                <w:sz w:val="21"/>
                <w:szCs w:val="21"/>
                <w:lang w:eastAsia="zh-CN"/>
              </w:rPr>
              <w:t>家时，则计算评标价平均值时不去掉最高值和最低值)。</w:t>
            </w:r>
          </w:p>
          <w:p w14:paraId="63DA54FA">
            <w:pPr>
              <w:pStyle w:val="42"/>
              <w:numPr>
                <w:ilvl w:val="0"/>
                <w:numId w:val="2"/>
              </w:numPr>
              <w:shd w:val="clear" w:color="auto" w:fill="auto"/>
              <w:tabs>
                <w:tab w:val="left" w:pos="415"/>
              </w:tabs>
              <w:spacing w:line="300" w:lineRule="auto"/>
              <w:ind w:firstLine="420" w:firstLineChars="200"/>
              <w:jc w:val="both"/>
              <w:rPr>
                <w:rFonts w:ascii="宋体" w:hAnsi="宋体" w:eastAsia="宋体" w:cs="宋体"/>
                <w:color w:val="auto"/>
              </w:rPr>
            </w:pPr>
            <w:r>
              <w:rPr>
                <w:rStyle w:val="53"/>
                <w:rFonts w:hint="eastAsia" w:ascii="宋体" w:hAnsi="宋体" w:eastAsia="宋体" w:cs="宋体"/>
                <w:b w:val="0"/>
                <w:bCs w:val="0"/>
                <w:color w:val="auto"/>
                <w:sz w:val="21"/>
                <w:szCs w:val="21"/>
              </w:rPr>
              <w:t>评标基准价的确定</w:t>
            </w:r>
            <w:r>
              <w:rPr>
                <w:rStyle w:val="53"/>
                <w:rFonts w:hint="eastAsia" w:ascii="宋体" w:hAnsi="宋体" w:eastAsia="宋体" w:cs="宋体"/>
                <w:b w:val="0"/>
                <w:bCs w:val="0"/>
                <w:color w:val="auto"/>
                <w:sz w:val="21"/>
                <w:szCs w:val="21"/>
                <w:lang w:eastAsia="zh-CN"/>
              </w:rPr>
              <w:t>：</w:t>
            </w:r>
          </w:p>
          <w:p w14:paraId="07326759">
            <w:pPr>
              <w:pStyle w:val="42"/>
              <w:shd w:val="clear" w:color="auto" w:fill="auto"/>
              <w:spacing w:line="300" w:lineRule="auto"/>
              <w:ind w:firstLine="420" w:firstLineChars="200"/>
              <w:jc w:val="both"/>
              <w:rPr>
                <w:rStyle w:val="53"/>
                <w:rFonts w:ascii="宋体" w:hAnsi="宋体" w:eastAsia="宋体" w:cs="宋体"/>
                <w:b w:val="0"/>
                <w:color w:val="auto"/>
                <w:sz w:val="21"/>
                <w:szCs w:val="21"/>
                <w:lang w:eastAsia="zh-CN"/>
              </w:rPr>
            </w:pPr>
            <w:r>
              <w:rPr>
                <w:rStyle w:val="53"/>
                <w:rFonts w:hint="eastAsia" w:ascii="宋体" w:hAnsi="宋体" w:eastAsia="宋体" w:cs="宋体"/>
                <w:b w:val="0"/>
                <w:color w:val="auto"/>
                <w:sz w:val="21"/>
                <w:szCs w:val="21"/>
                <w:lang w:eastAsia="zh-CN"/>
              </w:rPr>
              <w:t>将评标价平均值直接作为评标基准价。</w:t>
            </w:r>
          </w:p>
          <w:p w14:paraId="49DA54AF">
            <w:pPr>
              <w:pStyle w:val="42"/>
              <w:shd w:val="clear" w:color="auto" w:fill="auto"/>
              <w:tabs>
                <w:tab w:val="left" w:pos="415"/>
              </w:tabs>
              <w:spacing w:line="300" w:lineRule="auto"/>
              <w:ind w:firstLine="420" w:firstLineChars="200"/>
              <w:jc w:val="both"/>
              <w:rPr>
                <w:rFonts w:ascii="宋体" w:hAnsi="宋体" w:eastAsia="宋体" w:cs="宋体"/>
                <w:bCs/>
                <w:color w:val="auto"/>
                <w:shd w:val="clear" w:color="auto" w:fill="FFFFFF"/>
                <w:lang w:val="zh-TW" w:bidi="zh-TW"/>
              </w:rPr>
            </w:pPr>
            <w:r>
              <w:rPr>
                <w:rStyle w:val="53"/>
                <w:rFonts w:hint="eastAsia" w:ascii="宋体" w:hAnsi="宋体" w:eastAsia="宋体" w:cs="宋体"/>
                <w:b w:val="0"/>
                <w:color w:val="auto"/>
                <w:sz w:val="21"/>
                <w:szCs w:val="21"/>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6916AA5E">
        <w:tblPrEx>
          <w:tblCellMar>
            <w:top w:w="0" w:type="dxa"/>
            <w:left w:w="10" w:type="dxa"/>
            <w:bottom w:w="0" w:type="dxa"/>
            <w:right w:w="10" w:type="dxa"/>
          </w:tblCellMar>
        </w:tblPrEx>
        <w:tc>
          <w:tcPr>
            <w:tcW w:w="923" w:type="dxa"/>
            <w:tcBorders>
              <w:top w:val="single" w:color="auto" w:sz="4" w:space="0"/>
              <w:left w:val="single" w:color="auto" w:sz="4" w:space="0"/>
              <w:bottom w:val="single" w:color="auto" w:sz="4" w:space="0"/>
            </w:tcBorders>
            <w:shd w:val="clear" w:color="auto" w:fill="FFFFFF"/>
            <w:vAlign w:val="center"/>
          </w:tcPr>
          <w:p w14:paraId="67953BC9">
            <w:pPr>
              <w:pStyle w:val="42"/>
              <w:shd w:val="clear" w:color="auto" w:fill="auto"/>
              <w:spacing w:line="240" w:lineRule="auto"/>
              <w:jc w:val="center"/>
              <w:rPr>
                <w:rFonts w:ascii="宋体" w:hAnsi="宋体" w:eastAsia="宋体" w:cs="宋体"/>
                <w:color w:val="auto"/>
              </w:rPr>
            </w:pPr>
            <w:r>
              <w:rPr>
                <w:rStyle w:val="56"/>
                <w:rFonts w:hint="eastAsia" w:ascii="宋体" w:hAnsi="宋体" w:eastAsia="宋体" w:cs="宋体"/>
                <w:color w:val="auto"/>
                <w:sz w:val="21"/>
                <w:szCs w:val="21"/>
              </w:rPr>
              <w:t>2.2.3</w:t>
            </w:r>
          </w:p>
        </w:tc>
        <w:tc>
          <w:tcPr>
            <w:tcW w:w="1256" w:type="dxa"/>
            <w:tcBorders>
              <w:top w:val="single" w:color="auto" w:sz="4" w:space="0"/>
              <w:left w:val="single" w:color="auto" w:sz="4" w:space="0"/>
              <w:bottom w:val="single" w:color="auto" w:sz="4" w:space="0"/>
            </w:tcBorders>
            <w:shd w:val="clear" w:color="auto" w:fill="FFFFFF"/>
            <w:vAlign w:val="center"/>
          </w:tcPr>
          <w:p w14:paraId="36C45364">
            <w:pPr>
              <w:pStyle w:val="42"/>
              <w:shd w:val="clear" w:color="auto" w:fill="auto"/>
              <w:spacing w:line="240" w:lineRule="auto"/>
              <w:jc w:val="center"/>
              <w:rPr>
                <w:rFonts w:ascii="宋体" w:hAnsi="宋体" w:eastAsia="宋体" w:cs="宋体"/>
                <w:color w:val="auto"/>
              </w:rPr>
            </w:pPr>
            <w:r>
              <w:rPr>
                <w:rStyle w:val="56"/>
                <w:rFonts w:hint="eastAsia" w:ascii="宋体" w:hAnsi="宋体" w:eastAsia="宋体" w:cs="宋体"/>
                <w:color w:val="auto"/>
                <w:sz w:val="21"/>
                <w:szCs w:val="21"/>
                <w:lang w:eastAsia="zh-CN"/>
              </w:rPr>
              <w:t>评标价的偏差率计算公式</w:t>
            </w:r>
          </w:p>
        </w:tc>
        <w:tc>
          <w:tcPr>
            <w:tcW w:w="6339" w:type="dxa"/>
            <w:tcBorders>
              <w:top w:val="single" w:color="auto" w:sz="4" w:space="0"/>
              <w:left w:val="single" w:color="auto" w:sz="4" w:space="0"/>
              <w:bottom w:val="single" w:color="auto" w:sz="4" w:space="0"/>
              <w:right w:val="single" w:color="auto" w:sz="4" w:space="0"/>
            </w:tcBorders>
            <w:shd w:val="clear" w:color="auto" w:fill="FFFFFF"/>
            <w:vAlign w:val="center"/>
          </w:tcPr>
          <w:p w14:paraId="59126F08">
            <w:pPr>
              <w:pStyle w:val="42"/>
              <w:shd w:val="clear" w:color="auto" w:fill="auto"/>
              <w:spacing w:line="300" w:lineRule="auto"/>
              <w:jc w:val="both"/>
              <w:rPr>
                <w:rStyle w:val="56"/>
                <w:rFonts w:ascii="宋体" w:hAnsi="宋体" w:eastAsia="宋体" w:cs="宋体"/>
                <w:color w:val="auto"/>
                <w:sz w:val="21"/>
                <w:szCs w:val="21"/>
                <w:lang w:eastAsia="zh-CN"/>
              </w:rPr>
            </w:pPr>
            <w:r>
              <w:rPr>
                <w:rStyle w:val="56"/>
                <w:rFonts w:hint="eastAsia" w:ascii="宋体" w:hAnsi="宋体" w:eastAsia="宋体" w:cs="宋体"/>
                <w:color w:val="auto"/>
                <w:sz w:val="21"/>
                <w:szCs w:val="21"/>
                <w:lang w:eastAsia="zh-CN"/>
              </w:rPr>
              <w:t>偏差率=100%</w:t>
            </w:r>
            <w:r>
              <w:rPr>
                <w:rStyle w:val="56"/>
                <w:rFonts w:hint="eastAsia" w:ascii="宋体" w:hAnsi="宋体" w:eastAsia="宋体" w:cs="宋体"/>
                <w:color w:val="auto"/>
                <w:sz w:val="21"/>
                <w:szCs w:val="21"/>
                <w:lang w:eastAsia="zh-CN" w:bidi="en-US"/>
              </w:rPr>
              <w:t>×(</w:t>
            </w:r>
            <w:r>
              <w:rPr>
                <w:rStyle w:val="56"/>
                <w:rFonts w:hint="eastAsia" w:ascii="宋体" w:hAnsi="宋体" w:eastAsia="宋体" w:cs="宋体"/>
                <w:color w:val="auto"/>
                <w:sz w:val="21"/>
                <w:szCs w:val="21"/>
                <w:lang w:eastAsia="zh-CN"/>
              </w:rPr>
              <w:t>投标人评标价-评标基准价</w:t>
            </w:r>
            <w:r>
              <w:rPr>
                <w:rStyle w:val="56"/>
                <w:rFonts w:hint="eastAsia" w:ascii="宋体" w:hAnsi="宋体" w:eastAsia="宋体" w:cs="宋体"/>
                <w:color w:val="auto"/>
                <w:sz w:val="21"/>
                <w:szCs w:val="21"/>
                <w:lang w:eastAsia="zh-CN" w:bidi="en-US"/>
              </w:rPr>
              <w:t>）/</w:t>
            </w:r>
            <w:r>
              <w:rPr>
                <w:rStyle w:val="56"/>
                <w:rFonts w:hint="eastAsia" w:ascii="宋体" w:hAnsi="宋体" w:eastAsia="宋体" w:cs="宋体"/>
                <w:color w:val="auto"/>
                <w:sz w:val="21"/>
                <w:szCs w:val="21"/>
                <w:lang w:eastAsia="zh-CN"/>
              </w:rPr>
              <w:t xml:space="preserve">评标基准价 </w:t>
            </w:r>
          </w:p>
          <w:p w14:paraId="685C2CDF">
            <w:pPr>
              <w:pStyle w:val="42"/>
              <w:shd w:val="clear" w:color="auto" w:fill="auto"/>
              <w:spacing w:line="300" w:lineRule="auto"/>
              <w:jc w:val="both"/>
              <w:rPr>
                <w:rFonts w:ascii="宋体" w:hAnsi="宋体" w:eastAsia="宋体" w:cs="宋体"/>
                <w:color w:val="auto"/>
              </w:rPr>
            </w:pPr>
            <w:r>
              <w:rPr>
                <w:rStyle w:val="56"/>
                <w:rFonts w:hint="eastAsia" w:ascii="宋体" w:hAnsi="宋体" w:eastAsia="宋体" w:cs="宋体"/>
                <w:color w:val="auto"/>
                <w:sz w:val="21"/>
                <w:szCs w:val="21"/>
              </w:rPr>
              <w:t>偏差率保留二位小数</w:t>
            </w:r>
          </w:p>
        </w:tc>
      </w:tr>
    </w:tbl>
    <w:p w14:paraId="341FB03B">
      <w:pPr>
        <w:rPr>
          <w:rFonts w:ascii="宋体" w:hAnsi="宋体" w:eastAsia="宋体" w:cs="宋体"/>
          <w:color w:val="auto"/>
          <w:lang w:bidi="en-US"/>
        </w:rPr>
      </w:pPr>
    </w:p>
    <w:p w14:paraId="7927EF7E">
      <w:pPr>
        <w:widowControl/>
        <w:rPr>
          <w:rFonts w:ascii="宋体" w:hAnsi="宋体" w:eastAsia="宋体" w:cs="宋体"/>
          <w:color w:val="auto"/>
          <w:lang w:bidi="en-US"/>
        </w:rPr>
      </w:pPr>
      <w:r>
        <w:rPr>
          <w:rFonts w:hint="eastAsia" w:ascii="宋体" w:hAnsi="宋体" w:eastAsia="宋体" w:cs="宋体"/>
          <w:color w:val="auto"/>
          <w:lang w:bidi="en-US"/>
        </w:rPr>
        <w:br w:type="page"/>
      </w:r>
    </w:p>
    <w:p w14:paraId="66B0E611">
      <w:pPr>
        <w:jc w:val="right"/>
        <w:rPr>
          <w:rFonts w:ascii="宋体" w:hAnsi="宋体" w:eastAsia="宋体" w:cs="宋体"/>
          <w:color w:val="auto"/>
          <w:lang w:bidi="en-US"/>
        </w:rPr>
      </w:pPr>
      <w:r>
        <w:rPr>
          <w:rFonts w:hint="eastAsia" w:ascii="宋体" w:hAnsi="宋体" w:eastAsia="宋体" w:cs="宋体"/>
          <w:color w:val="auto"/>
          <w:lang w:bidi="en-US"/>
        </w:rPr>
        <w:t>续上表</w:t>
      </w:r>
    </w:p>
    <w:tbl>
      <w:tblPr>
        <w:tblStyle w:val="33"/>
        <w:tblW w:w="8316" w:type="dxa"/>
        <w:tblInd w:w="0" w:type="dxa"/>
        <w:tblLayout w:type="fixed"/>
        <w:tblCellMar>
          <w:top w:w="0" w:type="dxa"/>
          <w:left w:w="10" w:type="dxa"/>
          <w:bottom w:w="0" w:type="dxa"/>
          <w:right w:w="10" w:type="dxa"/>
        </w:tblCellMar>
      </w:tblPr>
      <w:tblGrid>
        <w:gridCol w:w="998"/>
        <w:gridCol w:w="372"/>
        <w:gridCol w:w="695"/>
        <w:gridCol w:w="677"/>
        <w:gridCol w:w="1424"/>
        <w:gridCol w:w="725"/>
        <w:gridCol w:w="3425"/>
      </w:tblGrid>
      <w:tr w14:paraId="7452E8A8">
        <w:tblPrEx>
          <w:tblCellMar>
            <w:top w:w="0" w:type="dxa"/>
            <w:left w:w="10" w:type="dxa"/>
            <w:bottom w:w="0" w:type="dxa"/>
            <w:right w:w="10" w:type="dxa"/>
          </w:tblCellMar>
        </w:tblPrEx>
        <w:trPr>
          <w:trHeight w:val="394" w:hRule="exact"/>
        </w:trPr>
        <w:tc>
          <w:tcPr>
            <w:tcW w:w="4891" w:type="dxa"/>
            <w:gridSpan w:val="6"/>
            <w:tcBorders>
              <w:top w:val="single" w:color="auto" w:sz="4" w:space="0"/>
              <w:left w:val="single" w:color="auto" w:sz="4" w:space="0"/>
            </w:tcBorders>
            <w:shd w:val="clear" w:color="auto" w:fill="FFFFFF"/>
            <w:tcMar>
              <w:top w:w="57" w:type="dxa"/>
              <w:left w:w="57" w:type="dxa"/>
              <w:bottom w:w="57" w:type="dxa"/>
              <w:right w:w="57" w:type="dxa"/>
            </w:tcMar>
            <w:vAlign w:val="center"/>
          </w:tcPr>
          <w:p w14:paraId="3370B60A">
            <w:pPr>
              <w:pStyle w:val="42"/>
              <w:shd w:val="clear" w:color="auto" w:fill="auto"/>
              <w:spacing w:line="240" w:lineRule="auto"/>
              <w:jc w:val="center"/>
              <w:rPr>
                <w:rFonts w:ascii="宋体" w:hAnsi="宋体" w:eastAsia="宋体" w:cs="宋体"/>
                <w:b/>
                <w:color w:val="auto"/>
              </w:rPr>
            </w:pPr>
            <w:bookmarkStart w:id="23" w:name="_Toc509393704"/>
            <w:bookmarkStart w:id="24" w:name="_Toc509387405"/>
            <w:r>
              <w:rPr>
                <w:rStyle w:val="58"/>
                <w:rFonts w:hint="eastAsia" w:ascii="宋体" w:hAnsi="宋体" w:eastAsia="宋体" w:cs="宋体"/>
                <w:b/>
                <w:color w:val="auto"/>
                <w:sz w:val="21"/>
                <w:szCs w:val="21"/>
              </w:rPr>
              <w:t>评分因素与权重分值</w:t>
            </w:r>
          </w:p>
        </w:tc>
        <w:tc>
          <w:tcPr>
            <w:tcW w:w="3425" w:type="dxa"/>
            <w:vMerge w:val="restart"/>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542EF380">
            <w:pPr>
              <w:pStyle w:val="42"/>
              <w:shd w:val="clear" w:color="auto" w:fill="auto"/>
              <w:spacing w:line="240" w:lineRule="auto"/>
              <w:jc w:val="center"/>
              <w:rPr>
                <w:rFonts w:ascii="宋体" w:hAnsi="宋体" w:eastAsia="宋体" w:cs="宋体"/>
                <w:b/>
                <w:color w:val="auto"/>
              </w:rPr>
            </w:pPr>
            <w:r>
              <w:rPr>
                <w:rStyle w:val="58"/>
                <w:rFonts w:hint="eastAsia" w:ascii="宋体" w:hAnsi="宋体" w:eastAsia="宋体" w:cs="宋体"/>
                <w:b/>
                <w:color w:val="auto"/>
                <w:sz w:val="21"/>
                <w:szCs w:val="21"/>
              </w:rPr>
              <w:t>评分标准</w:t>
            </w:r>
          </w:p>
        </w:tc>
      </w:tr>
      <w:tr w14:paraId="7978CA55">
        <w:tblPrEx>
          <w:tblCellMar>
            <w:top w:w="0" w:type="dxa"/>
            <w:left w:w="10" w:type="dxa"/>
            <w:bottom w:w="0" w:type="dxa"/>
            <w:right w:w="10" w:type="dxa"/>
          </w:tblCellMar>
        </w:tblPrEx>
        <w:tc>
          <w:tcPr>
            <w:tcW w:w="998" w:type="dxa"/>
            <w:tcBorders>
              <w:top w:val="single" w:color="auto" w:sz="4" w:space="0"/>
              <w:left w:val="single" w:color="auto" w:sz="4" w:space="0"/>
            </w:tcBorders>
            <w:shd w:val="clear" w:color="auto" w:fill="FFFFFF"/>
            <w:tcMar>
              <w:top w:w="57" w:type="dxa"/>
              <w:left w:w="57" w:type="dxa"/>
              <w:bottom w:w="57" w:type="dxa"/>
              <w:right w:w="57" w:type="dxa"/>
            </w:tcMar>
            <w:vAlign w:val="center"/>
          </w:tcPr>
          <w:p w14:paraId="45F985CA">
            <w:pPr>
              <w:pStyle w:val="42"/>
              <w:shd w:val="clear" w:color="auto" w:fill="auto"/>
              <w:spacing w:line="240" w:lineRule="auto"/>
              <w:jc w:val="center"/>
              <w:rPr>
                <w:rFonts w:ascii="宋体" w:hAnsi="宋体" w:eastAsia="宋体" w:cs="宋体"/>
                <w:b/>
                <w:color w:val="auto"/>
              </w:rPr>
            </w:pPr>
            <w:r>
              <w:rPr>
                <w:rStyle w:val="58"/>
                <w:rFonts w:hint="eastAsia" w:ascii="宋体" w:hAnsi="宋体" w:eastAsia="宋体" w:cs="宋体"/>
                <w:b/>
                <w:color w:val="auto"/>
                <w:sz w:val="21"/>
                <w:szCs w:val="21"/>
              </w:rPr>
              <w:t>条款号</w:t>
            </w:r>
          </w:p>
        </w:tc>
        <w:tc>
          <w:tcPr>
            <w:tcW w:w="1067" w:type="dxa"/>
            <w:gridSpan w:val="2"/>
            <w:tcBorders>
              <w:top w:val="single" w:color="auto" w:sz="4" w:space="0"/>
              <w:left w:val="single" w:color="auto" w:sz="4" w:space="0"/>
            </w:tcBorders>
            <w:shd w:val="clear" w:color="auto" w:fill="FFFFFF"/>
            <w:tcMar>
              <w:top w:w="57" w:type="dxa"/>
              <w:left w:w="57" w:type="dxa"/>
              <w:bottom w:w="57" w:type="dxa"/>
              <w:right w:w="57" w:type="dxa"/>
            </w:tcMar>
            <w:vAlign w:val="center"/>
          </w:tcPr>
          <w:p w14:paraId="1AFD25C2">
            <w:pPr>
              <w:pStyle w:val="42"/>
              <w:shd w:val="clear" w:color="auto" w:fill="auto"/>
              <w:spacing w:line="240" w:lineRule="auto"/>
              <w:jc w:val="center"/>
              <w:rPr>
                <w:rFonts w:ascii="宋体" w:hAnsi="宋体" w:eastAsia="宋体" w:cs="宋体"/>
                <w:b/>
                <w:color w:val="auto"/>
              </w:rPr>
            </w:pPr>
            <w:r>
              <w:rPr>
                <w:rStyle w:val="58"/>
                <w:rFonts w:hint="eastAsia" w:ascii="宋体" w:hAnsi="宋体" w:eastAsia="宋体" w:cs="宋体"/>
                <w:b/>
                <w:color w:val="auto"/>
                <w:sz w:val="21"/>
                <w:szCs w:val="21"/>
              </w:rPr>
              <w:t>评分因素</w:t>
            </w:r>
          </w:p>
        </w:tc>
        <w:tc>
          <w:tcPr>
            <w:tcW w:w="677" w:type="dxa"/>
            <w:tcBorders>
              <w:top w:val="single" w:color="auto" w:sz="4" w:space="0"/>
              <w:left w:val="single" w:color="auto" w:sz="4" w:space="0"/>
            </w:tcBorders>
            <w:shd w:val="clear" w:color="auto" w:fill="FFFFFF"/>
            <w:tcMar>
              <w:top w:w="57" w:type="dxa"/>
              <w:left w:w="57" w:type="dxa"/>
              <w:bottom w:w="57" w:type="dxa"/>
              <w:right w:w="57" w:type="dxa"/>
            </w:tcMar>
            <w:vAlign w:val="center"/>
          </w:tcPr>
          <w:p w14:paraId="5EDF18C4">
            <w:pPr>
              <w:pStyle w:val="42"/>
              <w:shd w:val="clear" w:color="auto" w:fill="auto"/>
              <w:spacing w:line="240" w:lineRule="auto"/>
              <w:jc w:val="center"/>
              <w:rPr>
                <w:rFonts w:ascii="宋体" w:hAnsi="宋体" w:eastAsia="宋体" w:cs="宋体"/>
                <w:b/>
                <w:color w:val="auto"/>
              </w:rPr>
            </w:pPr>
            <w:r>
              <w:rPr>
                <w:rStyle w:val="58"/>
                <w:rFonts w:hint="eastAsia" w:ascii="宋体" w:hAnsi="宋体" w:eastAsia="宋体" w:cs="宋体"/>
                <w:b/>
                <w:color w:val="auto"/>
                <w:sz w:val="21"/>
                <w:szCs w:val="21"/>
              </w:rPr>
              <w:t>评分因素权重分值</w:t>
            </w:r>
          </w:p>
        </w:tc>
        <w:tc>
          <w:tcPr>
            <w:tcW w:w="1424" w:type="dxa"/>
            <w:tcBorders>
              <w:top w:val="single" w:color="auto" w:sz="4" w:space="0"/>
              <w:left w:val="single" w:color="auto" w:sz="4" w:space="0"/>
            </w:tcBorders>
            <w:shd w:val="clear" w:color="auto" w:fill="FFFFFF"/>
            <w:tcMar>
              <w:top w:w="57" w:type="dxa"/>
              <w:left w:w="57" w:type="dxa"/>
              <w:bottom w:w="57" w:type="dxa"/>
              <w:right w:w="57" w:type="dxa"/>
            </w:tcMar>
            <w:vAlign w:val="center"/>
          </w:tcPr>
          <w:p w14:paraId="33AB47B3">
            <w:pPr>
              <w:pStyle w:val="42"/>
              <w:shd w:val="clear" w:color="auto" w:fill="auto"/>
              <w:spacing w:line="240" w:lineRule="auto"/>
              <w:jc w:val="center"/>
              <w:rPr>
                <w:rFonts w:ascii="宋体" w:hAnsi="宋体" w:eastAsia="宋体" w:cs="宋体"/>
                <w:b/>
                <w:color w:val="auto"/>
              </w:rPr>
            </w:pPr>
            <w:r>
              <w:rPr>
                <w:rStyle w:val="58"/>
                <w:rFonts w:hint="eastAsia" w:ascii="宋体" w:hAnsi="宋体" w:eastAsia="宋体" w:cs="宋体"/>
                <w:b/>
                <w:color w:val="auto"/>
                <w:sz w:val="21"/>
                <w:szCs w:val="21"/>
              </w:rPr>
              <w:t>各评分因素细分项</w:t>
            </w:r>
          </w:p>
        </w:tc>
        <w:tc>
          <w:tcPr>
            <w:tcW w:w="725" w:type="dxa"/>
            <w:tcBorders>
              <w:top w:val="single" w:color="auto" w:sz="4" w:space="0"/>
              <w:left w:val="single" w:color="auto" w:sz="4" w:space="0"/>
            </w:tcBorders>
            <w:shd w:val="clear" w:color="auto" w:fill="FFFFFF"/>
            <w:tcMar>
              <w:top w:w="57" w:type="dxa"/>
              <w:left w:w="57" w:type="dxa"/>
              <w:bottom w:w="57" w:type="dxa"/>
              <w:right w:w="57" w:type="dxa"/>
            </w:tcMar>
            <w:vAlign w:val="center"/>
          </w:tcPr>
          <w:p w14:paraId="2098BE10">
            <w:pPr>
              <w:pStyle w:val="42"/>
              <w:shd w:val="clear" w:color="auto" w:fill="auto"/>
              <w:spacing w:line="240" w:lineRule="auto"/>
              <w:jc w:val="center"/>
              <w:rPr>
                <w:rFonts w:ascii="宋体" w:hAnsi="宋体" w:eastAsia="宋体" w:cs="宋体"/>
                <w:b/>
                <w:color w:val="auto"/>
              </w:rPr>
            </w:pPr>
            <w:r>
              <w:rPr>
                <w:rStyle w:val="58"/>
                <w:rFonts w:hint="eastAsia" w:ascii="宋体" w:hAnsi="宋体" w:eastAsia="宋体" w:cs="宋体"/>
                <w:b/>
                <w:color w:val="auto"/>
                <w:sz w:val="21"/>
                <w:szCs w:val="21"/>
              </w:rPr>
              <w:t>分值</w:t>
            </w:r>
          </w:p>
        </w:tc>
        <w:tc>
          <w:tcPr>
            <w:tcW w:w="3425" w:type="dxa"/>
            <w:vMerge w:val="continue"/>
            <w:tcBorders>
              <w:left w:val="single" w:color="auto" w:sz="4" w:space="0"/>
              <w:right w:val="single" w:color="auto" w:sz="4" w:space="0"/>
            </w:tcBorders>
            <w:shd w:val="clear" w:color="auto" w:fill="FFFFFF"/>
            <w:tcMar>
              <w:top w:w="57" w:type="dxa"/>
              <w:left w:w="57" w:type="dxa"/>
              <w:bottom w:w="57" w:type="dxa"/>
              <w:right w:w="57" w:type="dxa"/>
            </w:tcMar>
            <w:vAlign w:val="center"/>
          </w:tcPr>
          <w:p w14:paraId="5EFB8CC3">
            <w:pPr>
              <w:jc w:val="center"/>
              <w:rPr>
                <w:rFonts w:ascii="宋体" w:hAnsi="宋体" w:eastAsia="宋体" w:cs="宋体"/>
                <w:b/>
                <w:color w:val="auto"/>
                <w:szCs w:val="21"/>
              </w:rPr>
            </w:pPr>
          </w:p>
        </w:tc>
      </w:tr>
      <w:tr w14:paraId="16A12407">
        <w:tblPrEx>
          <w:tblCellMar>
            <w:top w:w="0" w:type="dxa"/>
            <w:left w:w="10" w:type="dxa"/>
            <w:bottom w:w="0" w:type="dxa"/>
            <w:right w:w="10" w:type="dxa"/>
          </w:tblCellMar>
        </w:tblPrEx>
        <w:trPr>
          <w:trHeight w:val="966" w:hRule="atLeast"/>
        </w:trPr>
        <w:tc>
          <w:tcPr>
            <w:tcW w:w="998" w:type="dxa"/>
            <w:vMerge w:val="restart"/>
            <w:tcBorders>
              <w:top w:val="single" w:color="auto" w:sz="4" w:space="0"/>
              <w:left w:val="single" w:color="auto" w:sz="4" w:space="0"/>
            </w:tcBorders>
            <w:shd w:val="clear" w:color="auto" w:fill="FFFFFF"/>
            <w:tcMar>
              <w:top w:w="57" w:type="dxa"/>
              <w:left w:w="57" w:type="dxa"/>
              <w:bottom w:w="57" w:type="dxa"/>
              <w:right w:w="57" w:type="dxa"/>
            </w:tcMar>
            <w:vAlign w:val="center"/>
          </w:tcPr>
          <w:p w14:paraId="6B632653">
            <w:pPr>
              <w:pStyle w:val="42"/>
              <w:shd w:val="clear" w:color="auto" w:fill="auto"/>
              <w:spacing w:line="240" w:lineRule="auto"/>
              <w:jc w:val="center"/>
              <w:rPr>
                <w:rFonts w:ascii="宋体" w:hAnsi="宋体" w:eastAsia="宋体" w:cs="宋体"/>
                <w:color w:val="auto"/>
              </w:rPr>
            </w:pPr>
            <w:r>
              <w:rPr>
                <w:rStyle w:val="45"/>
                <w:rFonts w:hint="eastAsia" w:ascii="宋体" w:hAnsi="宋体" w:eastAsia="宋体" w:cs="宋体"/>
                <w:b w:val="0"/>
                <w:color w:val="auto"/>
                <w:sz w:val="21"/>
                <w:szCs w:val="21"/>
              </w:rPr>
              <w:t>2.2.4(1)</w:t>
            </w:r>
          </w:p>
        </w:tc>
        <w:tc>
          <w:tcPr>
            <w:tcW w:w="1067" w:type="dxa"/>
            <w:gridSpan w:val="2"/>
            <w:vMerge w:val="restart"/>
            <w:tcBorders>
              <w:top w:val="single" w:color="auto" w:sz="4" w:space="0"/>
              <w:left w:val="single" w:color="auto" w:sz="4" w:space="0"/>
            </w:tcBorders>
            <w:shd w:val="clear" w:color="auto" w:fill="FFFFFF"/>
            <w:tcMar>
              <w:top w:w="57" w:type="dxa"/>
              <w:left w:w="57" w:type="dxa"/>
              <w:bottom w:w="57" w:type="dxa"/>
              <w:right w:w="57" w:type="dxa"/>
            </w:tcMar>
            <w:vAlign w:val="center"/>
          </w:tcPr>
          <w:p w14:paraId="1FB2BA00">
            <w:pPr>
              <w:pStyle w:val="42"/>
              <w:shd w:val="clear" w:color="auto" w:fill="auto"/>
              <w:spacing w:line="240" w:lineRule="auto"/>
              <w:jc w:val="center"/>
              <w:rPr>
                <w:rFonts w:ascii="宋体" w:hAnsi="宋体" w:eastAsia="宋体" w:cs="宋体"/>
                <w:color w:val="auto"/>
              </w:rPr>
            </w:pPr>
            <w:r>
              <w:rPr>
                <w:rStyle w:val="45"/>
                <w:rFonts w:hint="eastAsia" w:ascii="宋体" w:hAnsi="宋体" w:eastAsia="宋体" w:cs="宋体"/>
                <w:b w:val="0"/>
                <w:color w:val="auto"/>
                <w:sz w:val="21"/>
                <w:szCs w:val="21"/>
              </w:rPr>
              <w:t>技术建议书</w:t>
            </w:r>
          </w:p>
        </w:tc>
        <w:tc>
          <w:tcPr>
            <w:tcW w:w="677" w:type="dxa"/>
            <w:vMerge w:val="restart"/>
            <w:tcBorders>
              <w:top w:val="single" w:color="auto" w:sz="4" w:space="0"/>
              <w:left w:val="single" w:color="auto" w:sz="4" w:space="0"/>
            </w:tcBorders>
            <w:shd w:val="clear" w:color="auto" w:fill="FFFFFF"/>
            <w:tcMar>
              <w:top w:w="57" w:type="dxa"/>
              <w:left w:w="57" w:type="dxa"/>
              <w:bottom w:w="57" w:type="dxa"/>
              <w:right w:w="57" w:type="dxa"/>
            </w:tcMar>
            <w:vAlign w:val="center"/>
          </w:tcPr>
          <w:p w14:paraId="472E7456">
            <w:pPr>
              <w:pStyle w:val="42"/>
              <w:shd w:val="clear" w:color="auto" w:fill="auto"/>
              <w:tabs>
                <w:tab w:val="left" w:leader="underscore" w:pos="319"/>
              </w:tabs>
              <w:spacing w:line="240" w:lineRule="auto"/>
              <w:jc w:val="center"/>
              <w:rPr>
                <w:rFonts w:ascii="宋体" w:hAnsi="宋体" w:eastAsia="宋体" w:cs="宋体"/>
                <w:color w:val="auto"/>
              </w:rPr>
            </w:pPr>
            <w:r>
              <w:rPr>
                <w:rStyle w:val="45"/>
                <w:rFonts w:hint="eastAsia" w:ascii="宋体" w:hAnsi="宋体" w:eastAsia="宋体" w:cs="宋体"/>
                <w:b w:val="0"/>
                <w:color w:val="auto"/>
                <w:sz w:val="21"/>
                <w:szCs w:val="21"/>
                <w:lang w:eastAsia="zh-CN"/>
              </w:rPr>
              <w:t>35</w:t>
            </w:r>
            <w:r>
              <w:rPr>
                <w:rStyle w:val="45"/>
                <w:rFonts w:hint="eastAsia" w:ascii="宋体" w:hAnsi="宋体" w:eastAsia="宋体" w:cs="宋体"/>
                <w:b w:val="0"/>
                <w:color w:val="auto"/>
                <w:sz w:val="21"/>
                <w:szCs w:val="21"/>
              </w:rPr>
              <w:t>分</w:t>
            </w:r>
          </w:p>
        </w:tc>
        <w:tc>
          <w:tcPr>
            <w:tcW w:w="1424" w:type="dxa"/>
            <w:tcBorders>
              <w:top w:val="single" w:color="auto" w:sz="4" w:space="0"/>
              <w:left w:val="single" w:color="auto" w:sz="4" w:space="0"/>
            </w:tcBorders>
            <w:shd w:val="clear" w:color="auto" w:fill="FFFFFF"/>
            <w:tcMar>
              <w:top w:w="57" w:type="dxa"/>
              <w:left w:w="57" w:type="dxa"/>
              <w:bottom w:w="57" w:type="dxa"/>
              <w:right w:w="57" w:type="dxa"/>
            </w:tcMar>
            <w:vAlign w:val="center"/>
          </w:tcPr>
          <w:p w14:paraId="6D505FD4">
            <w:pPr>
              <w:pStyle w:val="42"/>
              <w:shd w:val="clear" w:color="auto" w:fill="auto"/>
              <w:spacing w:line="360" w:lineRule="exact"/>
              <w:jc w:val="center"/>
              <w:rPr>
                <w:rFonts w:ascii="宋体" w:hAnsi="宋体" w:eastAsia="宋体" w:cs="宋体"/>
                <w:color w:val="auto"/>
              </w:rPr>
            </w:pPr>
            <w:r>
              <w:rPr>
                <w:rStyle w:val="45"/>
                <w:rFonts w:hint="eastAsia" w:ascii="宋体" w:hAnsi="宋体" w:eastAsia="宋体" w:cs="宋体"/>
                <w:b w:val="0"/>
                <w:color w:val="auto"/>
                <w:sz w:val="21"/>
                <w:szCs w:val="21"/>
                <w:lang w:eastAsia="zh-CN"/>
              </w:rPr>
              <w:t>监理大纲（或监理方案）和措施</w:t>
            </w:r>
          </w:p>
        </w:tc>
        <w:tc>
          <w:tcPr>
            <w:tcW w:w="725" w:type="dxa"/>
            <w:tcBorders>
              <w:top w:val="single" w:color="auto" w:sz="4" w:space="0"/>
              <w:left w:val="single" w:color="auto" w:sz="4" w:space="0"/>
            </w:tcBorders>
            <w:shd w:val="clear" w:color="auto" w:fill="FFFFFF"/>
            <w:tcMar>
              <w:top w:w="57" w:type="dxa"/>
              <w:left w:w="57" w:type="dxa"/>
              <w:bottom w:w="57" w:type="dxa"/>
              <w:right w:w="57" w:type="dxa"/>
            </w:tcMar>
            <w:vAlign w:val="center"/>
          </w:tcPr>
          <w:p w14:paraId="68DA57FF">
            <w:pPr>
              <w:pStyle w:val="42"/>
              <w:shd w:val="clear" w:color="auto" w:fill="auto"/>
              <w:tabs>
                <w:tab w:val="left" w:leader="underscore" w:pos="319"/>
              </w:tabs>
              <w:spacing w:line="360" w:lineRule="exact"/>
              <w:jc w:val="center"/>
              <w:rPr>
                <w:rFonts w:ascii="宋体" w:hAnsi="宋体" w:eastAsia="宋体" w:cs="宋体"/>
                <w:color w:val="auto"/>
              </w:rPr>
            </w:pPr>
            <w:r>
              <w:rPr>
                <w:rStyle w:val="45"/>
                <w:rFonts w:hint="eastAsia" w:ascii="宋体" w:hAnsi="宋体" w:eastAsia="宋体" w:cs="宋体"/>
                <w:b w:val="0"/>
                <w:color w:val="auto"/>
                <w:sz w:val="21"/>
                <w:szCs w:val="21"/>
                <w:lang w:eastAsia="zh-CN"/>
              </w:rPr>
              <w:t>15</w:t>
            </w:r>
            <w:r>
              <w:rPr>
                <w:rStyle w:val="45"/>
                <w:rFonts w:hint="eastAsia" w:ascii="宋体" w:hAnsi="宋体" w:eastAsia="宋体" w:cs="宋体"/>
                <w:b w:val="0"/>
                <w:color w:val="auto"/>
                <w:sz w:val="21"/>
                <w:szCs w:val="21"/>
              </w:rPr>
              <w:t>分</w:t>
            </w:r>
          </w:p>
        </w:tc>
        <w:tc>
          <w:tcPr>
            <w:tcW w:w="3425"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5BB929D6">
            <w:pPr>
              <w:pStyle w:val="42"/>
              <w:shd w:val="clear" w:color="auto" w:fill="auto"/>
              <w:spacing w:line="360" w:lineRule="exact"/>
              <w:ind w:left="360" w:hanging="360"/>
              <w:rPr>
                <w:rStyle w:val="45"/>
                <w:rFonts w:ascii="宋体" w:hAnsi="宋体" w:eastAsia="宋体" w:cs="宋体"/>
                <w:b w:val="0"/>
                <w:color w:val="auto"/>
                <w:sz w:val="21"/>
                <w:szCs w:val="21"/>
                <w:lang w:eastAsia="zh-CN"/>
              </w:rPr>
            </w:pPr>
            <w:r>
              <w:rPr>
                <w:rFonts w:ascii="宋体" w:hAnsi="宋体" w:eastAsia="宋体" w:cs="宋体"/>
                <w:bCs/>
                <w:color w:val="auto"/>
                <w:shd w:val="clear" w:color="auto" w:fill="FFFFFF"/>
                <w:lang w:bidi="en-US"/>
              </w:rPr>
              <w:t>①</w:t>
            </w:r>
            <w:r>
              <w:rPr>
                <w:rStyle w:val="45"/>
                <w:rFonts w:hint="eastAsia" w:ascii="宋体" w:hAnsi="宋体" w:eastAsia="宋体" w:cs="宋体"/>
                <w:b w:val="0"/>
                <w:color w:val="auto"/>
                <w:sz w:val="21"/>
                <w:szCs w:val="21"/>
                <w:lang w:eastAsia="zh-CN"/>
              </w:rPr>
              <w:t>无相关内容得0分。</w:t>
            </w:r>
          </w:p>
          <w:p w14:paraId="6A02B158">
            <w:pPr>
              <w:pStyle w:val="42"/>
              <w:shd w:val="clear" w:color="auto" w:fill="auto"/>
              <w:spacing w:line="360" w:lineRule="exact"/>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②内容较完整、措施较好、可操作性较强9-12分（含12分）；</w:t>
            </w:r>
          </w:p>
          <w:p w14:paraId="62D0AC7A">
            <w:pPr>
              <w:pStyle w:val="42"/>
              <w:shd w:val="clear" w:color="auto" w:fill="auto"/>
              <w:spacing w:line="360" w:lineRule="exact"/>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③内容完整、措施全面、可操作性强12-15分（不含12分）。</w:t>
            </w:r>
          </w:p>
        </w:tc>
      </w:tr>
      <w:tr w14:paraId="75C66AEC">
        <w:tblPrEx>
          <w:tblCellMar>
            <w:top w:w="0" w:type="dxa"/>
            <w:left w:w="10" w:type="dxa"/>
            <w:bottom w:w="0" w:type="dxa"/>
            <w:right w:w="10" w:type="dxa"/>
          </w:tblCellMar>
        </w:tblPrEx>
        <w:trPr>
          <w:trHeight w:val="407" w:hRule="atLeast"/>
        </w:trPr>
        <w:tc>
          <w:tcPr>
            <w:tcW w:w="998" w:type="dxa"/>
            <w:vMerge w:val="continue"/>
            <w:tcBorders>
              <w:left w:val="single" w:color="auto" w:sz="4" w:space="0"/>
            </w:tcBorders>
            <w:shd w:val="clear" w:color="auto" w:fill="FFFFFF"/>
            <w:tcMar>
              <w:top w:w="57" w:type="dxa"/>
              <w:left w:w="57" w:type="dxa"/>
              <w:bottom w:w="57" w:type="dxa"/>
              <w:right w:w="57" w:type="dxa"/>
            </w:tcMar>
            <w:vAlign w:val="center"/>
          </w:tcPr>
          <w:p w14:paraId="7C4C15B7">
            <w:pPr>
              <w:pStyle w:val="42"/>
              <w:shd w:val="clear" w:color="auto" w:fill="auto"/>
              <w:spacing w:line="240" w:lineRule="auto"/>
              <w:jc w:val="center"/>
              <w:rPr>
                <w:rFonts w:ascii="宋体" w:hAnsi="宋体" w:eastAsia="宋体" w:cs="宋体"/>
                <w:color w:val="auto"/>
              </w:rPr>
            </w:pPr>
          </w:p>
        </w:tc>
        <w:tc>
          <w:tcPr>
            <w:tcW w:w="1067" w:type="dxa"/>
            <w:gridSpan w:val="2"/>
            <w:vMerge w:val="continue"/>
            <w:tcBorders>
              <w:left w:val="single" w:color="auto" w:sz="4" w:space="0"/>
            </w:tcBorders>
            <w:shd w:val="clear" w:color="auto" w:fill="FFFFFF"/>
            <w:tcMar>
              <w:top w:w="57" w:type="dxa"/>
              <w:left w:w="57" w:type="dxa"/>
              <w:bottom w:w="57" w:type="dxa"/>
              <w:right w:w="57" w:type="dxa"/>
            </w:tcMar>
            <w:vAlign w:val="center"/>
          </w:tcPr>
          <w:p w14:paraId="5D26A051">
            <w:pPr>
              <w:pStyle w:val="42"/>
              <w:shd w:val="clear" w:color="auto" w:fill="auto"/>
              <w:spacing w:line="240" w:lineRule="auto"/>
              <w:jc w:val="center"/>
              <w:rPr>
                <w:rFonts w:ascii="宋体" w:hAnsi="宋体" w:eastAsia="宋体" w:cs="宋体"/>
                <w:color w:val="auto"/>
              </w:rPr>
            </w:pPr>
          </w:p>
        </w:tc>
        <w:tc>
          <w:tcPr>
            <w:tcW w:w="677" w:type="dxa"/>
            <w:vMerge w:val="continue"/>
            <w:tcBorders>
              <w:left w:val="single" w:color="auto" w:sz="4" w:space="0"/>
            </w:tcBorders>
            <w:shd w:val="clear" w:color="auto" w:fill="FFFFFF"/>
            <w:tcMar>
              <w:top w:w="57" w:type="dxa"/>
              <w:left w:w="57" w:type="dxa"/>
              <w:bottom w:w="57" w:type="dxa"/>
              <w:right w:w="57" w:type="dxa"/>
            </w:tcMar>
            <w:vAlign w:val="center"/>
          </w:tcPr>
          <w:p w14:paraId="56DBD068">
            <w:pPr>
              <w:pStyle w:val="42"/>
              <w:shd w:val="clear" w:color="auto" w:fill="auto"/>
              <w:tabs>
                <w:tab w:val="left" w:leader="underscore" w:pos="319"/>
              </w:tabs>
              <w:spacing w:line="240" w:lineRule="auto"/>
              <w:jc w:val="center"/>
              <w:rPr>
                <w:rFonts w:ascii="宋体" w:hAnsi="宋体" w:eastAsia="宋体" w:cs="宋体"/>
                <w:color w:val="auto"/>
              </w:rPr>
            </w:pPr>
          </w:p>
        </w:tc>
        <w:tc>
          <w:tcPr>
            <w:tcW w:w="1424" w:type="dxa"/>
            <w:tcBorders>
              <w:top w:val="single" w:color="auto" w:sz="4" w:space="0"/>
              <w:left w:val="single" w:color="auto" w:sz="4" w:space="0"/>
            </w:tcBorders>
            <w:shd w:val="clear" w:color="auto" w:fill="FFFFFF"/>
            <w:tcMar>
              <w:top w:w="57" w:type="dxa"/>
              <w:left w:w="57" w:type="dxa"/>
              <w:bottom w:w="57" w:type="dxa"/>
              <w:right w:w="57" w:type="dxa"/>
            </w:tcMar>
            <w:vAlign w:val="center"/>
          </w:tcPr>
          <w:p w14:paraId="50CE065B">
            <w:pPr>
              <w:pStyle w:val="42"/>
              <w:shd w:val="clear" w:color="auto" w:fill="auto"/>
              <w:spacing w:line="360" w:lineRule="exact"/>
              <w:jc w:val="center"/>
              <w:rPr>
                <w:rFonts w:ascii="宋体" w:hAnsi="宋体" w:eastAsia="宋体" w:cs="宋体"/>
                <w:color w:val="auto"/>
              </w:rPr>
            </w:pPr>
            <w:r>
              <w:rPr>
                <w:rStyle w:val="45"/>
                <w:rFonts w:hint="eastAsia" w:ascii="宋体" w:hAnsi="宋体" w:eastAsia="宋体" w:cs="宋体"/>
                <w:b w:val="0"/>
                <w:color w:val="auto"/>
                <w:sz w:val="21"/>
                <w:szCs w:val="21"/>
                <w:lang w:eastAsia="zh-CN"/>
              </w:rPr>
              <w:t>本工程监理工作的重点与难点分析</w:t>
            </w:r>
          </w:p>
        </w:tc>
        <w:tc>
          <w:tcPr>
            <w:tcW w:w="725" w:type="dxa"/>
            <w:tcBorders>
              <w:top w:val="single" w:color="auto" w:sz="4" w:space="0"/>
              <w:left w:val="single" w:color="auto" w:sz="4" w:space="0"/>
            </w:tcBorders>
            <w:shd w:val="clear" w:color="auto" w:fill="FFFFFF"/>
            <w:tcMar>
              <w:top w:w="57" w:type="dxa"/>
              <w:left w:w="57" w:type="dxa"/>
              <w:bottom w:w="57" w:type="dxa"/>
              <w:right w:w="57" w:type="dxa"/>
            </w:tcMar>
            <w:vAlign w:val="center"/>
          </w:tcPr>
          <w:p w14:paraId="5C877A0B">
            <w:pPr>
              <w:pStyle w:val="42"/>
              <w:shd w:val="clear" w:color="auto" w:fill="auto"/>
              <w:tabs>
                <w:tab w:val="left" w:leader="underscore" w:pos="319"/>
              </w:tabs>
              <w:spacing w:line="360" w:lineRule="exact"/>
              <w:jc w:val="center"/>
              <w:rPr>
                <w:rFonts w:ascii="宋体" w:hAnsi="宋体" w:eastAsia="宋体" w:cs="宋体"/>
                <w:color w:val="auto"/>
              </w:rPr>
            </w:pPr>
            <w:r>
              <w:rPr>
                <w:rStyle w:val="45"/>
                <w:rFonts w:hint="eastAsia" w:ascii="宋体" w:hAnsi="宋体" w:eastAsia="宋体" w:cs="宋体"/>
                <w:b w:val="0"/>
                <w:color w:val="auto"/>
                <w:sz w:val="21"/>
                <w:szCs w:val="21"/>
                <w:lang w:eastAsia="zh-CN"/>
              </w:rPr>
              <w:t>10</w:t>
            </w:r>
            <w:r>
              <w:rPr>
                <w:rStyle w:val="45"/>
                <w:rFonts w:hint="eastAsia" w:ascii="宋体" w:hAnsi="宋体" w:eastAsia="宋体" w:cs="宋体"/>
                <w:b w:val="0"/>
                <w:color w:val="auto"/>
                <w:sz w:val="21"/>
                <w:szCs w:val="21"/>
              </w:rPr>
              <w:t>分</w:t>
            </w:r>
          </w:p>
        </w:tc>
        <w:tc>
          <w:tcPr>
            <w:tcW w:w="3425"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43399625">
            <w:pPr>
              <w:pStyle w:val="110"/>
              <w:spacing w:line="360" w:lineRule="exact"/>
              <w:ind w:left="360" w:hanging="360" w:firstLineChars="0"/>
              <w:rPr>
                <w:rFonts w:ascii="宋体" w:hAnsi="宋体" w:eastAsia="宋体" w:cs="宋体"/>
                <w:color w:val="auto"/>
                <w:szCs w:val="21"/>
              </w:rPr>
            </w:pPr>
            <w:r>
              <w:rPr>
                <w:rFonts w:ascii="宋体" w:hAnsi="宋体" w:eastAsia="宋体" w:cs="宋体"/>
                <w:color w:val="auto"/>
                <w:sz w:val="21"/>
                <w:szCs w:val="21"/>
              </w:rPr>
              <w:t>①</w:t>
            </w:r>
            <w:r>
              <w:rPr>
                <w:rStyle w:val="45"/>
                <w:rFonts w:hint="eastAsia" w:ascii="宋体" w:hAnsi="宋体" w:eastAsia="宋体" w:cs="宋体"/>
                <w:b w:val="0"/>
                <w:color w:val="auto"/>
                <w:sz w:val="21"/>
                <w:szCs w:val="21"/>
                <w:lang w:eastAsia="zh-CN"/>
              </w:rPr>
              <w:t>无相关内容得0分；</w:t>
            </w:r>
          </w:p>
          <w:p w14:paraId="6FE579FF">
            <w:pPr>
              <w:spacing w:line="360" w:lineRule="exact"/>
              <w:jc w:val="left"/>
              <w:rPr>
                <w:rFonts w:ascii="宋体" w:hAnsi="宋体" w:eastAsia="宋体" w:cs="宋体"/>
                <w:color w:val="auto"/>
                <w:szCs w:val="21"/>
              </w:rPr>
            </w:pPr>
            <w:r>
              <w:rPr>
                <w:rFonts w:hint="eastAsia" w:ascii="宋体" w:hAnsi="宋体" w:eastAsia="宋体" w:cs="宋体"/>
                <w:color w:val="auto"/>
                <w:szCs w:val="21"/>
              </w:rPr>
              <w:t>②对本工程重点难点分析较透彻，针对性较强6-8分（含8分）；</w:t>
            </w:r>
          </w:p>
          <w:p w14:paraId="3BE00C29">
            <w:pPr>
              <w:spacing w:line="360" w:lineRule="exact"/>
              <w:rPr>
                <w:rFonts w:ascii="宋体" w:hAnsi="宋体" w:eastAsia="宋体" w:cs="宋体"/>
                <w:color w:val="auto"/>
                <w:szCs w:val="21"/>
              </w:rPr>
            </w:pPr>
            <w:r>
              <w:rPr>
                <w:rFonts w:hint="eastAsia" w:ascii="宋体" w:hAnsi="宋体" w:eastAsia="宋体" w:cs="宋体"/>
                <w:color w:val="auto"/>
                <w:szCs w:val="21"/>
              </w:rPr>
              <w:t>③对本工程重点难点分析透彻，针对性强8-10分（不含8分）。</w:t>
            </w:r>
          </w:p>
        </w:tc>
      </w:tr>
      <w:tr w14:paraId="10ED5E28">
        <w:tblPrEx>
          <w:tblCellMar>
            <w:top w:w="0" w:type="dxa"/>
            <w:left w:w="10" w:type="dxa"/>
            <w:bottom w:w="0" w:type="dxa"/>
            <w:right w:w="10" w:type="dxa"/>
          </w:tblCellMar>
        </w:tblPrEx>
        <w:trPr>
          <w:trHeight w:val="402" w:hRule="atLeast"/>
        </w:trPr>
        <w:tc>
          <w:tcPr>
            <w:tcW w:w="998" w:type="dxa"/>
            <w:vMerge w:val="continue"/>
            <w:tcBorders>
              <w:left w:val="single" w:color="auto" w:sz="4" w:space="0"/>
              <w:bottom w:val="single" w:color="auto" w:sz="4" w:space="0"/>
            </w:tcBorders>
            <w:shd w:val="clear" w:color="auto" w:fill="FFFFFF"/>
            <w:tcMar>
              <w:top w:w="57" w:type="dxa"/>
              <w:left w:w="57" w:type="dxa"/>
              <w:bottom w:w="57" w:type="dxa"/>
              <w:right w:w="57" w:type="dxa"/>
            </w:tcMar>
            <w:vAlign w:val="center"/>
          </w:tcPr>
          <w:p w14:paraId="4BCB9260">
            <w:pPr>
              <w:jc w:val="center"/>
              <w:rPr>
                <w:rFonts w:ascii="宋体" w:hAnsi="宋体" w:eastAsia="宋体" w:cs="宋体"/>
                <w:color w:val="auto"/>
                <w:szCs w:val="21"/>
              </w:rPr>
            </w:pPr>
          </w:p>
        </w:tc>
        <w:tc>
          <w:tcPr>
            <w:tcW w:w="1067" w:type="dxa"/>
            <w:gridSpan w:val="2"/>
            <w:vMerge w:val="continue"/>
            <w:tcBorders>
              <w:left w:val="single" w:color="auto" w:sz="4" w:space="0"/>
              <w:bottom w:val="single" w:color="auto" w:sz="4" w:space="0"/>
            </w:tcBorders>
            <w:shd w:val="clear" w:color="auto" w:fill="FFFFFF"/>
            <w:tcMar>
              <w:top w:w="57" w:type="dxa"/>
              <w:left w:w="57" w:type="dxa"/>
              <w:bottom w:w="57" w:type="dxa"/>
              <w:right w:w="57" w:type="dxa"/>
            </w:tcMar>
            <w:vAlign w:val="center"/>
          </w:tcPr>
          <w:p w14:paraId="53AB57B6">
            <w:pPr>
              <w:jc w:val="center"/>
              <w:rPr>
                <w:rFonts w:ascii="宋体" w:hAnsi="宋体" w:eastAsia="宋体" w:cs="宋体"/>
                <w:color w:val="auto"/>
                <w:szCs w:val="21"/>
              </w:rPr>
            </w:pPr>
          </w:p>
        </w:tc>
        <w:tc>
          <w:tcPr>
            <w:tcW w:w="677" w:type="dxa"/>
            <w:vMerge w:val="continue"/>
            <w:tcBorders>
              <w:left w:val="single" w:color="auto" w:sz="4" w:space="0"/>
              <w:bottom w:val="single" w:color="auto" w:sz="4" w:space="0"/>
            </w:tcBorders>
            <w:shd w:val="clear" w:color="auto" w:fill="FFFFFF"/>
            <w:tcMar>
              <w:top w:w="57" w:type="dxa"/>
              <w:left w:w="57" w:type="dxa"/>
              <w:bottom w:w="57" w:type="dxa"/>
              <w:right w:w="57" w:type="dxa"/>
            </w:tcMar>
            <w:vAlign w:val="center"/>
          </w:tcPr>
          <w:p w14:paraId="5EF63A13">
            <w:pPr>
              <w:jc w:val="center"/>
              <w:rPr>
                <w:rFonts w:ascii="宋体" w:hAnsi="宋体" w:eastAsia="宋体" w:cs="宋体"/>
                <w:color w:val="auto"/>
                <w:szCs w:val="21"/>
              </w:rPr>
            </w:pPr>
          </w:p>
        </w:tc>
        <w:tc>
          <w:tcPr>
            <w:tcW w:w="1424"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4841B508">
            <w:pPr>
              <w:pStyle w:val="42"/>
              <w:shd w:val="clear" w:color="auto" w:fill="auto"/>
              <w:spacing w:line="360" w:lineRule="exact"/>
              <w:jc w:val="center"/>
              <w:rPr>
                <w:rFonts w:ascii="宋体" w:hAnsi="宋体" w:eastAsia="宋体" w:cs="宋体"/>
                <w:color w:val="auto"/>
              </w:rPr>
            </w:pPr>
            <w:r>
              <w:rPr>
                <w:rStyle w:val="45"/>
                <w:rFonts w:hint="eastAsia" w:ascii="宋体" w:hAnsi="宋体" w:eastAsia="宋体" w:cs="宋体"/>
                <w:b w:val="0"/>
                <w:color w:val="auto"/>
                <w:sz w:val="21"/>
                <w:szCs w:val="21"/>
              </w:rPr>
              <w:t>对本工程的建议</w:t>
            </w:r>
          </w:p>
        </w:tc>
        <w:tc>
          <w:tcPr>
            <w:tcW w:w="725"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5DF7DF48">
            <w:pPr>
              <w:pStyle w:val="42"/>
              <w:shd w:val="clear" w:color="auto" w:fill="auto"/>
              <w:tabs>
                <w:tab w:val="left" w:leader="underscore" w:pos="319"/>
              </w:tabs>
              <w:spacing w:line="360" w:lineRule="exact"/>
              <w:jc w:val="center"/>
              <w:rPr>
                <w:rStyle w:val="45"/>
                <w:rFonts w:ascii="宋体" w:hAnsi="宋体" w:eastAsia="宋体" w:cs="宋体"/>
                <w:b w:val="0"/>
                <w:color w:val="auto"/>
                <w:sz w:val="21"/>
                <w:szCs w:val="21"/>
              </w:rPr>
            </w:pPr>
            <w:r>
              <w:rPr>
                <w:rStyle w:val="45"/>
                <w:rFonts w:hint="eastAsia" w:ascii="宋体" w:hAnsi="宋体" w:eastAsia="宋体" w:cs="宋体"/>
                <w:b w:val="0"/>
                <w:color w:val="auto"/>
                <w:sz w:val="21"/>
                <w:szCs w:val="21"/>
              </w:rPr>
              <w:t>10分</w:t>
            </w:r>
          </w:p>
        </w:tc>
        <w:tc>
          <w:tcPr>
            <w:tcW w:w="3425"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02E6C9EF">
            <w:pPr>
              <w:spacing w:line="360" w:lineRule="exact"/>
              <w:rPr>
                <w:rFonts w:ascii="宋体" w:hAnsi="宋体" w:eastAsia="宋体" w:cs="宋体"/>
                <w:color w:val="auto"/>
                <w:szCs w:val="21"/>
              </w:rPr>
            </w:pPr>
            <w:r>
              <w:rPr>
                <w:rStyle w:val="45"/>
                <w:rFonts w:hint="eastAsia" w:ascii="宋体" w:hAnsi="宋体" w:eastAsia="宋体" w:cs="宋体"/>
                <w:b w:val="0"/>
                <w:color w:val="auto"/>
                <w:sz w:val="21"/>
                <w:szCs w:val="21"/>
                <w:lang w:eastAsia="zh-CN"/>
              </w:rPr>
              <w:t>①</w:t>
            </w:r>
            <w:r>
              <w:rPr>
                <w:rStyle w:val="45"/>
                <w:rFonts w:hint="eastAsia" w:ascii="宋体" w:hAnsi="宋体" w:eastAsia="宋体" w:cs="宋体"/>
                <w:b w:val="0"/>
                <w:bCs w:val="0"/>
                <w:color w:val="auto"/>
                <w:szCs w:val="21"/>
                <w:lang w:eastAsia="zh-CN"/>
              </w:rPr>
              <w:t>无</w:t>
            </w:r>
            <w:r>
              <w:rPr>
                <w:rStyle w:val="45"/>
                <w:rFonts w:hint="eastAsia" w:ascii="宋体" w:hAnsi="宋体" w:eastAsia="宋体" w:cs="宋体"/>
                <w:b w:val="0"/>
                <w:color w:val="auto"/>
                <w:sz w:val="21"/>
                <w:szCs w:val="21"/>
                <w:lang w:eastAsia="zh-CN"/>
              </w:rPr>
              <w:t>相关内容得0分；</w:t>
            </w:r>
          </w:p>
          <w:p w14:paraId="3558EFCB">
            <w:pPr>
              <w:spacing w:line="360" w:lineRule="exact"/>
              <w:jc w:val="left"/>
              <w:rPr>
                <w:rFonts w:ascii="宋体" w:hAnsi="宋体" w:eastAsia="宋体" w:cs="宋体"/>
                <w:color w:val="auto"/>
                <w:szCs w:val="21"/>
              </w:rPr>
            </w:pPr>
            <w:r>
              <w:rPr>
                <w:rFonts w:hint="eastAsia" w:ascii="宋体" w:hAnsi="宋体" w:eastAsia="宋体" w:cs="宋体"/>
                <w:color w:val="auto"/>
                <w:szCs w:val="21"/>
              </w:rPr>
              <w:t>②针对性较强、可操作性较强6-8分（含8分）；</w:t>
            </w:r>
          </w:p>
          <w:p w14:paraId="4E2C1DF1">
            <w:pPr>
              <w:spacing w:line="360" w:lineRule="exact"/>
              <w:rPr>
                <w:rFonts w:ascii="宋体" w:hAnsi="宋体" w:eastAsia="宋体" w:cs="宋体"/>
                <w:color w:val="auto"/>
                <w:szCs w:val="21"/>
              </w:rPr>
            </w:pPr>
            <w:r>
              <w:rPr>
                <w:rFonts w:hint="eastAsia" w:ascii="宋体" w:hAnsi="宋体" w:eastAsia="宋体" w:cs="宋体"/>
                <w:color w:val="auto"/>
                <w:szCs w:val="21"/>
              </w:rPr>
              <w:t>③针对性强、可操作性强8-10分（不含8分）。</w:t>
            </w:r>
          </w:p>
        </w:tc>
      </w:tr>
      <w:tr w14:paraId="12EB55CE">
        <w:tblPrEx>
          <w:tblCellMar>
            <w:top w:w="0" w:type="dxa"/>
            <w:left w:w="10" w:type="dxa"/>
            <w:bottom w:w="0" w:type="dxa"/>
            <w:right w:w="10" w:type="dxa"/>
          </w:tblCellMar>
        </w:tblPrEx>
        <w:trPr>
          <w:trHeight w:val="327" w:hRule="atLeast"/>
        </w:trPr>
        <w:tc>
          <w:tcPr>
            <w:tcW w:w="998"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7C863D5D">
            <w:pPr>
              <w:pStyle w:val="42"/>
              <w:shd w:val="clear" w:color="auto" w:fill="auto"/>
              <w:spacing w:line="240" w:lineRule="auto"/>
              <w:jc w:val="center"/>
              <w:rPr>
                <w:rFonts w:ascii="宋体" w:hAnsi="宋体" w:eastAsia="宋体" w:cs="宋体"/>
                <w:color w:val="auto"/>
              </w:rPr>
            </w:pPr>
            <w:r>
              <w:rPr>
                <w:rStyle w:val="62"/>
                <w:rFonts w:hint="eastAsia" w:ascii="宋体" w:hAnsi="宋体" w:eastAsia="宋体" w:cs="宋体"/>
                <w:color w:val="auto"/>
                <w:sz w:val="21"/>
                <w:szCs w:val="21"/>
              </w:rPr>
              <w:t>2.2</w:t>
            </w:r>
            <w:r>
              <w:rPr>
                <w:rStyle w:val="76"/>
                <w:rFonts w:hint="eastAsia" w:ascii="宋体" w:hAnsi="宋体" w:eastAsia="宋体" w:cs="宋体"/>
                <w:color w:val="auto"/>
                <w:sz w:val="21"/>
                <w:szCs w:val="21"/>
              </w:rPr>
              <w:t>.</w:t>
            </w:r>
            <w:r>
              <w:rPr>
                <w:rStyle w:val="62"/>
                <w:rFonts w:hint="eastAsia" w:ascii="宋体" w:hAnsi="宋体" w:eastAsia="宋体" w:cs="宋体"/>
                <w:color w:val="auto"/>
                <w:sz w:val="21"/>
                <w:szCs w:val="21"/>
              </w:rPr>
              <w:t>4</w:t>
            </w:r>
            <w:r>
              <w:rPr>
                <w:rStyle w:val="76"/>
                <w:rFonts w:hint="eastAsia" w:ascii="宋体" w:hAnsi="宋体" w:eastAsia="宋体" w:cs="宋体"/>
                <w:color w:val="auto"/>
                <w:sz w:val="21"/>
                <w:szCs w:val="21"/>
              </w:rPr>
              <w:t>(</w:t>
            </w:r>
            <w:r>
              <w:rPr>
                <w:rStyle w:val="62"/>
                <w:rFonts w:hint="eastAsia" w:ascii="宋体" w:hAnsi="宋体" w:eastAsia="宋体" w:cs="宋体"/>
                <w:color w:val="auto"/>
                <w:sz w:val="21"/>
                <w:szCs w:val="21"/>
              </w:rPr>
              <w:t>2</w:t>
            </w:r>
            <w:r>
              <w:rPr>
                <w:rStyle w:val="76"/>
                <w:rFonts w:hint="eastAsia" w:ascii="宋体" w:hAnsi="宋体" w:eastAsia="宋体" w:cs="宋体"/>
                <w:color w:val="auto"/>
                <w:sz w:val="21"/>
                <w:szCs w:val="21"/>
              </w:rPr>
              <w:t>)</w:t>
            </w:r>
          </w:p>
        </w:tc>
        <w:tc>
          <w:tcPr>
            <w:tcW w:w="1067" w:type="dxa"/>
            <w:gridSpan w:val="2"/>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4171EF55">
            <w:pPr>
              <w:pStyle w:val="42"/>
              <w:shd w:val="clear" w:color="auto" w:fill="auto"/>
              <w:spacing w:line="240" w:lineRule="auto"/>
              <w:jc w:val="center"/>
              <w:rPr>
                <w:rFonts w:ascii="宋体" w:hAnsi="宋体" w:eastAsia="宋体" w:cs="宋体"/>
                <w:color w:val="auto"/>
              </w:rPr>
            </w:pPr>
            <w:r>
              <w:rPr>
                <w:rStyle w:val="45"/>
                <w:rFonts w:hint="eastAsia" w:ascii="宋体" w:hAnsi="宋体" w:eastAsia="宋体" w:cs="宋体"/>
                <w:b w:val="0"/>
                <w:color w:val="auto"/>
                <w:sz w:val="21"/>
                <w:szCs w:val="21"/>
              </w:rPr>
              <w:t>主要人员</w:t>
            </w:r>
          </w:p>
        </w:tc>
        <w:tc>
          <w:tcPr>
            <w:tcW w:w="677"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6B8BBBA7">
            <w:pPr>
              <w:jc w:val="center"/>
              <w:rPr>
                <w:rFonts w:ascii="宋体" w:hAnsi="宋体" w:eastAsia="宋体" w:cs="宋体"/>
                <w:color w:val="auto"/>
                <w:szCs w:val="21"/>
              </w:rPr>
            </w:pPr>
            <w:r>
              <w:rPr>
                <w:rFonts w:hint="eastAsia" w:ascii="宋体" w:hAnsi="宋体" w:eastAsia="宋体" w:cs="宋体"/>
                <w:color w:val="auto"/>
              </w:rPr>
              <w:t>25</w:t>
            </w:r>
            <w:r>
              <w:rPr>
                <w:rFonts w:hint="eastAsia" w:ascii="宋体" w:hAnsi="宋体" w:eastAsia="宋体" w:cs="宋体"/>
                <w:color w:val="auto"/>
                <w:szCs w:val="21"/>
              </w:rPr>
              <w:t>分</w:t>
            </w:r>
          </w:p>
        </w:tc>
        <w:tc>
          <w:tcPr>
            <w:tcW w:w="1424"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63F8FA46">
            <w:pPr>
              <w:pStyle w:val="42"/>
              <w:shd w:val="clear" w:color="auto" w:fill="auto"/>
              <w:spacing w:line="360" w:lineRule="exact"/>
              <w:jc w:val="center"/>
              <w:rPr>
                <w:rFonts w:ascii="宋体" w:hAnsi="宋体" w:eastAsia="宋体" w:cs="宋体"/>
                <w:color w:val="auto"/>
              </w:rPr>
            </w:pPr>
            <w:r>
              <w:rPr>
                <w:rStyle w:val="45"/>
                <w:rFonts w:hint="eastAsia" w:ascii="宋体" w:hAnsi="宋体" w:eastAsia="宋体" w:cs="宋体"/>
                <w:b w:val="0"/>
                <w:color w:val="auto"/>
                <w:sz w:val="21"/>
                <w:szCs w:val="21"/>
                <w:lang w:eastAsia="zh-CN"/>
              </w:rPr>
              <w:t>总监理工程师任职资格与业绩</w:t>
            </w:r>
          </w:p>
        </w:tc>
        <w:tc>
          <w:tcPr>
            <w:tcW w:w="725"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0EA6220C">
            <w:pPr>
              <w:pStyle w:val="42"/>
              <w:shd w:val="clear" w:color="auto" w:fill="auto"/>
              <w:spacing w:line="360" w:lineRule="exact"/>
              <w:jc w:val="center"/>
              <w:rPr>
                <w:rFonts w:ascii="宋体" w:hAnsi="宋体" w:eastAsia="宋体" w:cs="宋体"/>
                <w:color w:val="auto"/>
              </w:rPr>
            </w:pPr>
            <w:r>
              <w:rPr>
                <w:rStyle w:val="45"/>
                <w:rFonts w:hint="eastAsia" w:ascii="宋体" w:hAnsi="宋体" w:eastAsia="宋体" w:cs="宋体"/>
                <w:b w:val="0"/>
                <w:color w:val="auto"/>
                <w:sz w:val="21"/>
                <w:szCs w:val="21"/>
                <w:lang w:eastAsia="zh-CN"/>
              </w:rPr>
              <w:t>25</w:t>
            </w:r>
            <w:r>
              <w:rPr>
                <w:rStyle w:val="45"/>
                <w:rFonts w:hint="eastAsia" w:ascii="宋体" w:hAnsi="宋体" w:eastAsia="宋体" w:cs="宋体"/>
                <w:b w:val="0"/>
                <w:color w:val="auto"/>
                <w:sz w:val="21"/>
                <w:szCs w:val="21"/>
              </w:rPr>
              <w:t>分</w:t>
            </w:r>
          </w:p>
        </w:tc>
        <w:tc>
          <w:tcPr>
            <w:tcW w:w="3425"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2FCC148D">
            <w:pPr>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满足资格审查条件（总监理工程师最低要求），得15分，加分情况如下：</w:t>
            </w:r>
          </w:p>
          <w:p w14:paraId="340874B1">
            <w:pPr>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①总监理工程师职称为高级工程师及以上的，加2分。</w:t>
            </w:r>
          </w:p>
          <w:p w14:paraId="51800262">
            <w:pPr>
              <w:spacing w:line="360" w:lineRule="exact"/>
              <w:jc w:val="left"/>
              <w:rPr>
                <w:rStyle w:val="53"/>
                <w:rFonts w:ascii="宋体" w:hAnsi="宋体" w:eastAsia="宋体" w:cs="宋体"/>
                <w:b w:val="0"/>
                <w:color w:val="auto"/>
                <w:sz w:val="21"/>
                <w:szCs w:val="21"/>
                <w:lang w:val="en-US" w:eastAsia="zh-CN"/>
              </w:rPr>
            </w:pPr>
            <w:r>
              <w:rPr>
                <w:rFonts w:hint="eastAsia" w:ascii="宋体" w:hAnsi="宋体" w:eastAsia="宋体" w:cs="宋体"/>
                <w:color w:val="auto"/>
                <w:szCs w:val="21"/>
                <w:highlight w:val="none"/>
              </w:rPr>
              <w:t>②</w:t>
            </w:r>
            <w:r>
              <w:rPr>
                <w:rStyle w:val="53"/>
                <w:rFonts w:hint="eastAsia" w:ascii="宋体" w:hAnsi="宋体" w:eastAsia="宋体" w:cs="宋体"/>
                <w:b w:val="0"/>
                <w:color w:val="auto"/>
                <w:sz w:val="21"/>
                <w:szCs w:val="21"/>
                <w:highlight w:val="none"/>
                <w:lang w:val="en-US" w:eastAsia="zh-CN"/>
              </w:rPr>
              <w:t>总</w:t>
            </w:r>
            <w:r>
              <w:rPr>
                <w:rStyle w:val="53"/>
                <w:rFonts w:hint="eastAsia" w:ascii="宋体" w:hAnsi="宋体" w:eastAsia="宋体" w:cs="宋体"/>
                <w:b w:val="0"/>
                <w:color w:val="auto"/>
                <w:sz w:val="21"/>
                <w:szCs w:val="21"/>
                <w:lang w:val="en-US" w:eastAsia="zh-CN"/>
              </w:rPr>
              <w:t>监理工程师完成的业绩，每提供1项二级及以上公路工程（同时含有路基工程、沥青混凝土路面工程）施工项目监理服务且交工验收达到合格标准加4分，最多加8分。</w:t>
            </w:r>
          </w:p>
          <w:p w14:paraId="2A7EAD06">
            <w:pPr>
              <w:spacing w:line="360" w:lineRule="exact"/>
              <w:jc w:val="left"/>
              <w:rPr>
                <w:rStyle w:val="53"/>
                <w:rFonts w:ascii="宋体" w:hAnsi="宋体" w:eastAsia="宋体" w:cs="宋体"/>
                <w:b w:val="0"/>
                <w:color w:val="auto"/>
                <w:sz w:val="21"/>
                <w:szCs w:val="21"/>
                <w:lang w:val="en-US" w:eastAsia="zh-CN"/>
              </w:rPr>
            </w:pPr>
            <w:r>
              <w:rPr>
                <w:rStyle w:val="53"/>
                <w:rFonts w:hint="eastAsia" w:ascii="宋体" w:hAnsi="宋体" w:eastAsia="宋体" w:cs="宋体"/>
                <w:b w:val="0"/>
                <w:color w:val="auto"/>
                <w:sz w:val="21"/>
                <w:szCs w:val="21"/>
                <w:lang w:val="en-US" w:eastAsia="zh-CN"/>
              </w:rPr>
              <w:t>(注：总监理工程师个人业绩加分条件中，加分项不设年限要求。业绩要求中的公路工程是指新建、改扩建（不含养护工程项目，所提供材料需能体现总监理工程师。)</w:t>
            </w:r>
          </w:p>
        </w:tc>
      </w:tr>
      <w:tr w14:paraId="3E57E7E1">
        <w:tblPrEx>
          <w:tblCellMar>
            <w:top w:w="0" w:type="dxa"/>
            <w:left w:w="10" w:type="dxa"/>
            <w:bottom w:w="0" w:type="dxa"/>
            <w:right w:w="10" w:type="dxa"/>
          </w:tblCellMar>
        </w:tblPrEx>
        <w:trPr>
          <w:trHeight w:val="20" w:hRule="atLeast"/>
        </w:trPr>
        <w:tc>
          <w:tcPr>
            <w:tcW w:w="998"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7ED80583">
            <w:pPr>
              <w:pStyle w:val="42"/>
              <w:shd w:val="clear" w:color="auto" w:fill="auto"/>
              <w:spacing w:line="240" w:lineRule="auto"/>
              <w:jc w:val="center"/>
              <w:rPr>
                <w:rFonts w:ascii="宋体" w:hAnsi="宋体" w:eastAsia="宋体" w:cs="宋体"/>
                <w:color w:val="auto"/>
              </w:rPr>
            </w:pPr>
            <w:r>
              <w:rPr>
                <w:rStyle w:val="62"/>
                <w:rFonts w:hint="eastAsia" w:ascii="宋体" w:hAnsi="宋体" w:eastAsia="宋体" w:cs="宋体"/>
                <w:color w:val="auto"/>
                <w:sz w:val="21"/>
                <w:szCs w:val="21"/>
              </w:rPr>
              <w:t>2.2</w:t>
            </w:r>
            <w:r>
              <w:rPr>
                <w:rStyle w:val="76"/>
                <w:rFonts w:hint="eastAsia" w:ascii="宋体" w:hAnsi="宋体" w:eastAsia="宋体" w:cs="宋体"/>
                <w:color w:val="auto"/>
                <w:sz w:val="21"/>
                <w:szCs w:val="21"/>
              </w:rPr>
              <w:t>.</w:t>
            </w:r>
            <w:r>
              <w:rPr>
                <w:rStyle w:val="62"/>
                <w:rFonts w:hint="eastAsia" w:ascii="宋体" w:hAnsi="宋体" w:eastAsia="宋体" w:cs="宋体"/>
                <w:color w:val="auto"/>
                <w:sz w:val="21"/>
                <w:szCs w:val="21"/>
              </w:rPr>
              <w:t>4</w:t>
            </w:r>
            <w:r>
              <w:rPr>
                <w:rStyle w:val="76"/>
                <w:rFonts w:hint="eastAsia" w:ascii="宋体" w:hAnsi="宋体" w:eastAsia="宋体" w:cs="宋体"/>
                <w:color w:val="auto"/>
                <w:sz w:val="21"/>
                <w:szCs w:val="21"/>
              </w:rPr>
              <w:t>(</w:t>
            </w:r>
            <w:r>
              <w:rPr>
                <w:rStyle w:val="62"/>
                <w:rFonts w:hint="eastAsia" w:ascii="宋体" w:hAnsi="宋体" w:eastAsia="宋体" w:cs="宋体"/>
                <w:color w:val="auto"/>
                <w:sz w:val="21"/>
                <w:szCs w:val="21"/>
              </w:rPr>
              <w:t>3</w:t>
            </w:r>
            <w:r>
              <w:rPr>
                <w:rStyle w:val="76"/>
                <w:rFonts w:hint="eastAsia" w:ascii="宋体" w:hAnsi="宋体" w:eastAsia="宋体" w:cs="宋体"/>
                <w:color w:val="auto"/>
                <w:sz w:val="21"/>
                <w:szCs w:val="21"/>
              </w:rPr>
              <w:t>)</w:t>
            </w:r>
          </w:p>
        </w:tc>
        <w:tc>
          <w:tcPr>
            <w:tcW w:w="1067" w:type="dxa"/>
            <w:gridSpan w:val="2"/>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7D9AE56D">
            <w:pPr>
              <w:pStyle w:val="42"/>
              <w:shd w:val="clear" w:color="auto" w:fill="auto"/>
              <w:spacing w:line="240" w:lineRule="auto"/>
              <w:jc w:val="center"/>
              <w:rPr>
                <w:rFonts w:ascii="宋体" w:hAnsi="宋体" w:eastAsia="宋体" w:cs="宋体"/>
                <w:color w:val="auto"/>
              </w:rPr>
            </w:pPr>
            <w:r>
              <w:rPr>
                <w:rStyle w:val="45"/>
                <w:rFonts w:hint="eastAsia" w:ascii="宋体" w:hAnsi="宋体" w:eastAsia="宋体" w:cs="宋体"/>
                <w:b w:val="0"/>
                <w:color w:val="auto"/>
                <w:sz w:val="21"/>
                <w:szCs w:val="21"/>
              </w:rPr>
              <w:t>评标价</w:t>
            </w:r>
          </w:p>
        </w:tc>
        <w:tc>
          <w:tcPr>
            <w:tcW w:w="677"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0B0F6AD7">
            <w:pPr>
              <w:pStyle w:val="42"/>
              <w:shd w:val="clear" w:color="auto" w:fill="auto"/>
              <w:spacing w:line="240" w:lineRule="auto"/>
              <w:jc w:val="center"/>
              <w:rPr>
                <w:rFonts w:ascii="宋体" w:hAnsi="宋体" w:eastAsia="宋体" w:cs="宋体"/>
                <w:color w:val="auto"/>
              </w:rPr>
            </w:pPr>
            <w:r>
              <w:rPr>
                <w:rStyle w:val="45"/>
                <w:rFonts w:hint="eastAsia" w:ascii="宋体" w:hAnsi="宋体" w:eastAsia="宋体" w:cs="宋体"/>
                <w:b w:val="0"/>
                <w:color w:val="auto"/>
                <w:sz w:val="21"/>
                <w:szCs w:val="21"/>
                <w:lang w:eastAsia="zh-CN"/>
              </w:rPr>
              <w:t>10</w:t>
            </w:r>
            <w:r>
              <w:rPr>
                <w:rStyle w:val="45"/>
                <w:rFonts w:hint="eastAsia" w:ascii="宋体" w:hAnsi="宋体" w:eastAsia="宋体" w:cs="宋体"/>
                <w:b w:val="0"/>
                <w:color w:val="auto"/>
                <w:sz w:val="21"/>
                <w:szCs w:val="21"/>
              </w:rPr>
              <w:t>分</w:t>
            </w:r>
          </w:p>
        </w:tc>
        <w:tc>
          <w:tcPr>
            <w:tcW w:w="5574" w:type="dxa"/>
            <w:gridSpan w:val="3"/>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3061B1EE">
            <w:pPr>
              <w:pStyle w:val="42"/>
              <w:shd w:val="clear" w:color="auto" w:fill="auto"/>
              <w:spacing w:line="300" w:lineRule="auto"/>
              <w:jc w:val="both"/>
              <w:rPr>
                <w:rFonts w:ascii="宋体" w:hAnsi="宋体" w:eastAsia="宋体" w:cs="宋体"/>
                <w:color w:val="auto"/>
              </w:rPr>
            </w:pPr>
            <w:r>
              <w:rPr>
                <w:rStyle w:val="45"/>
                <w:rFonts w:hint="eastAsia" w:ascii="宋体" w:hAnsi="宋体" w:eastAsia="宋体" w:cs="宋体"/>
                <w:b w:val="0"/>
                <w:color w:val="auto"/>
                <w:sz w:val="21"/>
                <w:szCs w:val="21"/>
                <w:lang w:eastAsia="zh-CN"/>
              </w:rPr>
              <w:t>评标价得分计算公式示例：</w:t>
            </w:r>
          </w:p>
          <w:p w14:paraId="29E0B65C">
            <w:pPr>
              <w:pStyle w:val="42"/>
              <w:shd w:val="clear" w:color="auto" w:fill="auto"/>
              <w:spacing w:line="300" w:lineRule="auto"/>
              <w:jc w:val="both"/>
              <w:rPr>
                <w:rFonts w:ascii="宋体" w:hAnsi="宋体" w:eastAsia="宋体" w:cs="宋体"/>
                <w:color w:val="auto"/>
              </w:rPr>
            </w:pPr>
            <w:r>
              <w:rPr>
                <w:rStyle w:val="45"/>
                <w:rFonts w:hint="eastAsia" w:ascii="宋体" w:hAnsi="宋体" w:eastAsia="宋体" w:cs="宋体"/>
                <w:b w:val="0"/>
                <w:color w:val="auto"/>
                <w:sz w:val="21"/>
                <w:szCs w:val="21"/>
                <w:lang w:eastAsia="zh-CN"/>
              </w:rPr>
              <w:t>(1)如果投标人的评标价＞评标基准价，则评标价得分=</w:t>
            </w:r>
            <w:r>
              <w:rPr>
                <w:rStyle w:val="62"/>
                <w:rFonts w:hint="eastAsia" w:ascii="宋体" w:hAnsi="宋体" w:eastAsia="宋体" w:cs="宋体"/>
                <w:color w:val="auto"/>
                <w:sz w:val="21"/>
                <w:szCs w:val="21"/>
                <w:lang w:eastAsia="zh-CN"/>
              </w:rPr>
              <w:t>F</w:t>
            </w:r>
            <w:r>
              <w:rPr>
                <w:rStyle w:val="45"/>
                <w:rFonts w:hint="eastAsia" w:ascii="宋体" w:hAnsi="宋体" w:eastAsia="宋体" w:cs="宋体"/>
                <w:color w:val="auto"/>
                <w:lang w:eastAsia="zh-CN"/>
              </w:rPr>
              <w:t>-</w:t>
            </w:r>
            <w:r>
              <w:rPr>
                <w:rStyle w:val="45"/>
                <w:rFonts w:hint="eastAsia" w:ascii="宋体" w:hAnsi="宋体" w:eastAsia="宋体" w:cs="宋体"/>
                <w:b w:val="0"/>
                <w:color w:val="auto"/>
                <w:sz w:val="21"/>
                <w:szCs w:val="21"/>
                <w:lang w:eastAsia="zh-CN"/>
              </w:rPr>
              <w:t>偏差率×100×E1；</w:t>
            </w:r>
          </w:p>
          <w:p w14:paraId="36938B52">
            <w:pPr>
              <w:pStyle w:val="42"/>
              <w:shd w:val="clear" w:color="auto" w:fill="auto"/>
              <w:spacing w:line="300" w:lineRule="auto"/>
              <w:jc w:val="both"/>
              <w:rPr>
                <w:rFonts w:ascii="宋体" w:hAnsi="宋体" w:eastAsia="宋体" w:cs="宋体"/>
                <w:color w:val="auto"/>
              </w:rPr>
            </w:pPr>
            <w:r>
              <w:rPr>
                <w:rStyle w:val="45"/>
                <w:rFonts w:hint="eastAsia" w:ascii="宋体" w:hAnsi="宋体" w:eastAsia="宋体" w:cs="宋体"/>
                <w:b w:val="0"/>
                <w:color w:val="auto"/>
                <w:sz w:val="21"/>
                <w:szCs w:val="21"/>
                <w:lang w:eastAsia="zh-CN"/>
              </w:rPr>
              <w:t>(2)如果投标人的评标价≤评标基准价，则评标价得分=</w:t>
            </w:r>
            <w:r>
              <w:rPr>
                <w:rStyle w:val="62"/>
                <w:rFonts w:hint="eastAsia" w:ascii="宋体" w:hAnsi="宋体" w:eastAsia="宋体" w:cs="宋体"/>
                <w:color w:val="auto"/>
                <w:sz w:val="21"/>
                <w:szCs w:val="21"/>
                <w:lang w:eastAsia="zh-CN"/>
              </w:rPr>
              <w:t>F</w:t>
            </w:r>
            <w:r>
              <w:rPr>
                <w:rStyle w:val="45"/>
                <w:rFonts w:hint="eastAsia" w:ascii="宋体" w:hAnsi="宋体" w:eastAsia="宋体" w:cs="宋体"/>
                <w:b w:val="0"/>
                <w:color w:val="auto"/>
                <w:sz w:val="21"/>
                <w:szCs w:val="21"/>
                <w:lang w:eastAsia="zh-CN"/>
              </w:rPr>
              <w:t>+偏差率×100×E2。</w:t>
            </w:r>
          </w:p>
          <w:p w14:paraId="0E4C87F4">
            <w:pPr>
              <w:pStyle w:val="42"/>
              <w:shd w:val="clear" w:color="auto" w:fill="auto"/>
              <w:spacing w:line="300" w:lineRule="auto"/>
              <w:jc w:val="both"/>
              <w:rPr>
                <w:rFonts w:ascii="宋体" w:hAnsi="宋体" w:eastAsia="宋体" w:cs="宋体"/>
                <w:color w:val="auto"/>
              </w:rPr>
            </w:pPr>
            <w:r>
              <w:rPr>
                <w:rStyle w:val="45"/>
                <w:rFonts w:hint="eastAsia" w:ascii="宋体" w:hAnsi="宋体" w:eastAsia="宋体" w:cs="宋体"/>
                <w:b w:val="0"/>
                <w:color w:val="auto"/>
                <w:sz w:val="21"/>
                <w:szCs w:val="21"/>
                <w:lang w:eastAsia="zh-CN"/>
              </w:rPr>
              <w:t>其中：</w:t>
            </w:r>
            <w:r>
              <w:rPr>
                <w:rStyle w:val="62"/>
                <w:rFonts w:hint="eastAsia" w:ascii="宋体" w:hAnsi="宋体" w:eastAsia="宋体" w:cs="宋体"/>
                <w:color w:val="auto"/>
                <w:sz w:val="21"/>
                <w:szCs w:val="21"/>
                <w:lang w:eastAsia="zh-CN"/>
              </w:rPr>
              <w:t>F</w:t>
            </w:r>
            <w:r>
              <w:rPr>
                <w:rStyle w:val="45"/>
                <w:rFonts w:hint="eastAsia" w:ascii="宋体" w:hAnsi="宋体" w:eastAsia="宋体" w:cs="宋体"/>
                <w:b w:val="0"/>
                <w:color w:val="auto"/>
                <w:sz w:val="21"/>
                <w:szCs w:val="21"/>
                <w:lang w:eastAsia="zh-CN"/>
              </w:rPr>
              <w:t>是评标价所占的权重分值，</w:t>
            </w:r>
            <w:r>
              <w:rPr>
                <w:rStyle w:val="62"/>
                <w:rFonts w:hint="eastAsia" w:ascii="宋体" w:hAnsi="宋体" w:eastAsia="宋体" w:cs="宋体"/>
                <w:color w:val="auto"/>
                <w:sz w:val="21"/>
                <w:szCs w:val="21"/>
                <w:lang w:eastAsia="zh-CN"/>
              </w:rPr>
              <w:t>E</w:t>
            </w:r>
            <w:r>
              <w:rPr>
                <w:rStyle w:val="62"/>
                <w:rFonts w:hint="eastAsia" w:ascii="宋体" w:hAnsi="宋体" w:eastAsia="宋体" w:cs="宋体"/>
                <w:color w:val="auto"/>
                <w:sz w:val="21"/>
                <w:szCs w:val="21"/>
                <w:vertAlign w:val="subscript"/>
                <w:lang w:eastAsia="zh-CN"/>
              </w:rPr>
              <w:t>1</w:t>
            </w:r>
            <w:r>
              <w:rPr>
                <w:rStyle w:val="45"/>
                <w:rFonts w:hint="eastAsia" w:ascii="宋体" w:hAnsi="宋体" w:eastAsia="宋体" w:cs="宋体"/>
                <w:b w:val="0"/>
                <w:color w:val="auto"/>
                <w:sz w:val="21"/>
                <w:szCs w:val="21"/>
                <w:lang w:eastAsia="zh-CN"/>
              </w:rPr>
              <w:t>是评标价每高于评标基准价一个百分点的扣分值，</w:t>
            </w:r>
            <w:r>
              <w:rPr>
                <w:rStyle w:val="62"/>
                <w:rFonts w:hint="eastAsia" w:ascii="宋体" w:hAnsi="宋体" w:eastAsia="宋体" w:cs="宋体"/>
                <w:color w:val="auto"/>
                <w:sz w:val="21"/>
                <w:szCs w:val="21"/>
                <w:lang w:eastAsia="zh-CN"/>
              </w:rPr>
              <w:t>E</w:t>
            </w:r>
            <w:r>
              <w:rPr>
                <w:rStyle w:val="62"/>
                <w:rFonts w:hint="eastAsia" w:ascii="宋体" w:hAnsi="宋体" w:eastAsia="宋体" w:cs="宋体"/>
                <w:color w:val="auto"/>
                <w:sz w:val="21"/>
                <w:szCs w:val="21"/>
                <w:vertAlign w:val="subscript"/>
                <w:lang w:eastAsia="zh-CN"/>
              </w:rPr>
              <w:t>2</w:t>
            </w:r>
            <w:r>
              <w:rPr>
                <w:rStyle w:val="45"/>
                <w:rFonts w:hint="eastAsia" w:ascii="宋体" w:hAnsi="宋体" w:eastAsia="宋体" w:cs="宋体"/>
                <w:b w:val="0"/>
                <w:color w:val="auto"/>
                <w:sz w:val="21"/>
                <w:szCs w:val="21"/>
                <w:lang w:eastAsia="zh-CN"/>
              </w:rPr>
              <w:t>是评标价每低于评标基准价一个百分点的扣分值；</w:t>
            </w:r>
            <w:r>
              <w:rPr>
                <w:rStyle w:val="62"/>
                <w:rFonts w:hint="eastAsia" w:ascii="宋体" w:hAnsi="宋体" w:eastAsia="宋体" w:cs="宋体"/>
                <w:color w:val="auto"/>
                <w:sz w:val="21"/>
                <w:szCs w:val="21"/>
                <w:lang w:eastAsia="zh-CN"/>
              </w:rPr>
              <w:t>E</w:t>
            </w:r>
            <w:r>
              <w:rPr>
                <w:rStyle w:val="62"/>
                <w:rFonts w:hint="eastAsia" w:ascii="宋体" w:hAnsi="宋体" w:eastAsia="宋体" w:cs="宋体"/>
                <w:color w:val="auto"/>
                <w:sz w:val="21"/>
                <w:szCs w:val="21"/>
                <w:vertAlign w:val="subscript"/>
                <w:lang w:eastAsia="zh-CN"/>
              </w:rPr>
              <w:t xml:space="preserve">1 </w:t>
            </w:r>
            <w:r>
              <w:rPr>
                <w:rStyle w:val="45"/>
                <w:rFonts w:hint="eastAsia" w:ascii="宋体" w:hAnsi="宋体" w:eastAsia="宋体" w:cs="宋体"/>
                <w:b w:val="0"/>
                <w:color w:val="auto"/>
                <w:sz w:val="21"/>
                <w:szCs w:val="21"/>
                <w:lang w:eastAsia="zh-CN"/>
              </w:rPr>
              <w:t>=1.5；</w:t>
            </w:r>
            <w:r>
              <w:rPr>
                <w:rStyle w:val="62"/>
                <w:rFonts w:hint="eastAsia" w:ascii="宋体" w:hAnsi="宋体" w:eastAsia="宋体" w:cs="宋体"/>
                <w:color w:val="auto"/>
                <w:sz w:val="21"/>
                <w:szCs w:val="21"/>
                <w:lang w:eastAsia="zh-CN"/>
              </w:rPr>
              <w:t>E</w:t>
            </w:r>
            <w:r>
              <w:rPr>
                <w:rStyle w:val="45"/>
                <w:rFonts w:hint="eastAsia" w:ascii="宋体" w:hAnsi="宋体" w:eastAsia="宋体" w:cs="宋体"/>
                <w:b w:val="0"/>
                <w:color w:val="auto"/>
                <w:sz w:val="21"/>
                <w:szCs w:val="21"/>
                <w:vertAlign w:val="subscript"/>
                <w:lang w:eastAsia="zh-CN"/>
              </w:rPr>
              <w:t>2</w:t>
            </w:r>
            <w:r>
              <w:rPr>
                <w:rStyle w:val="45"/>
                <w:rFonts w:hint="eastAsia" w:ascii="宋体" w:hAnsi="宋体" w:eastAsia="宋体" w:cs="宋体"/>
                <w:b w:val="0"/>
                <w:color w:val="auto"/>
                <w:sz w:val="21"/>
                <w:szCs w:val="21"/>
                <w:lang w:eastAsia="zh-CN"/>
              </w:rPr>
              <w:t>=1。</w:t>
            </w:r>
          </w:p>
        </w:tc>
      </w:tr>
      <w:tr w14:paraId="5B863A5E">
        <w:tblPrEx>
          <w:tblCellMar>
            <w:top w:w="0" w:type="dxa"/>
            <w:left w:w="10" w:type="dxa"/>
            <w:bottom w:w="0" w:type="dxa"/>
            <w:right w:w="10" w:type="dxa"/>
          </w:tblCellMar>
        </w:tblPrEx>
        <w:trPr>
          <w:trHeight w:val="2490" w:hRule="atLeast"/>
        </w:trPr>
        <w:tc>
          <w:tcPr>
            <w:tcW w:w="998" w:type="dxa"/>
            <w:vMerge w:val="restart"/>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4B241513">
            <w:pPr>
              <w:pStyle w:val="42"/>
              <w:shd w:val="clear" w:color="auto" w:fill="auto"/>
              <w:spacing w:line="240" w:lineRule="auto"/>
              <w:jc w:val="center"/>
              <w:rPr>
                <w:rFonts w:ascii="宋体" w:hAnsi="宋体" w:eastAsia="宋体" w:cs="宋体"/>
                <w:color w:val="auto"/>
              </w:rPr>
            </w:pPr>
            <w:r>
              <w:rPr>
                <w:rStyle w:val="62"/>
                <w:rFonts w:hint="eastAsia" w:ascii="宋体" w:hAnsi="宋体" w:eastAsia="宋体" w:cs="宋体"/>
                <w:color w:val="auto"/>
                <w:sz w:val="21"/>
                <w:szCs w:val="21"/>
              </w:rPr>
              <w:t>2.2</w:t>
            </w:r>
            <w:r>
              <w:rPr>
                <w:rStyle w:val="76"/>
                <w:rFonts w:hint="eastAsia" w:ascii="宋体" w:hAnsi="宋体" w:eastAsia="宋体" w:cs="宋体"/>
                <w:color w:val="auto"/>
                <w:sz w:val="21"/>
                <w:szCs w:val="21"/>
              </w:rPr>
              <w:t>.</w:t>
            </w:r>
            <w:r>
              <w:rPr>
                <w:rStyle w:val="62"/>
                <w:rFonts w:hint="eastAsia" w:ascii="宋体" w:hAnsi="宋体" w:eastAsia="宋体" w:cs="宋体"/>
                <w:color w:val="auto"/>
                <w:sz w:val="21"/>
                <w:szCs w:val="21"/>
              </w:rPr>
              <w:t>4</w:t>
            </w:r>
            <w:r>
              <w:rPr>
                <w:rStyle w:val="76"/>
                <w:rFonts w:hint="eastAsia" w:ascii="宋体" w:hAnsi="宋体" w:eastAsia="宋体" w:cs="宋体"/>
                <w:color w:val="auto"/>
                <w:sz w:val="21"/>
                <w:szCs w:val="21"/>
              </w:rPr>
              <w:t>(</w:t>
            </w:r>
            <w:r>
              <w:rPr>
                <w:rStyle w:val="62"/>
                <w:rFonts w:hint="eastAsia" w:ascii="宋体" w:hAnsi="宋体" w:eastAsia="宋体" w:cs="宋体"/>
                <w:color w:val="auto"/>
                <w:sz w:val="21"/>
                <w:szCs w:val="21"/>
              </w:rPr>
              <w:t>4</w:t>
            </w:r>
            <w:r>
              <w:rPr>
                <w:rStyle w:val="76"/>
                <w:rFonts w:hint="eastAsia" w:ascii="宋体" w:hAnsi="宋体" w:eastAsia="宋体" w:cs="宋体"/>
                <w:color w:val="auto"/>
                <w:sz w:val="21"/>
                <w:szCs w:val="21"/>
              </w:rPr>
              <w:t>)</w:t>
            </w:r>
          </w:p>
        </w:tc>
        <w:tc>
          <w:tcPr>
            <w:tcW w:w="372" w:type="dxa"/>
            <w:vMerge w:val="restart"/>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081224D9">
            <w:pPr>
              <w:pStyle w:val="42"/>
              <w:shd w:val="clear" w:color="auto" w:fill="auto"/>
              <w:spacing w:line="240" w:lineRule="auto"/>
              <w:jc w:val="center"/>
              <w:rPr>
                <w:rStyle w:val="45"/>
                <w:rFonts w:ascii="宋体" w:hAnsi="宋体" w:eastAsia="宋体" w:cs="宋体"/>
                <w:b w:val="0"/>
                <w:color w:val="auto"/>
                <w:sz w:val="21"/>
                <w:szCs w:val="21"/>
              </w:rPr>
            </w:pPr>
            <w:r>
              <w:rPr>
                <w:rStyle w:val="45"/>
                <w:rFonts w:hint="eastAsia" w:ascii="宋体" w:hAnsi="宋体" w:eastAsia="宋体" w:cs="宋体"/>
                <w:b w:val="0"/>
                <w:color w:val="auto"/>
                <w:sz w:val="21"/>
                <w:szCs w:val="21"/>
              </w:rPr>
              <w:t>其</w:t>
            </w:r>
          </w:p>
          <w:p w14:paraId="6AC52138">
            <w:pPr>
              <w:pStyle w:val="42"/>
              <w:shd w:val="clear" w:color="auto" w:fill="auto"/>
              <w:spacing w:line="240" w:lineRule="auto"/>
              <w:jc w:val="center"/>
              <w:rPr>
                <w:rStyle w:val="45"/>
                <w:rFonts w:ascii="宋体" w:hAnsi="宋体" w:eastAsia="宋体" w:cs="宋体"/>
                <w:b w:val="0"/>
                <w:color w:val="auto"/>
                <w:sz w:val="21"/>
                <w:szCs w:val="21"/>
              </w:rPr>
            </w:pPr>
            <w:r>
              <w:rPr>
                <w:rStyle w:val="45"/>
                <w:rFonts w:hint="eastAsia" w:ascii="宋体" w:hAnsi="宋体" w:eastAsia="宋体" w:cs="宋体"/>
                <w:b w:val="0"/>
                <w:color w:val="auto"/>
                <w:sz w:val="21"/>
                <w:szCs w:val="21"/>
              </w:rPr>
              <w:t>他</w:t>
            </w:r>
          </w:p>
          <w:p w14:paraId="47D1A5A7">
            <w:pPr>
              <w:pStyle w:val="42"/>
              <w:shd w:val="clear" w:color="auto" w:fill="auto"/>
              <w:spacing w:line="240" w:lineRule="auto"/>
              <w:jc w:val="center"/>
              <w:rPr>
                <w:rStyle w:val="45"/>
                <w:rFonts w:ascii="宋体" w:hAnsi="宋体" w:eastAsia="宋体" w:cs="宋体"/>
                <w:b w:val="0"/>
                <w:color w:val="auto"/>
                <w:sz w:val="21"/>
                <w:szCs w:val="21"/>
              </w:rPr>
            </w:pPr>
            <w:r>
              <w:rPr>
                <w:rStyle w:val="45"/>
                <w:rFonts w:hint="eastAsia" w:ascii="宋体" w:hAnsi="宋体" w:eastAsia="宋体" w:cs="宋体"/>
                <w:b w:val="0"/>
                <w:color w:val="auto"/>
                <w:sz w:val="21"/>
                <w:szCs w:val="21"/>
              </w:rPr>
              <w:t>因</w:t>
            </w:r>
          </w:p>
          <w:p w14:paraId="5DB3D1E9">
            <w:pPr>
              <w:pStyle w:val="42"/>
              <w:shd w:val="clear" w:color="auto" w:fill="auto"/>
              <w:spacing w:line="240" w:lineRule="auto"/>
              <w:jc w:val="center"/>
              <w:rPr>
                <w:rFonts w:ascii="宋体" w:hAnsi="宋体" w:eastAsia="宋体" w:cs="宋体"/>
                <w:color w:val="auto"/>
              </w:rPr>
            </w:pPr>
            <w:r>
              <w:rPr>
                <w:rStyle w:val="45"/>
                <w:rFonts w:hint="eastAsia" w:ascii="宋体" w:hAnsi="宋体" w:eastAsia="宋体" w:cs="宋体"/>
                <w:b w:val="0"/>
                <w:color w:val="auto"/>
                <w:sz w:val="21"/>
                <w:szCs w:val="21"/>
              </w:rPr>
              <w:t>素</w:t>
            </w:r>
          </w:p>
        </w:tc>
        <w:tc>
          <w:tcPr>
            <w:tcW w:w="695"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1279CC57">
            <w:pPr>
              <w:pStyle w:val="42"/>
              <w:shd w:val="clear" w:color="auto" w:fill="auto"/>
              <w:spacing w:line="240" w:lineRule="auto"/>
              <w:jc w:val="center"/>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企业业绩</w:t>
            </w:r>
          </w:p>
        </w:tc>
        <w:tc>
          <w:tcPr>
            <w:tcW w:w="677"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3F0A98D9">
            <w:pPr>
              <w:pStyle w:val="42"/>
              <w:shd w:val="clear" w:color="auto" w:fill="auto"/>
              <w:spacing w:line="240" w:lineRule="auto"/>
              <w:jc w:val="center"/>
              <w:rPr>
                <w:rStyle w:val="45"/>
                <w:rFonts w:ascii="宋体" w:hAnsi="宋体" w:eastAsia="宋体" w:cs="宋体"/>
                <w:b w:val="0"/>
                <w:color w:val="auto"/>
                <w:sz w:val="21"/>
                <w:szCs w:val="21"/>
                <w:lang w:eastAsia="zh-CN"/>
              </w:rPr>
            </w:pPr>
            <w:r>
              <w:rPr>
                <w:rFonts w:hint="eastAsia" w:ascii="宋体" w:hAnsi="宋体" w:eastAsia="宋体" w:cs="宋体"/>
                <w:color w:val="auto"/>
              </w:rPr>
              <w:t>25分</w:t>
            </w:r>
          </w:p>
        </w:tc>
        <w:tc>
          <w:tcPr>
            <w:tcW w:w="1424"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795ADF79">
            <w:pPr>
              <w:pStyle w:val="42"/>
              <w:shd w:val="clear" w:color="auto" w:fill="auto"/>
              <w:spacing w:line="300" w:lineRule="auto"/>
              <w:jc w:val="center"/>
              <w:rPr>
                <w:rStyle w:val="45"/>
                <w:rFonts w:ascii="宋体" w:hAnsi="宋体" w:eastAsia="宋体" w:cs="宋体"/>
                <w:b w:val="0"/>
                <w:color w:val="auto"/>
                <w:sz w:val="21"/>
                <w:szCs w:val="21"/>
                <w:lang w:eastAsia="zh-CN"/>
              </w:rPr>
            </w:pPr>
            <w:r>
              <w:rPr>
                <w:rFonts w:hint="eastAsia" w:ascii="宋体" w:hAnsi="宋体" w:eastAsia="宋体" w:cs="宋体"/>
                <w:color w:val="auto"/>
              </w:rPr>
              <w:t>企业监理业绩</w:t>
            </w:r>
          </w:p>
        </w:tc>
        <w:tc>
          <w:tcPr>
            <w:tcW w:w="725"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7BD60928">
            <w:pPr>
              <w:pStyle w:val="42"/>
              <w:shd w:val="clear" w:color="auto" w:fill="auto"/>
              <w:spacing w:line="300" w:lineRule="auto"/>
              <w:jc w:val="center"/>
              <w:rPr>
                <w:rStyle w:val="45"/>
                <w:rFonts w:ascii="宋体" w:hAnsi="宋体" w:eastAsia="宋体" w:cs="宋体"/>
                <w:b w:val="0"/>
                <w:color w:val="auto"/>
                <w:sz w:val="21"/>
                <w:szCs w:val="21"/>
                <w:lang w:eastAsia="zh-CN"/>
              </w:rPr>
            </w:pPr>
            <w:r>
              <w:rPr>
                <w:rFonts w:hint="eastAsia" w:ascii="宋体" w:hAnsi="宋体" w:eastAsia="宋体" w:cs="宋体"/>
                <w:color w:val="auto"/>
              </w:rPr>
              <w:t>25分</w:t>
            </w:r>
          </w:p>
        </w:tc>
        <w:tc>
          <w:tcPr>
            <w:tcW w:w="3425" w:type="dxa"/>
            <w:tcBorders>
              <w:top w:val="single" w:color="auto" w:sz="4" w:space="0"/>
              <w:left w:val="single" w:color="auto" w:sz="4" w:space="0"/>
              <w:right w:val="single" w:color="auto" w:sz="4" w:space="0"/>
            </w:tcBorders>
            <w:shd w:val="clear" w:color="auto" w:fill="FFFFFF"/>
            <w:tcMar>
              <w:top w:w="57" w:type="dxa"/>
              <w:left w:w="57" w:type="dxa"/>
              <w:bottom w:w="57" w:type="dxa"/>
              <w:right w:w="57" w:type="dxa"/>
            </w:tcMar>
            <w:vAlign w:val="center"/>
          </w:tcPr>
          <w:p w14:paraId="52598575">
            <w:pPr>
              <w:spacing w:line="360" w:lineRule="exact"/>
              <w:rPr>
                <w:rFonts w:ascii="宋体" w:hAnsi="宋体" w:eastAsia="宋体" w:cs="宋体"/>
                <w:color w:val="auto"/>
                <w:szCs w:val="21"/>
              </w:rPr>
            </w:pPr>
            <w:r>
              <w:rPr>
                <w:rFonts w:hint="eastAsia" w:ascii="宋体" w:hAnsi="宋体" w:eastAsia="宋体" w:cs="宋体"/>
                <w:color w:val="auto"/>
                <w:szCs w:val="21"/>
              </w:rPr>
              <w:t>满足资格审查条件（业绩最低要求），得15分，在满足最低资格要求基础上，加分情况如下：</w:t>
            </w:r>
          </w:p>
          <w:p w14:paraId="5FBDCC77">
            <w:pPr>
              <w:spacing w:line="360" w:lineRule="exact"/>
              <w:jc w:val="left"/>
              <w:rPr>
                <w:rStyle w:val="53"/>
                <w:rFonts w:ascii="宋体" w:hAnsi="宋体" w:eastAsia="宋体" w:cs="宋体"/>
                <w:b w:val="0"/>
                <w:color w:val="auto"/>
                <w:sz w:val="21"/>
                <w:szCs w:val="21"/>
                <w:lang w:val="en-US" w:eastAsia="zh-CN"/>
              </w:rPr>
            </w:pPr>
            <w:r>
              <w:rPr>
                <w:rStyle w:val="53"/>
                <w:rFonts w:hint="eastAsia" w:ascii="宋体" w:hAnsi="宋体" w:eastAsia="宋体" w:cs="宋体"/>
                <w:b w:val="0"/>
                <w:color w:val="auto"/>
                <w:sz w:val="21"/>
                <w:szCs w:val="21"/>
                <w:lang w:val="en-US" w:eastAsia="zh-CN"/>
              </w:rPr>
              <w:t>近五年(2020年1月1日~递交投标文件截止时间)完成的业绩(以实际交工验收日期为准)，每提供1项不少于20公里的二级及以上公路工程（同时含有路基工程、沥青混凝土路面工程）施工项目监理服务且交工验收达到合格标准加5分，最多加10分。</w:t>
            </w:r>
          </w:p>
          <w:p w14:paraId="1DBABEA9">
            <w:pPr>
              <w:spacing w:line="360" w:lineRule="exact"/>
              <w:jc w:val="left"/>
              <w:rPr>
                <w:rStyle w:val="53"/>
                <w:rFonts w:ascii="宋体" w:hAnsi="宋体" w:eastAsia="宋体" w:cs="宋体"/>
                <w:b w:val="0"/>
                <w:color w:val="auto"/>
                <w:sz w:val="21"/>
                <w:szCs w:val="21"/>
                <w:lang w:val="en-US" w:eastAsia="zh-CN"/>
              </w:rPr>
            </w:pPr>
            <w:r>
              <w:rPr>
                <w:rStyle w:val="53"/>
                <w:rFonts w:hint="eastAsia" w:ascii="宋体" w:hAnsi="宋体" w:eastAsia="宋体" w:cs="宋体"/>
                <w:b w:val="0"/>
                <w:color w:val="auto"/>
                <w:sz w:val="21"/>
                <w:szCs w:val="21"/>
                <w:lang w:val="en-US" w:eastAsia="zh-CN"/>
              </w:rPr>
              <w:t>(注:业绩要求中的公路工程是指新建、改扩建（不含养护工程项目，如投标人提供高速公路、一级公路业绩的，其里程可折算成2倍的二级公路里程。)</w:t>
            </w:r>
          </w:p>
        </w:tc>
      </w:tr>
      <w:tr w14:paraId="5374A37E">
        <w:tblPrEx>
          <w:tblCellMar>
            <w:top w:w="0" w:type="dxa"/>
            <w:left w:w="10" w:type="dxa"/>
            <w:bottom w:w="0" w:type="dxa"/>
            <w:right w:w="10" w:type="dxa"/>
          </w:tblCellMar>
        </w:tblPrEx>
        <w:tc>
          <w:tcPr>
            <w:tcW w:w="998"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4EE2EF8B">
            <w:pPr>
              <w:pStyle w:val="42"/>
              <w:shd w:val="clear" w:color="auto" w:fill="auto"/>
              <w:spacing w:line="240" w:lineRule="auto"/>
              <w:jc w:val="center"/>
              <w:rPr>
                <w:rStyle w:val="62"/>
                <w:rFonts w:ascii="宋体" w:hAnsi="宋体" w:eastAsia="宋体" w:cs="宋体"/>
                <w:color w:val="auto"/>
                <w:sz w:val="21"/>
                <w:szCs w:val="21"/>
                <w:lang w:eastAsia="zh-CN"/>
              </w:rPr>
            </w:pPr>
          </w:p>
        </w:tc>
        <w:tc>
          <w:tcPr>
            <w:tcW w:w="372" w:type="dxa"/>
            <w:vMerge w:val="continue"/>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01B6AF20">
            <w:pPr>
              <w:pStyle w:val="42"/>
              <w:shd w:val="clear" w:color="auto" w:fill="auto"/>
              <w:spacing w:line="240" w:lineRule="auto"/>
              <w:jc w:val="center"/>
              <w:rPr>
                <w:rStyle w:val="62"/>
                <w:rFonts w:ascii="宋体" w:hAnsi="宋体" w:eastAsia="宋体" w:cs="宋体"/>
                <w:color w:val="auto"/>
                <w:sz w:val="21"/>
                <w:szCs w:val="21"/>
                <w:lang w:eastAsia="zh-CN"/>
              </w:rPr>
            </w:pPr>
          </w:p>
        </w:tc>
        <w:tc>
          <w:tcPr>
            <w:tcW w:w="695"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3841D833">
            <w:pPr>
              <w:pStyle w:val="42"/>
              <w:shd w:val="clear" w:color="auto" w:fill="auto"/>
              <w:spacing w:line="240" w:lineRule="auto"/>
              <w:jc w:val="center"/>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履约信誉</w:t>
            </w:r>
          </w:p>
        </w:tc>
        <w:tc>
          <w:tcPr>
            <w:tcW w:w="677"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5215052A">
            <w:pPr>
              <w:pStyle w:val="42"/>
              <w:shd w:val="clear" w:color="auto" w:fill="auto"/>
              <w:spacing w:line="240" w:lineRule="auto"/>
              <w:jc w:val="center"/>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5分</w:t>
            </w:r>
          </w:p>
        </w:tc>
        <w:tc>
          <w:tcPr>
            <w:tcW w:w="1424"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68304158">
            <w:pPr>
              <w:pStyle w:val="42"/>
              <w:shd w:val="clear" w:color="auto" w:fill="auto"/>
              <w:spacing w:line="300" w:lineRule="auto"/>
              <w:jc w:val="center"/>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履约信誉</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025BB922">
            <w:pPr>
              <w:pStyle w:val="42"/>
              <w:shd w:val="clear" w:color="auto" w:fill="auto"/>
              <w:spacing w:line="300" w:lineRule="auto"/>
              <w:jc w:val="center"/>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5分</w:t>
            </w:r>
          </w:p>
        </w:tc>
        <w:tc>
          <w:tcPr>
            <w:tcW w:w="3425"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41FD76CD">
            <w:pPr>
              <w:pStyle w:val="42"/>
              <w:shd w:val="clear" w:color="auto" w:fill="auto"/>
              <w:spacing w:line="300" w:lineRule="auto"/>
              <w:jc w:val="both"/>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满足资格审查条件（信誉最低要求）得 3分；加分条件如下：</w:t>
            </w:r>
          </w:p>
          <w:p w14:paraId="2D012B22">
            <w:pPr>
              <w:pStyle w:val="42"/>
              <w:shd w:val="clear" w:color="auto" w:fill="auto"/>
              <w:spacing w:line="300" w:lineRule="auto"/>
              <w:jc w:val="both"/>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①在2023年度黑龙江省交通运输厅公路施工企业信用评价或2023年交通运输部公路施工企业全国综合信用评价中被评定为A级的，加1分；</w:t>
            </w:r>
          </w:p>
          <w:p w14:paraId="56DC8613">
            <w:pPr>
              <w:pStyle w:val="42"/>
              <w:shd w:val="clear" w:color="auto" w:fill="auto"/>
              <w:spacing w:line="300" w:lineRule="auto"/>
              <w:jc w:val="both"/>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②在2023年度黑龙江省交通运输厅公路施工企业信用评价或2023年交通运输部公路施工企业全国综合信用评价中被评定为AA级的，加2分。</w:t>
            </w:r>
          </w:p>
          <w:p w14:paraId="7CDBA760">
            <w:pPr>
              <w:pStyle w:val="42"/>
              <w:shd w:val="clear" w:color="auto" w:fill="auto"/>
              <w:spacing w:line="300" w:lineRule="auto"/>
              <w:jc w:val="both"/>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注：a.加分不累加，①②只计一次最高分,本项最高加2分。</w:t>
            </w:r>
          </w:p>
          <w:p w14:paraId="2F7A08C6">
            <w:pPr>
              <w:pStyle w:val="42"/>
              <w:shd w:val="clear" w:color="auto" w:fill="auto"/>
              <w:spacing w:line="300" w:lineRule="auto"/>
              <w:jc w:val="both"/>
              <w:rPr>
                <w:rStyle w:val="45"/>
                <w:rFonts w:ascii="宋体" w:hAnsi="宋体" w:eastAsia="宋体" w:cs="宋体"/>
                <w:b w:val="0"/>
                <w:color w:val="auto"/>
                <w:sz w:val="21"/>
                <w:szCs w:val="21"/>
                <w:lang w:eastAsia="zh-CN"/>
              </w:rPr>
            </w:pPr>
            <w:r>
              <w:rPr>
                <w:rStyle w:val="45"/>
                <w:rFonts w:hint="eastAsia" w:ascii="宋体" w:hAnsi="宋体" w:eastAsia="宋体" w:cs="宋体"/>
                <w:b w:val="0"/>
                <w:color w:val="auto"/>
                <w:sz w:val="21"/>
                <w:szCs w:val="21"/>
                <w:lang w:eastAsia="zh-CN"/>
              </w:rPr>
              <w:t>b.投标人未参加2023年度黑龙江省交通运输厅公路施工企业信用评价或交通运输部2023年公路施工企业全国综合信用评价的，采用2022年黑龙江省交通运输厅公路施工企业信用评价或2022年交通运输部公路施工企业全国综合信用评价结果。国务院有关部门许可资质的公路施工企业初次进入黑龙江省，其信用评价等级按照交通运输部公路施工企业全国综合信用评价结果确定；尚无交通运输部公路施工企业全国综合信用评价的企业，若无不良信用记录，按A级对待。（如果省级和部级评价等级不一致，以最高的信用评价等级认定）。</w:t>
            </w:r>
          </w:p>
        </w:tc>
      </w:tr>
    </w:tbl>
    <w:p w14:paraId="6BBB033C">
      <w:pPr>
        <w:rPr>
          <w:rFonts w:ascii="宋体" w:hAnsi="宋体" w:eastAsia="宋体" w:cs="宋体"/>
          <w:color w:val="auto"/>
        </w:rPr>
      </w:pPr>
    </w:p>
    <w:p w14:paraId="2AC91398">
      <w:pPr>
        <w:rPr>
          <w:rFonts w:ascii="宋体" w:hAnsi="宋体" w:eastAsia="宋体" w:cs="宋体"/>
          <w:color w:val="auto"/>
          <w:lang w:val="zh-TW" w:bidi="zh-TW"/>
        </w:rPr>
      </w:pPr>
      <w:r>
        <w:rPr>
          <w:rFonts w:hint="eastAsia" w:ascii="宋体" w:hAnsi="宋体" w:eastAsia="宋体" w:cs="宋体"/>
          <w:color w:val="auto"/>
          <w:szCs w:val="21"/>
        </w:rPr>
        <w:t>注：</w:t>
      </w:r>
      <w:bookmarkEnd w:id="23"/>
      <w:bookmarkEnd w:id="24"/>
      <w:r>
        <w:rPr>
          <w:rFonts w:hint="eastAsia" w:ascii="宋体" w:hAnsi="宋体" w:eastAsia="宋体" w:cs="宋体"/>
          <w:color w:val="auto"/>
          <w:lang w:val="zh-TW" w:bidi="zh-TW"/>
        </w:rPr>
        <w:t>1、各评分因素得分以评标委员会各成员的打分平均值确定，各成员的单项打分分值小数点后保留一位，计算过程及计算结果小数点后保留两位小数，小数点后第三位“四舍五入”。“各评分因素（评标价和履约信誉评分项除外）得分一般不得低于其权重分值的60%”。</w:t>
      </w:r>
    </w:p>
    <w:p w14:paraId="071465A5">
      <w:pPr>
        <w:pStyle w:val="42"/>
        <w:shd w:val="clear" w:color="auto" w:fill="auto"/>
        <w:spacing w:line="400" w:lineRule="exact"/>
        <w:ind w:firstLine="420" w:firstLineChars="200"/>
        <w:jc w:val="both"/>
        <w:rPr>
          <w:rFonts w:ascii="宋体" w:hAnsi="宋体" w:eastAsia="宋体" w:cs="宋体"/>
          <w:color w:val="auto"/>
          <w:lang w:val="zh-TW" w:bidi="zh-TW"/>
        </w:rPr>
      </w:pPr>
      <w:r>
        <w:rPr>
          <w:rFonts w:hint="eastAsia" w:ascii="宋体" w:hAnsi="宋体" w:eastAsia="宋体" w:cs="宋体"/>
          <w:color w:val="auto"/>
          <w:lang w:val="zh-TW" w:bidi="zh-TW"/>
        </w:rPr>
        <w:t>2、表中区间分值下限为不含，上限为包含。</w:t>
      </w:r>
    </w:p>
    <w:p w14:paraId="02885FC4">
      <w:pPr>
        <w:pStyle w:val="42"/>
        <w:shd w:val="clear" w:color="auto" w:fill="auto"/>
        <w:spacing w:line="400" w:lineRule="exact"/>
        <w:ind w:firstLine="420" w:firstLineChars="200"/>
        <w:jc w:val="both"/>
        <w:rPr>
          <w:rFonts w:ascii="宋体" w:hAnsi="宋体" w:eastAsia="宋体" w:cs="宋体"/>
          <w:color w:val="auto"/>
          <w:lang w:val="zh-TW" w:bidi="zh-TW"/>
        </w:rPr>
      </w:pPr>
      <w:r>
        <w:rPr>
          <w:rFonts w:hint="eastAsia" w:ascii="宋体" w:hAnsi="宋体" w:eastAsia="宋体" w:cs="宋体"/>
          <w:color w:val="auto"/>
          <w:lang w:val="zh-TW" w:bidi="zh-TW"/>
        </w:rPr>
        <w:t>3、</w:t>
      </w:r>
      <w:r>
        <w:rPr>
          <w:rFonts w:hint="eastAsia" w:ascii="宋体" w:hAnsi="宋体" w:eastAsia="宋体" w:cs="宋体"/>
          <w:color w:val="auto"/>
          <w:lang w:bidi="zh-TW"/>
        </w:rPr>
        <w:t>同类</w:t>
      </w:r>
      <w:r>
        <w:rPr>
          <w:rFonts w:hint="eastAsia" w:ascii="宋体" w:hAnsi="宋体" w:eastAsia="宋体" w:cs="宋体"/>
          <w:color w:val="auto"/>
          <w:lang w:val="zh-TW" w:bidi="zh-TW"/>
        </w:rPr>
        <w:t>公路</w:t>
      </w:r>
      <w:r>
        <w:rPr>
          <w:rFonts w:hint="eastAsia" w:ascii="宋体" w:hAnsi="宋体" w:eastAsia="宋体" w:cs="宋体"/>
          <w:color w:val="auto"/>
          <w:lang w:bidi="zh-TW"/>
        </w:rPr>
        <w:t>监理</w:t>
      </w:r>
      <w:r>
        <w:rPr>
          <w:rFonts w:hint="eastAsia" w:ascii="宋体" w:hAnsi="宋体" w:eastAsia="宋体" w:cs="宋体"/>
          <w:color w:val="auto"/>
          <w:lang w:val="zh-TW" w:bidi="zh-TW"/>
        </w:rPr>
        <w:t>：指公路工程施工</w:t>
      </w:r>
      <w:r>
        <w:rPr>
          <w:rFonts w:hint="eastAsia" w:ascii="宋体" w:hAnsi="宋体" w:eastAsia="宋体" w:cs="宋体"/>
          <w:color w:val="auto"/>
          <w:lang w:bidi="zh-TW"/>
        </w:rPr>
        <w:t>监理</w:t>
      </w:r>
      <w:r>
        <w:rPr>
          <w:rFonts w:hint="eastAsia" w:ascii="宋体" w:hAnsi="宋体" w:eastAsia="宋体" w:cs="宋体"/>
          <w:color w:val="auto"/>
          <w:lang w:val="zh-TW" w:bidi="zh-TW"/>
        </w:rPr>
        <w:t>业绩。</w:t>
      </w:r>
    </w:p>
    <w:p w14:paraId="18AED939">
      <w:pPr>
        <w:pStyle w:val="42"/>
        <w:shd w:val="clear" w:color="auto" w:fill="auto"/>
        <w:spacing w:line="400" w:lineRule="exact"/>
        <w:ind w:firstLine="420" w:firstLineChars="200"/>
        <w:jc w:val="both"/>
        <w:rPr>
          <w:rFonts w:ascii="宋体" w:hAnsi="宋体" w:eastAsia="宋体" w:cs="宋体"/>
          <w:color w:val="auto"/>
          <w:highlight w:val="none"/>
          <w:lang w:val="zh-TW" w:bidi="zh-TW"/>
        </w:rPr>
      </w:pPr>
      <w:r>
        <w:rPr>
          <w:rFonts w:hint="eastAsia" w:ascii="宋体" w:hAnsi="宋体" w:eastAsia="宋体" w:cs="宋体"/>
          <w:color w:val="auto"/>
          <w:highlight w:val="none"/>
        </w:rPr>
        <w:t>4、如企业业绩中总监理工程师为本项目总监理工程师，该业绩可作为企业业绩和总监业绩分别生效。</w:t>
      </w:r>
    </w:p>
    <w:p w14:paraId="34E1899E">
      <w:pPr>
        <w:pStyle w:val="42"/>
        <w:shd w:val="clear" w:color="auto" w:fill="auto"/>
        <w:spacing w:line="400" w:lineRule="exact"/>
        <w:ind w:firstLine="422" w:firstLineChars="200"/>
        <w:jc w:val="both"/>
        <w:rPr>
          <w:rFonts w:ascii="宋体" w:hAnsi="宋体" w:eastAsia="宋体" w:cs="宋体"/>
          <w:b/>
          <w:color w:val="auto"/>
          <w:lang w:eastAsia="zh-TW" w:bidi="zh-TW"/>
        </w:rPr>
      </w:pPr>
      <w:r>
        <w:rPr>
          <w:rFonts w:hint="eastAsia" w:ascii="宋体" w:hAnsi="宋体" w:eastAsia="宋体" w:cs="宋体"/>
          <w:b/>
          <w:color w:val="auto"/>
          <w:highlight w:val="none"/>
          <w:lang w:eastAsia="zh-TW"/>
        </w:rPr>
        <w:t>5、</w:t>
      </w:r>
      <w:r>
        <w:rPr>
          <w:rStyle w:val="53"/>
          <w:rFonts w:hint="eastAsia" w:ascii="宋体" w:hAnsi="宋体" w:eastAsia="宋体" w:cs="宋体"/>
          <w:bCs w:val="0"/>
          <w:color w:val="auto"/>
          <w:sz w:val="21"/>
          <w:szCs w:val="21"/>
          <w:lang w:val="en-US"/>
        </w:rPr>
        <w:t>监理业绩要求在交通运输部网站“全国公路建设市场信用信息管理系” （https://hwdms.mot.gov.cn/BMWebSite/）或黑龙江省交通运输厅网站的“黑龙江省公路水路建设市场信用信息管理系统”中能够查询（提供查询截图）。</w:t>
      </w:r>
    </w:p>
    <w:p w14:paraId="1F451547">
      <w:pPr>
        <w:pStyle w:val="42"/>
        <w:shd w:val="clear" w:color="auto" w:fill="auto"/>
        <w:spacing w:line="400" w:lineRule="exact"/>
        <w:ind w:firstLine="420" w:firstLineChars="200"/>
        <w:jc w:val="both"/>
        <w:rPr>
          <w:rFonts w:ascii="宋体" w:hAnsi="宋体" w:eastAsia="宋体" w:cs="宋体"/>
          <w:color w:val="auto"/>
          <w:lang w:eastAsia="zh-TW" w:bidi="zh-TW"/>
        </w:rPr>
      </w:pPr>
    </w:p>
    <w:p w14:paraId="422B2015">
      <w:pPr>
        <w:rPr>
          <w:rFonts w:ascii="宋体" w:hAnsi="宋体" w:eastAsia="宋体" w:cs="宋体"/>
          <w:color w:val="auto"/>
          <w:lang w:val="zh-TW" w:eastAsia="zh-TW" w:bidi="zh-TW"/>
        </w:rPr>
      </w:pPr>
    </w:p>
    <w:sectPr>
      <w:headerReference r:id="rId3" w:type="default"/>
      <w:footerReference r:id="rId4" w:type="default"/>
      <w:pgSz w:w="11911" w:h="16849"/>
      <w:pgMar w:top="1440" w:right="1803" w:bottom="1440" w:left="1803" w:header="737" w:footer="73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JhengHei Light">
    <w:altName w:val="宋体"/>
    <w:panose1 w:val="020B0304030504040204"/>
    <w:charset w:val="86"/>
    <w:family w:val="swiss"/>
    <w:pitch w:val="default"/>
    <w:sig w:usb0="00000000" w:usb1="00000000" w:usb2="00000016" w:usb3="00000000" w:csb0="00100009"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Cambria">
    <w:panose1 w:val="02040503050406030204"/>
    <w:charset w:val="00"/>
    <w:family w:val="roman"/>
    <w:pitch w:val="default"/>
    <w:sig w:usb0="E00002FF" w:usb1="400004FF" w:usb2="00000000" w:usb3="00000000" w:csb0="2000019F" w:csb1="00000000"/>
  </w:font>
  <w:font w:name="Franklin Gothic Medium">
    <w:panose1 w:val="020B0603020102020204"/>
    <w:charset w:val="00"/>
    <w:family w:val="swiss"/>
    <w:pitch w:val="default"/>
    <w:sig w:usb0="00000287" w:usb1="00000000" w:usb2="00000000" w:usb3="00000000" w:csb0="2000009F" w:csb1="DFD70000"/>
  </w:font>
  <w:font w:name="Sylfaen">
    <w:panose1 w:val="010A0502050306030303"/>
    <w:charset w:val="00"/>
    <w:family w:val="roman"/>
    <w:pitch w:val="default"/>
    <w:sig w:usb0="04000687" w:usb1="00000000" w:usb2="00000000" w:usb3="00000000" w:csb0="2000009F"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ACA2">
    <w:pPr>
      <w:pStyle w:val="20"/>
      <w:tabs>
        <w:tab w:val="left" w:pos="0"/>
        <w:tab w:val="left" w:pos="4111"/>
        <w:tab w:val="center" w:pos="8505"/>
        <w:tab w:val="clear" w:pos="4153"/>
      </w:tabs>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D2E0EA9">
                <w:pPr>
                  <w:pStyle w:val="20"/>
                </w:pPr>
                <w:r>
                  <w:fldChar w:fldCharType="begin"/>
                </w:r>
                <w:r>
                  <w:instrText xml:space="preserve"> PAGE  \* MERGEFORMAT </w:instrText>
                </w:r>
                <w:r>
                  <w:fldChar w:fldCharType="separate"/>
                </w:r>
                <w:r>
                  <w:t>128</w:t>
                </w:r>
                <w:r>
                  <w:fldChar w:fldCharType="end"/>
                </w:r>
              </w:p>
            </w:txbxContent>
          </v:textbox>
        </v:shape>
      </w:pict>
    </w:r>
    <w:sdt>
      <w:sdtPr>
        <w:id w:val="147458236"/>
      </w:sdtPr>
      <w:sdtContent/>
    </w:sdt>
  </w:p>
  <w:p w14:paraId="2B6C85B5">
    <w:pPr>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73E2">
    <w:pPr>
      <w:rPr>
        <w:sz w:val="2"/>
        <w:szCs w:val="2"/>
      </w:rPr>
    </w:pPr>
    <w:r>
      <w:rPr>
        <w:rFonts w:eastAsia="Microsoft JhengHei Light"/>
        <w:sz w:val="24"/>
        <w:szCs w:val="24"/>
        <w:lang w:val="zh-TW" w:eastAsia="zh-TW" w:bidi="zh-TW"/>
      </w:rPr>
      <w:pict>
        <v:shape id="_x0000_s3074" o:spid="_x0000_s3074" o:spt="202" type="#_x0000_t202" style="position:absolute;left:0pt;margin-left:79.9pt;margin-top:51.4pt;height:10.3pt;width:215.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14:paraId="26C57145"/>
            </w:txbxContent>
          </v:textbox>
        </v:shape>
      </w:pict>
    </w:r>
    <w:r>
      <w:rPr>
        <w:rFonts w:hint="eastAsia"/>
        <w:sz w:val="2"/>
        <w:szCs w:val="2"/>
      </w:rPr>
      <w:t>234</w:t>
    </w:r>
  </w:p>
  <w:p w14:paraId="5AC8ED02">
    <w:pPr>
      <w:pStyle w:val="21"/>
      <w:pBdr>
        <w:bottom w:val="none" w:color="auto" w:sz="0" w:space="1"/>
      </w:pBdr>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F0C0B"/>
    <w:multiLevelType w:val="multilevel"/>
    <w:tmpl w:val="09BF0C0B"/>
    <w:lvl w:ilvl="0" w:tentative="0">
      <w:start w:val="1"/>
      <w:numFmt w:val="decimal"/>
      <w:lvlText w:val="(%1)"/>
      <w:lvlJc w:val="left"/>
      <w:rPr>
        <w:rFonts w:ascii="宋体" w:hAnsi="宋体" w:eastAsia="宋体" w:cs="Times New Roman"/>
        <w:b w:val="0"/>
        <w:bCs w:val="0"/>
        <w:i w:val="0"/>
        <w:iCs w:val="0"/>
        <w:smallCaps w:val="0"/>
        <w:strike w:val="0"/>
        <w:color w:val="000000"/>
        <w:spacing w:val="0"/>
        <w:w w:val="100"/>
        <w:position w:val="0"/>
        <w:sz w:val="21"/>
        <w:szCs w:val="21"/>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F7526D0"/>
    <w:multiLevelType w:val="multilevel"/>
    <w:tmpl w:val="6F7526D0"/>
    <w:lvl w:ilvl="0" w:tentative="0">
      <w:start w:val="1"/>
      <w:numFmt w:val="lowerLetter"/>
      <w:lvlText w:val="%1."/>
      <w:lvlJc w:val="left"/>
      <w:rPr>
        <w:rFonts w:ascii="宋体" w:hAnsi="宋体" w:eastAsia="宋体" w:cs="MingLiU"/>
        <w:b w:val="0"/>
        <w:bCs w:val="0"/>
        <w:i w:val="0"/>
        <w:iCs w:val="0"/>
        <w:smallCaps w:val="0"/>
        <w:strike w:val="0"/>
        <w:color w:val="000000"/>
        <w:spacing w:val="0"/>
        <w:w w:val="100"/>
        <w:position w:val="0"/>
        <w:sz w:val="21"/>
        <w:szCs w:val="21"/>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hideGrammaticalErrors/>
  <w:documentProtection w:enforcement="0"/>
  <w:defaultTabStop w:val="0"/>
  <w:drawingGridHorizontalSpacing w:val="210"/>
  <w:drawingGridVerticalSpacing w:val="-794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NiYjViZTkzOWFkODUzYmI4Zjc3YTQ2NDExNzgwZDEifQ=="/>
  </w:docVars>
  <w:rsids>
    <w:rsidRoot w:val="009C1524"/>
    <w:rsid w:val="00000289"/>
    <w:rsid w:val="00000AA6"/>
    <w:rsid w:val="00000D9B"/>
    <w:rsid w:val="00001B10"/>
    <w:rsid w:val="00002F79"/>
    <w:rsid w:val="0000330D"/>
    <w:rsid w:val="00005523"/>
    <w:rsid w:val="00006CC4"/>
    <w:rsid w:val="00007D30"/>
    <w:rsid w:val="00012560"/>
    <w:rsid w:val="00014066"/>
    <w:rsid w:val="0002192B"/>
    <w:rsid w:val="00031A3E"/>
    <w:rsid w:val="00040C33"/>
    <w:rsid w:val="00046D52"/>
    <w:rsid w:val="000479D1"/>
    <w:rsid w:val="000530E1"/>
    <w:rsid w:val="0005351F"/>
    <w:rsid w:val="00053545"/>
    <w:rsid w:val="00055253"/>
    <w:rsid w:val="0006241D"/>
    <w:rsid w:val="00062EBC"/>
    <w:rsid w:val="00065057"/>
    <w:rsid w:val="00065239"/>
    <w:rsid w:val="00065978"/>
    <w:rsid w:val="000668DF"/>
    <w:rsid w:val="00067048"/>
    <w:rsid w:val="00067735"/>
    <w:rsid w:val="00070A72"/>
    <w:rsid w:val="00071555"/>
    <w:rsid w:val="0007354A"/>
    <w:rsid w:val="0007416C"/>
    <w:rsid w:val="000752FA"/>
    <w:rsid w:val="00075D78"/>
    <w:rsid w:val="0007643C"/>
    <w:rsid w:val="000777A7"/>
    <w:rsid w:val="00077C1A"/>
    <w:rsid w:val="000810F7"/>
    <w:rsid w:val="00082989"/>
    <w:rsid w:val="00085645"/>
    <w:rsid w:val="000866D4"/>
    <w:rsid w:val="000868C2"/>
    <w:rsid w:val="000913D0"/>
    <w:rsid w:val="00091E6B"/>
    <w:rsid w:val="00093782"/>
    <w:rsid w:val="000953D4"/>
    <w:rsid w:val="00096C31"/>
    <w:rsid w:val="00097990"/>
    <w:rsid w:val="000A14AB"/>
    <w:rsid w:val="000A1D9C"/>
    <w:rsid w:val="000A2CAB"/>
    <w:rsid w:val="000A4921"/>
    <w:rsid w:val="000A709B"/>
    <w:rsid w:val="000A7891"/>
    <w:rsid w:val="000B07FB"/>
    <w:rsid w:val="000B25D9"/>
    <w:rsid w:val="000B35AB"/>
    <w:rsid w:val="000B4455"/>
    <w:rsid w:val="000B585B"/>
    <w:rsid w:val="000B6744"/>
    <w:rsid w:val="000B7175"/>
    <w:rsid w:val="000C1306"/>
    <w:rsid w:val="000C1558"/>
    <w:rsid w:val="000C2654"/>
    <w:rsid w:val="000C7D49"/>
    <w:rsid w:val="000C7E0F"/>
    <w:rsid w:val="000D0639"/>
    <w:rsid w:val="000E1594"/>
    <w:rsid w:val="000E2A27"/>
    <w:rsid w:val="000E672D"/>
    <w:rsid w:val="000E77A2"/>
    <w:rsid w:val="000F2417"/>
    <w:rsid w:val="000F2BE2"/>
    <w:rsid w:val="000F4D73"/>
    <w:rsid w:val="000F5B8D"/>
    <w:rsid w:val="000F6E6C"/>
    <w:rsid w:val="000F7129"/>
    <w:rsid w:val="00101573"/>
    <w:rsid w:val="00104631"/>
    <w:rsid w:val="00104FAB"/>
    <w:rsid w:val="00107A5E"/>
    <w:rsid w:val="00115696"/>
    <w:rsid w:val="00117839"/>
    <w:rsid w:val="00121A1F"/>
    <w:rsid w:val="00122588"/>
    <w:rsid w:val="00123C85"/>
    <w:rsid w:val="00124178"/>
    <w:rsid w:val="00127777"/>
    <w:rsid w:val="001327CB"/>
    <w:rsid w:val="00134924"/>
    <w:rsid w:val="00134B5A"/>
    <w:rsid w:val="001364F9"/>
    <w:rsid w:val="00140624"/>
    <w:rsid w:val="00144711"/>
    <w:rsid w:val="0014659A"/>
    <w:rsid w:val="00150C98"/>
    <w:rsid w:val="00150E16"/>
    <w:rsid w:val="001516FD"/>
    <w:rsid w:val="00152968"/>
    <w:rsid w:val="00154E43"/>
    <w:rsid w:val="00156380"/>
    <w:rsid w:val="00160F82"/>
    <w:rsid w:val="00166B44"/>
    <w:rsid w:val="001704D6"/>
    <w:rsid w:val="00175832"/>
    <w:rsid w:val="001762EB"/>
    <w:rsid w:val="001771DA"/>
    <w:rsid w:val="00180C3A"/>
    <w:rsid w:val="00181141"/>
    <w:rsid w:val="0018243D"/>
    <w:rsid w:val="00183C56"/>
    <w:rsid w:val="0018447D"/>
    <w:rsid w:val="00184FEF"/>
    <w:rsid w:val="00193276"/>
    <w:rsid w:val="00193DA4"/>
    <w:rsid w:val="001951D8"/>
    <w:rsid w:val="001A0004"/>
    <w:rsid w:val="001A0F77"/>
    <w:rsid w:val="001A1EC7"/>
    <w:rsid w:val="001A2C64"/>
    <w:rsid w:val="001A5B7A"/>
    <w:rsid w:val="001A67B3"/>
    <w:rsid w:val="001B0D4F"/>
    <w:rsid w:val="001B45F7"/>
    <w:rsid w:val="001B4A37"/>
    <w:rsid w:val="001B5307"/>
    <w:rsid w:val="001B7E88"/>
    <w:rsid w:val="001C1766"/>
    <w:rsid w:val="001C6A8F"/>
    <w:rsid w:val="001D0BCF"/>
    <w:rsid w:val="001D30A8"/>
    <w:rsid w:val="001D4A1E"/>
    <w:rsid w:val="001D561F"/>
    <w:rsid w:val="001E670B"/>
    <w:rsid w:val="001E6A00"/>
    <w:rsid w:val="001E7586"/>
    <w:rsid w:val="001F03DA"/>
    <w:rsid w:val="001F07FF"/>
    <w:rsid w:val="001F0CE3"/>
    <w:rsid w:val="001F1CF2"/>
    <w:rsid w:val="001F7D7D"/>
    <w:rsid w:val="002007C4"/>
    <w:rsid w:val="002016A0"/>
    <w:rsid w:val="00201733"/>
    <w:rsid w:val="00202AA0"/>
    <w:rsid w:val="002030F9"/>
    <w:rsid w:val="00203461"/>
    <w:rsid w:val="00205BA6"/>
    <w:rsid w:val="00207372"/>
    <w:rsid w:val="00207F17"/>
    <w:rsid w:val="00215B4D"/>
    <w:rsid w:val="002174CA"/>
    <w:rsid w:val="002221C1"/>
    <w:rsid w:val="0022719D"/>
    <w:rsid w:val="0023068A"/>
    <w:rsid w:val="00230C66"/>
    <w:rsid w:val="0023196F"/>
    <w:rsid w:val="00232692"/>
    <w:rsid w:val="0023316D"/>
    <w:rsid w:val="00233E68"/>
    <w:rsid w:val="002350FD"/>
    <w:rsid w:val="00235374"/>
    <w:rsid w:val="00235D90"/>
    <w:rsid w:val="00237BC1"/>
    <w:rsid w:val="00241EB9"/>
    <w:rsid w:val="00246063"/>
    <w:rsid w:val="00251C4C"/>
    <w:rsid w:val="0025246E"/>
    <w:rsid w:val="00253151"/>
    <w:rsid w:val="0025355F"/>
    <w:rsid w:val="00255D65"/>
    <w:rsid w:val="00261CA4"/>
    <w:rsid w:val="0026399F"/>
    <w:rsid w:val="00264AEA"/>
    <w:rsid w:val="0026744A"/>
    <w:rsid w:val="00271995"/>
    <w:rsid w:val="0027377A"/>
    <w:rsid w:val="00273B69"/>
    <w:rsid w:val="00274FF0"/>
    <w:rsid w:val="002803D2"/>
    <w:rsid w:val="00283D7E"/>
    <w:rsid w:val="002843CA"/>
    <w:rsid w:val="00286BA1"/>
    <w:rsid w:val="00286F80"/>
    <w:rsid w:val="00290217"/>
    <w:rsid w:val="00292668"/>
    <w:rsid w:val="00292D25"/>
    <w:rsid w:val="00293061"/>
    <w:rsid w:val="00293630"/>
    <w:rsid w:val="00293A21"/>
    <w:rsid w:val="00295FDF"/>
    <w:rsid w:val="002A1511"/>
    <w:rsid w:val="002A15AA"/>
    <w:rsid w:val="002A3378"/>
    <w:rsid w:val="002A4D40"/>
    <w:rsid w:val="002A518D"/>
    <w:rsid w:val="002A6A7B"/>
    <w:rsid w:val="002A6B0C"/>
    <w:rsid w:val="002A6DCC"/>
    <w:rsid w:val="002A79FC"/>
    <w:rsid w:val="002B0098"/>
    <w:rsid w:val="002B0151"/>
    <w:rsid w:val="002B03CD"/>
    <w:rsid w:val="002B08C0"/>
    <w:rsid w:val="002B441A"/>
    <w:rsid w:val="002B70F8"/>
    <w:rsid w:val="002B7F03"/>
    <w:rsid w:val="002C1654"/>
    <w:rsid w:val="002C3111"/>
    <w:rsid w:val="002C4ABB"/>
    <w:rsid w:val="002C59F8"/>
    <w:rsid w:val="002C6CFF"/>
    <w:rsid w:val="002C785A"/>
    <w:rsid w:val="002D181F"/>
    <w:rsid w:val="002D2610"/>
    <w:rsid w:val="002D75A5"/>
    <w:rsid w:val="002E1847"/>
    <w:rsid w:val="002E1974"/>
    <w:rsid w:val="002E1D65"/>
    <w:rsid w:val="002E3EF0"/>
    <w:rsid w:val="002E71D6"/>
    <w:rsid w:val="002F0E98"/>
    <w:rsid w:val="002F2C35"/>
    <w:rsid w:val="002F4F19"/>
    <w:rsid w:val="00300CBA"/>
    <w:rsid w:val="00302D0B"/>
    <w:rsid w:val="0030336D"/>
    <w:rsid w:val="00304B7A"/>
    <w:rsid w:val="00304F33"/>
    <w:rsid w:val="003059A6"/>
    <w:rsid w:val="003064C4"/>
    <w:rsid w:val="00307B8B"/>
    <w:rsid w:val="00310B23"/>
    <w:rsid w:val="00311CD6"/>
    <w:rsid w:val="00313A9D"/>
    <w:rsid w:val="00314915"/>
    <w:rsid w:val="00315443"/>
    <w:rsid w:val="00315B86"/>
    <w:rsid w:val="00317416"/>
    <w:rsid w:val="00321625"/>
    <w:rsid w:val="00323930"/>
    <w:rsid w:val="00325FF7"/>
    <w:rsid w:val="0032711D"/>
    <w:rsid w:val="00333C30"/>
    <w:rsid w:val="00334A47"/>
    <w:rsid w:val="00335175"/>
    <w:rsid w:val="003355A1"/>
    <w:rsid w:val="003416EF"/>
    <w:rsid w:val="003426F9"/>
    <w:rsid w:val="00342D15"/>
    <w:rsid w:val="0034544D"/>
    <w:rsid w:val="0034757D"/>
    <w:rsid w:val="0035193A"/>
    <w:rsid w:val="00355CDF"/>
    <w:rsid w:val="00355E27"/>
    <w:rsid w:val="00357EB5"/>
    <w:rsid w:val="003611FA"/>
    <w:rsid w:val="003629C4"/>
    <w:rsid w:val="00367E34"/>
    <w:rsid w:val="003720E9"/>
    <w:rsid w:val="00376187"/>
    <w:rsid w:val="0037675A"/>
    <w:rsid w:val="0037694B"/>
    <w:rsid w:val="003804EF"/>
    <w:rsid w:val="00380737"/>
    <w:rsid w:val="00381113"/>
    <w:rsid w:val="003832C2"/>
    <w:rsid w:val="00384A7A"/>
    <w:rsid w:val="00386D20"/>
    <w:rsid w:val="0039196B"/>
    <w:rsid w:val="003956D8"/>
    <w:rsid w:val="0039582B"/>
    <w:rsid w:val="00396A91"/>
    <w:rsid w:val="003977DC"/>
    <w:rsid w:val="003A0F6B"/>
    <w:rsid w:val="003A1333"/>
    <w:rsid w:val="003A1B77"/>
    <w:rsid w:val="003A1E12"/>
    <w:rsid w:val="003A46AD"/>
    <w:rsid w:val="003A4BF7"/>
    <w:rsid w:val="003A6A3B"/>
    <w:rsid w:val="003A78D2"/>
    <w:rsid w:val="003B37F8"/>
    <w:rsid w:val="003B5D2A"/>
    <w:rsid w:val="003B79D5"/>
    <w:rsid w:val="003C3360"/>
    <w:rsid w:val="003C4088"/>
    <w:rsid w:val="003C6240"/>
    <w:rsid w:val="003C643E"/>
    <w:rsid w:val="003D0FA2"/>
    <w:rsid w:val="003D12F4"/>
    <w:rsid w:val="003D2D52"/>
    <w:rsid w:val="003D3113"/>
    <w:rsid w:val="003D4ECB"/>
    <w:rsid w:val="003D7762"/>
    <w:rsid w:val="003E18C5"/>
    <w:rsid w:val="003E2905"/>
    <w:rsid w:val="003E3239"/>
    <w:rsid w:val="003E4233"/>
    <w:rsid w:val="003F0556"/>
    <w:rsid w:val="003F22A1"/>
    <w:rsid w:val="003F24C2"/>
    <w:rsid w:val="003F258D"/>
    <w:rsid w:val="003F4001"/>
    <w:rsid w:val="003F43CF"/>
    <w:rsid w:val="003F727A"/>
    <w:rsid w:val="00400235"/>
    <w:rsid w:val="00400401"/>
    <w:rsid w:val="004010AE"/>
    <w:rsid w:val="00402286"/>
    <w:rsid w:val="004031D2"/>
    <w:rsid w:val="00404A9B"/>
    <w:rsid w:val="004056AA"/>
    <w:rsid w:val="00405B93"/>
    <w:rsid w:val="00406D00"/>
    <w:rsid w:val="004076A1"/>
    <w:rsid w:val="004139A8"/>
    <w:rsid w:val="0041578A"/>
    <w:rsid w:val="004163DC"/>
    <w:rsid w:val="004168E3"/>
    <w:rsid w:val="00420C98"/>
    <w:rsid w:val="00422DCB"/>
    <w:rsid w:val="00425482"/>
    <w:rsid w:val="00426925"/>
    <w:rsid w:val="00427A03"/>
    <w:rsid w:val="004300A9"/>
    <w:rsid w:val="004301D8"/>
    <w:rsid w:val="00431125"/>
    <w:rsid w:val="00431906"/>
    <w:rsid w:val="00431F01"/>
    <w:rsid w:val="00434974"/>
    <w:rsid w:val="004349B2"/>
    <w:rsid w:val="0043504A"/>
    <w:rsid w:val="004356A7"/>
    <w:rsid w:val="004378B5"/>
    <w:rsid w:val="004423D1"/>
    <w:rsid w:val="00445C20"/>
    <w:rsid w:val="00445C3A"/>
    <w:rsid w:val="00446ECB"/>
    <w:rsid w:val="004505E8"/>
    <w:rsid w:val="004509FC"/>
    <w:rsid w:val="004541C0"/>
    <w:rsid w:val="0046058E"/>
    <w:rsid w:val="004621B7"/>
    <w:rsid w:val="00462699"/>
    <w:rsid w:val="0046479A"/>
    <w:rsid w:val="00464AC7"/>
    <w:rsid w:val="0046672C"/>
    <w:rsid w:val="00466CCB"/>
    <w:rsid w:val="00466DCD"/>
    <w:rsid w:val="00475578"/>
    <w:rsid w:val="00476774"/>
    <w:rsid w:val="00476E5A"/>
    <w:rsid w:val="0048125A"/>
    <w:rsid w:val="00483B1F"/>
    <w:rsid w:val="00485E7C"/>
    <w:rsid w:val="00487B24"/>
    <w:rsid w:val="004906D2"/>
    <w:rsid w:val="00492E07"/>
    <w:rsid w:val="004944E5"/>
    <w:rsid w:val="00496137"/>
    <w:rsid w:val="00496195"/>
    <w:rsid w:val="004A3D92"/>
    <w:rsid w:val="004A6087"/>
    <w:rsid w:val="004A65BB"/>
    <w:rsid w:val="004A6AB3"/>
    <w:rsid w:val="004A77B4"/>
    <w:rsid w:val="004B1E71"/>
    <w:rsid w:val="004B3C37"/>
    <w:rsid w:val="004B642E"/>
    <w:rsid w:val="004B7142"/>
    <w:rsid w:val="004B7159"/>
    <w:rsid w:val="004C0298"/>
    <w:rsid w:val="004C124A"/>
    <w:rsid w:val="004C2FE1"/>
    <w:rsid w:val="004C349C"/>
    <w:rsid w:val="004C34B2"/>
    <w:rsid w:val="004C3EF5"/>
    <w:rsid w:val="004C5CBA"/>
    <w:rsid w:val="004C5EBB"/>
    <w:rsid w:val="004D0451"/>
    <w:rsid w:val="004D0ABF"/>
    <w:rsid w:val="004D1C15"/>
    <w:rsid w:val="004D281E"/>
    <w:rsid w:val="004D4481"/>
    <w:rsid w:val="004D46FE"/>
    <w:rsid w:val="004D4AE1"/>
    <w:rsid w:val="004D4CC6"/>
    <w:rsid w:val="004E12C3"/>
    <w:rsid w:val="004E2391"/>
    <w:rsid w:val="004E3777"/>
    <w:rsid w:val="004E43A6"/>
    <w:rsid w:val="004E5F43"/>
    <w:rsid w:val="004E726E"/>
    <w:rsid w:val="004F1576"/>
    <w:rsid w:val="004F2257"/>
    <w:rsid w:val="004F3B3F"/>
    <w:rsid w:val="004F4372"/>
    <w:rsid w:val="004F46B2"/>
    <w:rsid w:val="004F4870"/>
    <w:rsid w:val="004F5DE9"/>
    <w:rsid w:val="004F6FD3"/>
    <w:rsid w:val="00500778"/>
    <w:rsid w:val="005007AE"/>
    <w:rsid w:val="0050225E"/>
    <w:rsid w:val="00502E57"/>
    <w:rsid w:val="00503151"/>
    <w:rsid w:val="00503296"/>
    <w:rsid w:val="00503E62"/>
    <w:rsid w:val="00504692"/>
    <w:rsid w:val="005050AB"/>
    <w:rsid w:val="0050565D"/>
    <w:rsid w:val="00505A08"/>
    <w:rsid w:val="00505AEA"/>
    <w:rsid w:val="0050660D"/>
    <w:rsid w:val="0050670B"/>
    <w:rsid w:val="00506CBA"/>
    <w:rsid w:val="00506FC3"/>
    <w:rsid w:val="00507912"/>
    <w:rsid w:val="00510A52"/>
    <w:rsid w:val="00511BB7"/>
    <w:rsid w:val="00511DEC"/>
    <w:rsid w:val="00513386"/>
    <w:rsid w:val="005161D2"/>
    <w:rsid w:val="00521A14"/>
    <w:rsid w:val="00522555"/>
    <w:rsid w:val="00523F4D"/>
    <w:rsid w:val="005265CD"/>
    <w:rsid w:val="00527676"/>
    <w:rsid w:val="00537391"/>
    <w:rsid w:val="0054044F"/>
    <w:rsid w:val="005406AB"/>
    <w:rsid w:val="0054392C"/>
    <w:rsid w:val="0055206D"/>
    <w:rsid w:val="00552AFA"/>
    <w:rsid w:val="00552EB4"/>
    <w:rsid w:val="00553F5A"/>
    <w:rsid w:val="005566BB"/>
    <w:rsid w:val="00557934"/>
    <w:rsid w:val="005601D2"/>
    <w:rsid w:val="0056025B"/>
    <w:rsid w:val="005610A8"/>
    <w:rsid w:val="00563E41"/>
    <w:rsid w:val="00564BBC"/>
    <w:rsid w:val="005677B9"/>
    <w:rsid w:val="00570297"/>
    <w:rsid w:val="00570D8E"/>
    <w:rsid w:val="005731BB"/>
    <w:rsid w:val="00573803"/>
    <w:rsid w:val="005738B9"/>
    <w:rsid w:val="00574490"/>
    <w:rsid w:val="00575879"/>
    <w:rsid w:val="00580139"/>
    <w:rsid w:val="00590B3F"/>
    <w:rsid w:val="005938EF"/>
    <w:rsid w:val="0059421B"/>
    <w:rsid w:val="0059701B"/>
    <w:rsid w:val="005975E5"/>
    <w:rsid w:val="005A0EF3"/>
    <w:rsid w:val="005A1DDC"/>
    <w:rsid w:val="005A2103"/>
    <w:rsid w:val="005A3F34"/>
    <w:rsid w:val="005A5C9B"/>
    <w:rsid w:val="005A6CCA"/>
    <w:rsid w:val="005B00E3"/>
    <w:rsid w:val="005B171C"/>
    <w:rsid w:val="005B1729"/>
    <w:rsid w:val="005B25C1"/>
    <w:rsid w:val="005B27B2"/>
    <w:rsid w:val="005B3B99"/>
    <w:rsid w:val="005B3EE3"/>
    <w:rsid w:val="005B4511"/>
    <w:rsid w:val="005B5212"/>
    <w:rsid w:val="005C0FAA"/>
    <w:rsid w:val="005C1D3C"/>
    <w:rsid w:val="005C242A"/>
    <w:rsid w:val="005C3881"/>
    <w:rsid w:val="005C3FCC"/>
    <w:rsid w:val="005C6A55"/>
    <w:rsid w:val="005D160D"/>
    <w:rsid w:val="005D3641"/>
    <w:rsid w:val="005D63D5"/>
    <w:rsid w:val="005E1313"/>
    <w:rsid w:val="005E3CF4"/>
    <w:rsid w:val="005E70A2"/>
    <w:rsid w:val="005F3124"/>
    <w:rsid w:val="005F4717"/>
    <w:rsid w:val="005F48FC"/>
    <w:rsid w:val="006008B8"/>
    <w:rsid w:val="00603DFA"/>
    <w:rsid w:val="00610450"/>
    <w:rsid w:val="0061249D"/>
    <w:rsid w:val="006134D2"/>
    <w:rsid w:val="00613C29"/>
    <w:rsid w:val="00614084"/>
    <w:rsid w:val="00614514"/>
    <w:rsid w:val="00616C01"/>
    <w:rsid w:val="00623C7F"/>
    <w:rsid w:val="006272A3"/>
    <w:rsid w:val="00631523"/>
    <w:rsid w:val="0063171C"/>
    <w:rsid w:val="00633A7A"/>
    <w:rsid w:val="0064002C"/>
    <w:rsid w:val="0064003B"/>
    <w:rsid w:val="006426CB"/>
    <w:rsid w:val="00642983"/>
    <w:rsid w:val="006445C3"/>
    <w:rsid w:val="0064538F"/>
    <w:rsid w:val="006454DE"/>
    <w:rsid w:val="00647A31"/>
    <w:rsid w:val="00647D69"/>
    <w:rsid w:val="006544C3"/>
    <w:rsid w:val="006544DD"/>
    <w:rsid w:val="0065674F"/>
    <w:rsid w:val="00661668"/>
    <w:rsid w:val="00661843"/>
    <w:rsid w:val="0066335C"/>
    <w:rsid w:val="006638CA"/>
    <w:rsid w:val="00663CA2"/>
    <w:rsid w:val="00664050"/>
    <w:rsid w:val="0066771F"/>
    <w:rsid w:val="0067140F"/>
    <w:rsid w:val="00672F1B"/>
    <w:rsid w:val="00676380"/>
    <w:rsid w:val="00677792"/>
    <w:rsid w:val="00682312"/>
    <w:rsid w:val="00682E12"/>
    <w:rsid w:val="006830A1"/>
    <w:rsid w:val="00684559"/>
    <w:rsid w:val="00686B87"/>
    <w:rsid w:val="006932CA"/>
    <w:rsid w:val="00695814"/>
    <w:rsid w:val="006965DE"/>
    <w:rsid w:val="00697496"/>
    <w:rsid w:val="006A12F4"/>
    <w:rsid w:val="006A259E"/>
    <w:rsid w:val="006A27FE"/>
    <w:rsid w:val="006A2F93"/>
    <w:rsid w:val="006A31EF"/>
    <w:rsid w:val="006A5AE5"/>
    <w:rsid w:val="006A7C32"/>
    <w:rsid w:val="006B0E97"/>
    <w:rsid w:val="006B2B02"/>
    <w:rsid w:val="006B6C36"/>
    <w:rsid w:val="006B7867"/>
    <w:rsid w:val="006C156A"/>
    <w:rsid w:val="006C2D8F"/>
    <w:rsid w:val="006C58C4"/>
    <w:rsid w:val="006C6AA0"/>
    <w:rsid w:val="006D2B70"/>
    <w:rsid w:val="006D3A4F"/>
    <w:rsid w:val="006D3B15"/>
    <w:rsid w:val="006D448D"/>
    <w:rsid w:val="006D66DC"/>
    <w:rsid w:val="006E1F70"/>
    <w:rsid w:val="006E2059"/>
    <w:rsid w:val="006E28B6"/>
    <w:rsid w:val="006E35AA"/>
    <w:rsid w:val="006E49F6"/>
    <w:rsid w:val="006E58AA"/>
    <w:rsid w:val="006E7CFF"/>
    <w:rsid w:val="006F066D"/>
    <w:rsid w:val="006F128D"/>
    <w:rsid w:val="006F2B82"/>
    <w:rsid w:val="006F6096"/>
    <w:rsid w:val="006F68EA"/>
    <w:rsid w:val="0070248C"/>
    <w:rsid w:val="007051AE"/>
    <w:rsid w:val="00710DB8"/>
    <w:rsid w:val="00715342"/>
    <w:rsid w:val="007165A0"/>
    <w:rsid w:val="007179B2"/>
    <w:rsid w:val="00717DAE"/>
    <w:rsid w:val="0072234C"/>
    <w:rsid w:val="0073069A"/>
    <w:rsid w:val="00730E11"/>
    <w:rsid w:val="00733522"/>
    <w:rsid w:val="00734A45"/>
    <w:rsid w:val="00735F44"/>
    <w:rsid w:val="00737694"/>
    <w:rsid w:val="00737CE5"/>
    <w:rsid w:val="007412A4"/>
    <w:rsid w:val="0074338F"/>
    <w:rsid w:val="00744502"/>
    <w:rsid w:val="007452AA"/>
    <w:rsid w:val="00746BB6"/>
    <w:rsid w:val="00746C70"/>
    <w:rsid w:val="00747042"/>
    <w:rsid w:val="0074735B"/>
    <w:rsid w:val="007503AA"/>
    <w:rsid w:val="00752A10"/>
    <w:rsid w:val="00754082"/>
    <w:rsid w:val="007554AB"/>
    <w:rsid w:val="00755867"/>
    <w:rsid w:val="00760BE3"/>
    <w:rsid w:val="00762CD1"/>
    <w:rsid w:val="007638CC"/>
    <w:rsid w:val="00763FA4"/>
    <w:rsid w:val="0076487A"/>
    <w:rsid w:val="007664D5"/>
    <w:rsid w:val="00771224"/>
    <w:rsid w:val="0077134D"/>
    <w:rsid w:val="0077246D"/>
    <w:rsid w:val="007764BE"/>
    <w:rsid w:val="0077696C"/>
    <w:rsid w:val="007776CA"/>
    <w:rsid w:val="00783987"/>
    <w:rsid w:val="00784664"/>
    <w:rsid w:val="0078540A"/>
    <w:rsid w:val="00787455"/>
    <w:rsid w:val="007876DF"/>
    <w:rsid w:val="00794609"/>
    <w:rsid w:val="00795C91"/>
    <w:rsid w:val="00795ECB"/>
    <w:rsid w:val="00796463"/>
    <w:rsid w:val="00797588"/>
    <w:rsid w:val="007A1B83"/>
    <w:rsid w:val="007A2086"/>
    <w:rsid w:val="007A3123"/>
    <w:rsid w:val="007A3B15"/>
    <w:rsid w:val="007A4D33"/>
    <w:rsid w:val="007A4DD0"/>
    <w:rsid w:val="007A6239"/>
    <w:rsid w:val="007A70CE"/>
    <w:rsid w:val="007B2B45"/>
    <w:rsid w:val="007B3CA7"/>
    <w:rsid w:val="007B5B07"/>
    <w:rsid w:val="007B6351"/>
    <w:rsid w:val="007C1969"/>
    <w:rsid w:val="007C34CA"/>
    <w:rsid w:val="007C3F5A"/>
    <w:rsid w:val="007C4858"/>
    <w:rsid w:val="007C4E8F"/>
    <w:rsid w:val="007C6B8C"/>
    <w:rsid w:val="007C7937"/>
    <w:rsid w:val="007D279D"/>
    <w:rsid w:val="007E03AB"/>
    <w:rsid w:val="007E5FD0"/>
    <w:rsid w:val="007F0ADF"/>
    <w:rsid w:val="007F27E6"/>
    <w:rsid w:val="007F2DE0"/>
    <w:rsid w:val="007F36B7"/>
    <w:rsid w:val="007F5812"/>
    <w:rsid w:val="007F65CC"/>
    <w:rsid w:val="008024E8"/>
    <w:rsid w:val="008029B6"/>
    <w:rsid w:val="00803480"/>
    <w:rsid w:val="00806C2D"/>
    <w:rsid w:val="00807B26"/>
    <w:rsid w:val="00811629"/>
    <w:rsid w:val="00811D1D"/>
    <w:rsid w:val="00812563"/>
    <w:rsid w:val="008128A4"/>
    <w:rsid w:val="00813631"/>
    <w:rsid w:val="00815617"/>
    <w:rsid w:val="00815953"/>
    <w:rsid w:val="00815B2B"/>
    <w:rsid w:val="00817B5B"/>
    <w:rsid w:val="0082078F"/>
    <w:rsid w:val="008209A1"/>
    <w:rsid w:val="0082353F"/>
    <w:rsid w:val="0082463B"/>
    <w:rsid w:val="00825871"/>
    <w:rsid w:val="008263E6"/>
    <w:rsid w:val="00826556"/>
    <w:rsid w:val="00826805"/>
    <w:rsid w:val="0082743B"/>
    <w:rsid w:val="00834CBE"/>
    <w:rsid w:val="00835CA9"/>
    <w:rsid w:val="00835F34"/>
    <w:rsid w:val="00836C60"/>
    <w:rsid w:val="008417CC"/>
    <w:rsid w:val="00842795"/>
    <w:rsid w:val="0084389C"/>
    <w:rsid w:val="0084694B"/>
    <w:rsid w:val="00847403"/>
    <w:rsid w:val="00853356"/>
    <w:rsid w:val="00856510"/>
    <w:rsid w:val="008617AA"/>
    <w:rsid w:val="00872490"/>
    <w:rsid w:val="00874264"/>
    <w:rsid w:val="0087469E"/>
    <w:rsid w:val="0087575B"/>
    <w:rsid w:val="00876676"/>
    <w:rsid w:val="00880CE9"/>
    <w:rsid w:val="00880E40"/>
    <w:rsid w:val="00881ED3"/>
    <w:rsid w:val="00884942"/>
    <w:rsid w:val="00884A5C"/>
    <w:rsid w:val="0089090D"/>
    <w:rsid w:val="0089142E"/>
    <w:rsid w:val="00895129"/>
    <w:rsid w:val="008A0AE2"/>
    <w:rsid w:val="008A1990"/>
    <w:rsid w:val="008A220E"/>
    <w:rsid w:val="008A542F"/>
    <w:rsid w:val="008B02BD"/>
    <w:rsid w:val="008B1026"/>
    <w:rsid w:val="008B1733"/>
    <w:rsid w:val="008B1E7C"/>
    <w:rsid w:val="008B2FE2"/>
    <w:rsid w:val="008B3C74"/>
    <w:rsid w:val="008B4F6B"/>
    <w:rsid w:val="008B73AF"/>
    <w:rsid w:val="008C085D"/>
    <w:rsid w:val="008C0F70"/>
    <w:rsid w:val="008C288B"/>
    <w:rsid w:val="008C6089"/>
    <w:rsid w:val="008C71C5"/>
    <w:rsid w:val="008C7431"/>
    <w:rsid w:val="008D062F"/>
    <w:rsid w:val="008E1354"/>
    <w:rsid w:val="008E1FB6"/>
    <w:rsid w:val="008E7EBA"/>
    <w:rsid w:val="008F0041"/>
    <w:rsid w:val="008F0092"/>
    <w:rsid w:val="008F0F59"/>
    <w:rsid w:val="009014FF"/>
    <w:rsid w:val="009019E6"/>
    <w:rsid w:val="00902083"/>
    <w:rsid w:val="00902E00"/>
    <w:rsid w:val="00902EAC"/>
    <w:rsid w:val="00906504"/>
    <w:rsid w:val="0090673B"/>
    <w:rsid w:val="0090784E"/>
    <w:rsid w:val="0091371C"/>
    <w:rsid w:val="00915C47"/>
    <w:rsid w:val="00915DB0"/>
    <w:rsid w:val="009167BC"/>
    <w:rsid w:val="00916B6D"/>
    <w:rsid w:val="00920254"/>
    <w:rsid w:val="00920B10"/>
    <w:rsid w:val="00921D26"/>
    <w:rsid w:val="009308AF"/>
    <w:rsid w:val="009317D0"/>
    <w:rsid w:val="00932593"/>
    <w:rsid w:val="00932D43"/>
    <w:rsid w:val="00933652"/>
    <w:rsid w:val="00934C8B"/>
    <w:rsid w:val="00935D34"/>
    <w:rsid w:val="00936BE1"/>
    <w:rsid w:val="00940610"/>
    <w:rsid w:val="009416F0"/>
    <w:rsid w:val="00943B37"/>
    <w:rsid w:val="00944C3E"/>
    <w:rsid w:val="00947D0A"/>
    <w:rsid w:val="00950881"/>
    <w:rsid w:val="00953BEB"/>
    <w:rsid w:val="0095405F"/>
    <w:rsid w:val="00954712"/>
    <w:rsid w:val="00957761"/>
    <w:rsid w:val="00960056"/>
    <w:rsid w:val="00960D08"/>
    <w:rsid w:val="00961307"/>
    <w:rsid w:val="009645FF"/>
    <w:rsid w:val="009666E9"/>
    <w:rsid w:val="009718D0"/>
    <w:rsid w:val="009723DC"/>
    <w:rsid w:val="009734E6"/>
    <w:rsid w:val="00977C40"/>
    <w:rsid w:val="00981174"/>
    <w:rsid w:val="00981A65"/>
    <w:rsid w:val="00982A34"/>
    <w:rsid w:val="00983017"/>
    <w:rsid w:val="00983A7C"/>
    <w:rsid w:val="0098616B"/>
    <w:rsid w:val="00986F17"/>
    <w:rsid w:val="0099090D"/>
    <w:rsid w:val="00994278"/>
    <w:rsid w:val="00994E57"/>
    <w:rsid w:val="0099501D"/>
    <w:rsid w:val="009956AC"/>
    <w:rsid w:val="00996169"/>
    <w:rsid w:val="00997D58"/>
    <w:rsid w:val="009A1D48"/>
    <w:rsid w:val="009A1E24"/>
    <w:rsid w:val="009A597A"/>
    <w:rsid w:val="009B3512"/>
    <w:rsid w:val="009B4F73"/>
    <w:rsid w:val="009B5572"/>
    <w:rsid w:val="009B71F2"/>
    <w:rsid w:val="009B75CC"/>
    <w:rsid w:val="009B779C"/>
    <w:rsid w:val="009B7933"/>
    <w:rsid w:val="009C0E83"/>
    <w:rsid w:val="009C1524"/>
    <w:rsid w:val="009C2DA2"/>
    <w:rsid w:val="009C7E52"/>
    <w:rsid w:val="009D0106"/>
    <w:rsid w:val="009D02C5"/>
    <w:rsid w:val="009D1153"/>
    <w:rsid w:val="009D50AF"/>
    <w:rsid w:val="009D52E9"/>
    <w:rsid w:val="009D5A6F"/>
    <w:rsid w:val="009D6FA5"/>
    <w:rsid w:val="009D7EEE"/>
    <w:rsid w:val="009E0AB5"/>
    <w:rsid w:val="009E0CF8"/>
    <w:rsid w:val="009E1343"/>
    <w:rsid w:val="009E1D0B"/>
    <w:rsid w:val="009E1EF7"/>
    <w:rsid w:val="009E4C52"/>
    <w:rsid w:val="009E65C0"/>
    <w:rsid w:val="009E73E1"/>
    <w:rsid w:val="009E7B9C"/>
    <w:rsid w:val="009F2CD4"/>
    <w:rsid w:val="009F33DC"/>
    <w:rsid w:val="00A01BDD"/>
    <w:rsid w:val="00A02BF1"/>
    <w:rsid w:val="00A0319C"/>
    <w:rsid w:val="00A054BD"/>
    <w:rsid w:val="00A05633"/>
    <w:rsid w:val="00A1036B"/>
    <w:rsid w:val="00A127FD"/>
    <w:rsid w:val="00A1664B"/>
    <w:rsid w:val="00A16682"/>
    <w:rsid w:val="00A20D53"/>
    <w:rsid w:val="00A22080"/>
    <w:rsid w:val="00A22F28"/>
    <w:rsid w:val="00A253DA"/>
    <w:rsid w:val="00A26877"/>
    <w:rsid w:val="00A277E2"/>
    <w:rsid w:val="00A308D7"/>
    <w:rsid w:val="00A32A31"/>
    <w:rsid w:val="00A339CE"/>
    <w:rsid w:val="00A407EB"/>
    <w:rsid w:val="00A4371B"/>
    <w:rsid w:val="00A437A2"/>
    <w:rsid w:val="00A4388A"/>
    <w:rsid w:val="00A45ACF"/>
    <w:rsid w:val="00A46682"/>
    <w:rsid w:val="00A472E5"/>
    <w:rsid w:val="00A47B06"/>
    <w:rsid w:val="00A54E71"/>
    <w:rsid w:val="00A55FEA"/>
    <w:rsid w:val="00A57035"/>
    <w:rsid w:val="00A571FE"/>
    <w:rsid w:val="00A57305"/>
    <w:rsid w:val="00A57A84"/>
    <w:rsid w:val="00A60543"/>
    <w:rsid w:val="00A62785"/>
    <w:rsid w:val="00A65606"/>
    <w:rsid w:val="00A657B9"/>
    <w:rsid w:val="00A65A87"/>
    <w:rsid w:val="00A71E71"/>
    <w:rsid w:val="00A72A21"/>
    <w:rsid w:val="00A72A2C"/>
    <w:rsid w:val="00A738A4"/>
    <w:rsid w:val="00A744C0"/>
    <w:rsid w:val="00A76CE0"/>
    <w:rsid w:val="00A76ECB"/>
    <w:rsid w:val="00A7751F"/>
    <w:rsid w:val="00A8582C"/>
    <w:rsid w:val="00A90D4F"/>
    <w:rsid w:val="00A93445"/>
    <w:rsid w:val="00A93D29"/>
    <w:rsid w:val="00A94079"/>
    <w:rsid w:val="00A9491C"/>
    <w:rsid w:val="00A950D8"/>
    <w:rsid w:val="00A969E6"/>
    <w:rsid w:val="00A97055"/>
    <w:rsid w:val="00A97369"/>
    <w:rsid w:val="00AA09F4"/>
    <w:rsid w:val="00AA0E56"/>
    <w:rsid w:val="00AA2941"/>
    <w:rsid w:val="00AB1892"/>
    <w:rsid w:val="00AB2397"/>
    <w:rsid w:val="00AB2E0E"/>
    <w:rsid w:val="00AB361D"/>
    <w:rsid w:val="00AB3EF2"/>
    <w:rsid w:val="00AB7D36"/>
    <w:rsid w:val="00AC0935"/>
    <w:rsid w:val="00AC0BA4"/>
    <w:rsid w:val="00AC1765"/>
    <w:rsid w:val="00AC5C13"/>
    <w:rsid w:val="00AC670B"/>
    <w:rsid w:val="00AC6CF6"/>
    <w:rsid w:val="00AC7D16"/>
    <w:rsid w:val="00AC7F28"/>
    <w:rsid w:val="00AD32C7"/>
    <w:rsid w:val="00AD61C8"/>
    <w:rsid w:val="00AD6547"/>
    <w:rsid w:val="00AE0807"/>
    <w:rsid w:val="00AE0AA5"/>
    <w:rsid w:val="00AE10F2"/>
    <w:rsid w:val="00AE262F"/>
    <w:rsid w:val="00AE439C"/>
    <w:rsid w:val="00AE55CC"/>
    <w:rsid w:val="00AE57E8"/>
    <w:rsid w:val="00AE64E3"/>
    <w:rsid w:val="00AF0A87"/>
    <w:rsid w:val="00AF4668"/>
    <w:rsid w:val="00AF74B0"/>
    <w:rsid w:val="00B008AA"/>
    <w:rsid w:val="00B01816"/>
    <w:rsid w:val="00B051F6"/>
    <w:rsid w:val="00B05D07"/>
    <w:rsid w:val="00B15573"/>
    <w:rsid w:val="00B15AA6"/>
    <w:rsid w:val="00B15D96"/>
    <w:rsid w:val="00B1666B"/>
    <w:rsid w:val="00B227DD"/>
    <w:rsid w:val="00B239A3"/>
    <w:rsid w:val="00B247FB"/>
    <w:rsid w:val="00B25ACA"/>
    <w:rsid w:val="00B26CDA"/>
    <w:rsid w:val="00B31C5F"/>
    <w:rsid w:val="00B3204E"/>
    <w:rsid w:val="00B33CEB"/>
    <w:rsid w:val="00B36047"/>
    <w:rsid w:val="00B361FC"/>
    <w:rsid w:val="00B37400"/>
    <w:rsid w:val="00B37899"/>
    <w:rsid w:val="00B37C39"/>
    <w:rsid w:val="00B40890"/>
    <w:rsid w:val="00B42359"/>
    <w:rsid w:val="00B429DC"/>
    <w:rsid w:val="00B43566"/>
    <w:rsid w:val="00B43D03"/>
    <w:rsid w:val="00B44C4D"/>
    <w:rsid w:val="00B536F0"/>
    <w:rsid w:val="00B578D0"/>
    <w:rsid w:val="00B57FD4"/>
    <w:rsid w:val="00B628B0"/>
    <w:rsid w:val="00B62A9A"/>
    <w:rsid w:val="00B62D71"/>
    <w:rsid w:val="00B670D4"/>
    <w:rsid w:val="00B67244"/>
    <w:rsid w:val="00B67AD1"/>
    <w:rsid w:val="00B72234"/>
    <w:rsid w:val="00B728F6"/>
    <w:rsid w:val="00B73F10"/>
    <w:rsid w:val="00B76182"/>
    <w:rsid w:val="00B77C36"/>
    <w:rsid w:val="00B77C89"/>
    <w:rsid w:val="00B80427"/>
    <w:rsid w:val="00B815E3"/>
    <w:rsid w:val="00B83A12"/>
    <w:rsid w:val="00B83BC1"/>
    <w:rsid w:val="00B86616"/>
    <w:rsid w:val="00B8770A"/>
    <w:rsid w:val="00B87933"/>
    <w:rsid w:val="00B87B39"/>
    <w:rsid w:val="00B91872"/>
    <w:rsid w:val="00B92F5A"/>
    <w:rsid w:val="00B954BF"/>
    <w:rsid w:val="00B9620C"/>
    <w:rsid w:val="00B96693"/>
    <w:rsid w:val="00BA1F0A"/>
    <w:rsid w:val="00BA3706"/>
    <w:rsid w:val="00BA4880"/>
    <w:rsid w:val="00BA4B4E"/>
    <w:rsid w:val="00BB20B9"/>
    <w:rsid w:val="00BB6200"/>
    <w:rsid w:val="00BB7C25"/>
    <w:rsid w:val="00BC038E"/>
    <w:rsid w:val="00BC1256"/>
    <w:rsid w:val="00BC217E"/>
    <w:rsid w:val="00BC2C95"/>
    <w:rsid w:val="00BC605E"/>
    <w:rsid w:val="00BC65C8"/>
    <w:rsid w:val="00BC6FF0"/>
    <w:rsid w:val="00BD023B"/>
    <w:rsid w:val="00BD0CB5"/>
    <w:rsid w:val="00BE3F6A"/>
    <w:rsid w:val="00BE6B22"/>
    <w:rsid w:val="00BE73DF"/>
    <w:rsid w:val="00BF2E0E"/>
    <w:rsid w:val="00BF2F92"/>
    <w:rsid w:val="00BF4AC7"/>
    <w:rsid w:val="00BF5B92"/>
    <w:rsid w:val="00C040E4"/>
    <w:rsid w:val="00C063E2"/>
    <w:rsid w:val="00C065A6"/>
    <w:rsid w:val="00C10965"/>
    <w:rsid w:val="00C113A8"/>
    <w:rsid w:val="00C11E1E"/>
    <w:rsid w:val="00C14B01"/>
    <w:rsid w:val="00C16F81"/>
    <w:rsid w:val="00C27382"/>
    <w:rsid w:val="00C31692"/>
    <w:rsid w:val="00C32C21"/>
    <w:rsid w:val="00C33C21"/>
    <w:rsid w:val="00C35ACF"/>
    <w:rsid w:val="00C3648D"/>
    <w:rsid w:val="00C373B2"/>
    <w:rsid w:val="00C37602"/>
    <w:rsid w:val="00C3794E"/>
    <w:rsid w:val="00C42B7F"/>
    <w:rsid w:val="00C45C73"/>
    <w:rsid w:val="00C47910"/>
    <w:rsid w:val="00C50847"/>
    <w:rsid w:val="00C523CF"/>
    <w:rsid w:val="00C53116"/>
    <w:rsid w:val="00C5590C"/>
    <w:rsid w:val="00C560DD"/>
    <w:rsid w:val="00C602B7"/>
    <w:rsid w:val="00C60539"/>
    <w:rsid w:val="00C609AD"/>
    <w:rsid w:val="00C60CBE"/>
    <w:rsid w:val="00C60EE5"/>
    <w:rsid w:val="00C66351"/>
    <w:rsid w:val="00C734F1"/>
    <w:rsid w:val="00C73DAF"/>
    <w:rsid w:val="00C7500E"/>
    <w:rsid w:val="00C75EFA"/>
    <w:rsid w:val="00C8040D"/>
    <w:rsid w:val="00C81517"/>
    <w:rsid w:val="00C81826"/>
    <w:rsid w:val="00C82BD0"/>
    <w:rsid w:val="00C84C03"/>
    <w:rsid w:val="00C854C9"/>
    <w:rsid w:val="00C86168"/>
    <w:rsid w:val="00C866E7"/>
    <w:rsid w:val="00C868F5"/>
    <w:rsid w:val="00C91898"/>
    <w:rsid w:val="00C94F01"/>
    <w:rsid w:val="00CA6334"/>
    <w:rsid w:val="00CA7827"/>
    <w:rsid w:val="00CB0240"/>
    <w:rsid w:val="00CB16C5"/>
    <w:rsid w:val="00CB25B6"/>
    <w:rsid w:val="00CB2908"/>
    <w:rsid w:val="00CB38C7"/>
    <w:rsid w:val="00CB5F22"/>
    <w:rsid w:val="00CB6D83"/>
    <w:rsid w:val="00CC0DB3"/>
    <w:rsid w:val="00CC1802"/>
    <w:rsid w:val="00CC4D0B"/>
    <w:rsid w:val="00CD0011"/>
    <w:rsid w:val="00CD1CA6"/>
    <w:rsid w:val="00CD3EB3"/>
    <w:rsid w:val="00CD497E"/>
    <w:rsid w:val="00CD5681"/>
    <w:rsid w:val="00CD7611"/>
    <w:rsid w:val="00CE1A48"/>
    <w:rsid w:val="00CE1C39"/>
    <w:rsid w:val="00CE4732"/>
    <w:rsid w:val="00CE5383"/>
    <w:rsid w:val="00CE56E6"/>
    <w:rsid w:val="00CE66A3"/>
    <w:rsid w:val="00CF12D7"/>
    <w:rsid w:val="00CF2F86"/>
    <w:rsid w:val="00CF2FA9"/>
    <w:rsid w:val="00CF4268"/>
    <w:rsid w:val="00CF5D8D"/>
    <w:rsid w:val="00CF6954"/>
    <w:rsid w:val="00CF6AF5"/>
    <w:rsid w:val="00D02033"/>
    <w:rsid w:val="00D036ED"/>
    <w:rsid w:val="00D056BD"/>
    <w:rsid w:val="00D07409"/>
    <w:rsid w:val="00D0781C"/>
    <w:rsid w:val="00D10C4B"/>
    <w:rsid w:val="00D127D2"/>
    <w:rsid w:val="00D1607B"/>
    <w:rsid w:val="00D223D8"/>
    <w:rsid w:val="00D228F5"/>
    <w:rsid w:val="00D25AE2"/>
    <w:rsid w:val="00D26005"/>
    <w:rsid w:val="00D26751"/>
    <w:rsid w:val="00D31D77"/>
    <w:rsid w:val="00D35198"/>
    <w:rsid w:val="00D36D64"/>
    <w:rsid w:val="00D4161B"/>
    <w:rsid w:val="00D4313C"/>
    <w:rsid w:val="00D438FC"/>
    <w:rsid w:val="00D43A80"/>
    <w:rsid w:val="00D43C08"/>
    <w:rsid w:val="00D45BAA"/>
    <w:rsid w:val="00D45F6A"/>
    <w:rsid w:val="00D463C7"/>
    <w:rsid w:val="00D4773C"/>
    <w:rsid w:val="00D4780E"/>
    <w:rsid w:val="00D50E54"/>
    <w:rsid w:val="00D52886"/>
    <w:rsid w:val="00D53E6F"/>
    <w:rsid w:val="00D570A6"/>
    <w:rsid w:val="00D57B9E"/>
    <w:rsid w:val="00D57D73"/>
    <w:rsid w:val="00D57DAC"/>
    <w:rsid w:val="00D60970"/>
    <w:rsid w:val="00D60E06"/>
    <w:rsid w:val="00D6143F"/>
    <w:rsid w:val="00D623C0"/>
    <w:rsid w:val="00D6262A"/>
    <w:rsid w:val="00D647DB"/>
    <w:rsid w:val="00D66333"/>
    <w:rsid w:val="00D663D6"/>
    <w:rsid w:val="00D71678"/>
    <w:rsid w:val="00D7205E"/>
    <w:rsid w:val="00D75483"/>
    <w:rsid w:val="00D81666"/>
    <w:rsid w:val="00D81B8C"/>
    <w:rsid w:val="00D820A7"/>
    <w:rsid w:val="00D82BCE"/>
    <w:rsid w:val="00D848BE"/>
    <w:rsid w:val="00D85E14"/>
    <w:rsid w:val="00D862C0"/>
    <w:rsid w:val="00D875B9"/>
    <w:rsid w:val="00D910DC"/>
    <w:rsid w:val="00D911D0"/>
    <w:rsid w:val="00D92910"/>
    <w:rsid w:val="00D92994"/>
    <w:rsid w:val="00D9310A"/>
    <w:rsid w:val="00D93909"/>
    <w:rsid w:val="00D97145"/>
    <w:rsid w:val="00D9795F"/>
    <w:rsid w:val="00DA08C0"/>
    <w:rsid w:val="00DA0C3F"/>
    <w:rsid w:val="00DA165A"/>
    <w:rsid w:val="00DA7212"/>
    <w:rsid w:val="00DB10B1"/>
    <w:rsid w:val="00DB4026"/>
    <w:rsid w:val="00DB5372"/>
    <w:rsid w:val="00DB756F"/>
    <w:rsid w:val="00DC7ADA"/>
    <w:rsid w:val="00DD077E"/>
    <w:rsid w:val="00DD25A6"/>
    <w:rsid w:val="00DD3C31"/>
    <w:rsid w:val="00DD6814"/>
    <w:rsid w:val="00DE19F2"/>
    <w:rsid w:val="00DE2FD8"/>
    <w:rsid w:val="00DE4F11"/>
    <w:rsid w:val="00DE5AE3"/>
    <w:rsid w:val="00DE5AE5"/>
    <w:rsid w:val="00DE5FE5"/>
    <w:rsid w:val="00DE69CF"/>
    <w:rsid w:val="00DE731F"/>
    <w:rsid w:val="00DE76EB"/>
    <w:rsid w:val="00DF03B8"/>
    <w:rsid w:val="00DF25DE"/>
    <w:rsid w:val="00DF47A3"/>
    <w:rsid w:val="00DF5A3F"/>
    <w:rsid w:val="00DF6923"/>
    <w:rsid w:val="00DF6A69"/>
    <w:rsid w:val="00DF6E0A"/>
    <w:rsid w:val="00DF6EEB"/>
    <w:rsid w:val="00E00D79"/>
    <w:rsid w:val="00E027C8"/>
    <w:rsid w:val="00E07A7F"/>
    <w:rsid w:val="00E14951"/>
    <w:rsid w:val="00E14C9A"/>
    <w:rsid w:val="00E158E4"/>
    <w:rsid w:val="00E21122"/>
    <w:rsid w:val="00E21A52"/>
    <w:rsid w:val="00E21E4C"/>
    <w:rsid w:val="00E2441A"/>
    <w:rsid w:val="00E249D7"/>
    <w:rsid w:val="00E256ED"/>
    <w:rsid w:val="00E26F7C"/>
    <w:rsid w:val="00E27781"/>
    <w:rsid w:val="00E32F7D"/>
    <w:rsid w:val="00E33036"/>
    <w:rsid w:val="00E34F44"/>
    <w:rsid w:val="00E35664"/>
    <w:rsid w:val="00E36D09"/>
    <w:rsid w:val="00E41577"/>
    <w:rsid w:val="00E4211E"/>
    <w:rsid w:val="00E4353D"/>
    <w:rsid w:val="00E441EA"/>
    <w:rsid w:val="00E442A2"/>
    <w:rsid w:val="00E44F17"/>
    <w:rsid w:val="00E45822"/>
    <w:rsid w:val="00E51145"/>
    <w:rsid w:val="00E534DB"/>
    <w:rsid w:val="00E54B18"/>
    <w:rsid w:val="00E56C46"/>
    <w:rsid w:val="00E57E4A"/>
    <w:rsid w:val="00E60AD1"/>
    <w:rsid w:val="00E623DF"/>
    <w:rsid w:val="00E6366F"/>
    <w:rsid w:val="00E70516"/>
    <w:rsid w:val="00E71037"/>
    <w:rsid w:val="00E71378"/>
    <w:rsid w:val="00E72DBB"/>
    <w:rsid w:val="00E73B05"/>
    <w:rsid w:val="00E73F40"/>
    <w:rsid w:val="00E74510"/>
    <w:rsid w:val="00E763BF"/>
    <w:rsid w:val="00E80274"/>
    <w:rsid w:val="00E80A3B"/>
    <w:rsid w:val="00E81F1E"/>
    <w:rsid w:val="00E823F2"/>
    <w:rsid w:val="00E84EAC"/>
    <w:rsid w:val="00E84FCE"/>
    <w:rsid w:val="00E958C7"/>
    <w:rsid w:val="00E95F65"/>
    <w:rsid w:val="00EA145A"/>
    <w:rsid w:val="00EA228E"/>
    <w:rsid w:val="00EA544A"/>
    <w:rsid w:val="00EA5998"/>
    <w:rsid w:val="00EA6828"/>
    <w:rsid w:val="00EB174C"/>
    <w:rsid w:val="00EB1ED1"/>
    <w:rsid w:val="00EB276C"/>
    <w:rsid w:val="00EB3510"/>
    <w:rsid w:val="00EB53E5"/>
    <w:rsid w:val="00EB730B"/>
    <w:rsid w:val="00EC163E"/>
    <w:rsid w:val="00EC2712"/>
    <w:rsid w:val="00EC28C4"/>
    <w:rsid w:val="00EC3AEB"/>
    <w:rsid w:val="00EC60A3"/>
    <w:rsid w:val="00ED078C"/>
    <w:rsid w:val="00ED1ED7"/>
    <w:rsid w:val="00ED3F70"/>
    <w:rsid w:val="00EE2AAD"/>
    <w:rsid w:val="00EE5965"/>
    <w:rsid w:val="00EF3D98"/>
    <w:rsid w:val="00EF3E3C"/>
    <w:rsid w:val="00EF4318"/>
    <w:rsid w:val="00EF4E70"/>
    <w:rsid w:val="00EF50B4"/>
    <w:rsid w:val="00EF709E"/>
    <w:rsid w:val="00F00B3D"/>
    <w:rsid w:val="00F049E3"/>
    <w:rsid w:val="00F10895"/>
    <w:rsid w:val="00F11382"/>
    <w:rsid w:val="00F1222D"/>
    <w:rsid w:val="00F17195"/>
    <w:rsid w:val="00F2049E"/>
    <w:rsid w:val="00F21A2B"/>
    <w:rsid w:val="00F237E6"/>
    <w:rsid w:val="00F257E1"/>
    <w:rsid w:val="00F25F42"/>
    <w:rsid w:val="00F263B0"/>
    <w:rsid w:val="00F2648B"/>
    <w:rsid w:val="00F26490"/>
    <w:rsid w:val="00F26652"/>
    <w:rsid w:val="00F30A2A"/>
    <w:rsid w:val="00F323EE"/>
    <w:rsid w:val="00F35052"/>
    <w:rsid w:val="00F35A37"/>
    <w:rsid w:val="00F36068"/>
    <w:rsid w:val="00F36330"/>
    <w:rsid w:val="00F41A1B"/>
    <w:rsid w:val="00F4339B"/>
    <w:rsid w:val="00F4362A"/>
    <w:rsid w:val="00F43D60"/>
    <w:rsid w:val="00F45181"/>
    <w:rsid w:val="00F50DC6"/>
    <w:rsid w:val="00F51E8B"/>
    <w:rsid w:val="00F5225C"/>
    <w:rsid w:val="00F52532"/>
    <w:rsid w:val="00F5695B"/>
    <w:rsid w:val="00F57955"/>
    <w:rsid w:val="00F579BE"/>
    <w:rsid w:val="00F579FB"/>
    <w:rsid w:val="00F62C26"/>
    <w:rsid w:val="00F66246"/>
    <w:rsid w:val="00F71971"/>
    <w:rsid w:val="00F72581"/>
    <w:rsid w:val="00F73912"/>
    <w:rsid w:val="00F73BEA"/>
    <w:rsid w:val="00F748AF"/>
    <w:rsid w:val="00F75D9A"/>
    <w:rsid w:val="00F75F9C"/>
    <w:rsid w:val="00F76165"/>
    <w:rsid w:val="00F80499"/>
    <w:rsid w:val="00F84F66"/>
    <w:rsid w:val="00F8741C"/>
    <w:rsid w:val="00F910ED"/>
    <w:rsid w:val="00F93C43"/>
    <w:rsid w:val="00F955FF"/>
    <w:rsid w:val="00FA1285"/>
    <w:rsid w:val="00FA339B"/>
    <w:rsid w:val="00FA5830"/>
    <w:rsid w:val="00FA6537"/>
    <w:rsid w:val="00FB105B"/>
    <w:rsid w:val="00FB2CC5"/>
    <w:rsid w:val="00FB4EDE"/>
    <w:rsid w:val="00FB5BF0"/>
    <w:rsid w:val="00FB7066"/>
    <w:rsid w:val="00FC078B"/>
    <w:rsid w:val="00FC2BBA"/>
    <w:rsid w:val="00FC6696"/>
    <w:rsid w:val="00FD0151"/>
    <w:rsid w:val="00FD10A4"/>
    <w:rsid w:val="00FD23EC"/>
    <w:rsid w:val="00FD497D"/>
    <w:rsid w:val="00FD5477"/>
    <w:rsid w:val="00FD5FCB"/>
    <w:rsid w:val="00FE06A2"/>
    <w:rsid w:val="00FE0BC7"/>
    <w:rsid w:val="00FE11DC"/>
    <w:rsid w:val="00FE3A74"/>
    <w:rsid w:val="01387E25"/>
    <w:rsid w:val="01527EDF"/>
    <w:rsid w:val="017E2B9B"/>
    <w:rsid w:val="01F17CDA"/>
    <w:rsid w:val="02023E59"/>
    <w:rsid w:val="02B52604"/>
    <w:rsid w:val="031642F5"/>
    <w:rsid w:val="03D42E2E"/>
    <w:rsid w:val="03D6742F"/>
    <w:rsid w:val="03F36561"/>
    <w:rsid w:val="04096C02"/>
    <w:rsid w:val="042154D0"/>
    <w:rsid w:val="045B1517"/>
    <w:rsid w:val="049D702F"/>
    <w:rsid w:val="04D545BC"/>
    <w:rsid w:val="063876A4"/>
    <w:rsid w:val="06514FB1"/>
    <w:rsid w:val="06B748FD"/>
    <w:rsid w:val="06C367BB"/>
    <w:rsid w:val="08674306"/>
    <w:rsid w:val="08732C15"/>
    <w:rsid w:val="08BD5B87"/>
    <w:rsid w:val="08CB6D3D"/>
    <w:rsid w:val="08F9744B"/>
    <w:rsid w:val="098D7D07"/>
    <w:rsid w:val="09CA0F5B"/>
    <w:rsid w:val="0A5C2F6E"/>
    <w:rsid w:val="0A8C423A"/>
    <w:rsid w:val="0ADE2235"/>
    <w:rsid w:val="0B204BAA"/>
    <w:rsid w:val="0B59427D"/>
    <w:rsid w:val="0B662F05"/>
    <w:rsid w:val="0B76198A"/>
    <w:rsid w:val="0C196AAD"/>
    <w:rsid w:val="0CB25A31"/>
    <w:rsid w:val="0D4E3E5A"/>
    <w:rsid w:val="0D7F2FB5"/>
    <w:rsid w:val="0E2826D7"/>
    <w:rsid w:val="0F4B0D96"/>
    <w:rsid w:val="0F84472A"/>
    <w:rsid w:val="10036F74"/>
    <w:rsid w:val="10334A2B"/>
    <w:rsid w:val="11166833"/>
    <w:rsid w:val="117340CB"/>
    <w:rsid w:val="11D72467"/>
    <w:rsid w:val="11F12DFD"/>
    <w:rsid w:val="12163C84"/>
    <w:rsid w:val="123254A4"/>
    <w:rsid w:val="12823E25"/>
    <w:rsid w:val="12897A2F"/>
    <w:rsid w:val="12942106"/>
    <w:rsid w:val="12A83E03"/>
    <w:rsid w:val="12B77E5A"/>
    <w:rsid w:val="130C3EBB"/>
    <w:rsid w:val="133774AD"/>
    <w:rsid w:val="139E0D62"/>
    <w:rsid w:val="13A34D0E"/>
    <w:rsid w:val="142E381C"/>
    <w:rsid w:val="15204125"/>
    <w:rsid w:val="15545B7C"/>
    <w:rsid w:val="15853F88"/>
    <w:rsid w:val="158A1A9D"/>
    <w:rsid w:val="158D1887"/>
    <w:rsid w:val="166132ED"/>
    <w:rsid w:val="173C5E4F"/>
    <w:rsid w:val="182A0E16"/>
    <w:rsid w:val="183643BE"/>
    <w:rsid w:val="18BC0038"/>
    <w:rsid w:val="19053AD7"/>
    <w:rsid w:val="198D43CD"/>
    <w:rsid w:val="19B62178"/>
    <w:rsid w:val="19BC1F42"/>
    <w:rsid w:val="19C71BE3"/>
    <w:rsid w:val="1A4D6996"/>
    <w:rsid w:val="1AA2738A"/>
    <w:rsid w:val="1ADB455E"/>
    <w:rsid w:val="1B6D1746"/>
    <w:rsid w:val="1BA2068A"/>
    <w:rsid w:val="1C2A3ADB"/>
    <w:rsid w:val="1C5D0557"/>
    <w:rsid w:val="1C734F12"/>
    <w:rsid w:val="1CFA525B"/>
    <w:rsid w:val="1D70376F"/>
    <w:rsid w:val="1D963016"/>
    <w:rsid w:val="1DBC5C20"/>
    <w:rsid w:val="1E835E54"/>
    <w:rsid w:val="1F7543DF"/>
    <w:rsid w:val="1FD80BA1"/>
    <w:rsid w:val="204B51B6"/>
    <w:rsid w:val="205C6CCC"/>
    <w:rsid w:val="2098272A"/>
    <w:rsid w:val="20EF026E"/>
    <w:rsid w:val="21BE2F94"/>
    <w:rsid w:val="22772503"/>
    <w:rsid w:val="231A1B93"/>
    <w:rsid w:val="239A4C97"/>
    <w:rsid w:val="23D732CC"/>
    <w:rsid w:val="23EC6B07"/>
    <w:rsid w:val="243E6DBE"/>
    <w:rsid w:val="254B1D7A"/>
    <w:rsid w:val="25706A02"/>
    <w:rsid w:val="2575384D"/>
    <w:rsid w:val="258F142A"/>
    <w:rsid w:val="263A491A"/>
    <w:rsid w:val="26B60BAA"/>
    <w:rsid w:val="26BC737B"/>
    <w:rsid w:val="26E72CF4"/>
    <w:rsid w:val="27075144"/>
    <w:rsid w:val="274B57A7"/>
    <w:rsid w:val="27AA5D82"/>
    <w:rsid w:val="27EC60E8"/>
    <w:rsid w:val="28904CC6"/>
    <w:rsid w:val="28D57474"/>
    <w:rsid w:val="29477A7A"/>
    <w:rsid w:val="2A20338A"/>
    <w:rsid w:val="2A9729B5"/>
    <w:rsid w:val="2AA574A6"/>
    <w:rsid w:val="2B245D70"/>
    <w:rsid w:val="2B2F07C6"/>
    <w:rsid w:val="2B3A7A04"/>
    <w:rsid w:val="2BF00FC8"/>
    <w:rsid w:val="2C01198A"/>
    <w:rsid w:val="2CC42C5D"/>
    <w:rsid w:val="2DD62F6C"/>
    <w:rsid w:val="2DF019B4"/>
    <w:rsid w:val="2DF14458"/>
    <w:rsid w:val="2DF924E6"/>
    <w:rsid w:val="2E0230C0"/>
    <w:rsid w:val="2E187C37"/>
    <w:rsid w:val="2E8157DC"/>
    <w:rsid w:val="2F1D449A"/>
    <w:rsid w:val="2F4F7AA9"/>
    <w:rsid w:val="2F7334B9"/>
    <w:rsid w:val="2F78328C"/>
    <w:rsid w:val="2F933E83"/>
    <w:rsid w:val="2FA71273"/>
    <w:rsid w:val="2FB95B2A"/>
    <w:rsid w:val="30240F5B"/>
    <w:rsid w:val="30406572"/>
    <w:rsid w:val="3135157D"/>
    <w:rsid w:val="314A45AB"/>
    <w:rsid w:val="31655AF5"/>
    <w:rsid w:val="31822A42"/>
    <w:rsid w:val="31D75713"/>
    <w:rsid w:val="320D55D9"/>
    <w:rsid w:val="32A418AD"/>
    <w:rsid w:val="32C91500"/>
    <w:rsid w:val="32CE6B16"/>
    <w:rsid w:val="336A7731"/>
    <w:rsid w:val="34621C0C"/>
    <w:rsid w:val="363870C8"/>
    <w:rsid w:val="366972FA"/>
    <w:rsid w:val="368D439B"/>
    <w:rsid w:val="36BC3456"/>
    <w:rsid w:val="372E6DCB"/>
    <w:rsid w:val="382310C9"/>
    <w:rsid w:val="38F21193"/>
    <w:rsid w:val="39423DBA"/>
    <w:rsid w:val="3A15327D"/>
    <w:rsid w:val="3B021A53"/>
    <w:rsid w:val="3B471B5C"/>
    <w:rsid w:val="3B9528C7"/>
    <w:rsid w:val="3B961F92"/>
    <w:rsid w:val="3D402D06"/>
    <w:rsid w:val="3D430B38"/>
    <w:rsid w:val="3D7F55DD"/>
    <w:rsid w:val="3DAF5796"/>
    <w:rsid w:val="3DFA2EB5"/>
    <w:rsid w:val="3E345721"/>
    <w:rsid w:val="3E371A14"/>
    <w:rsid w:val="3E636CAD"/>
    <w:rsid w:val="3E856815"/>
    <w:rsid w:val="3E9926CE"/>
    <w:rsid w:val="3EDC52BD"/>
    <w:rsid w:val="3F273903"/>
    <w:rsid w:val="3F3518B8"/>
    <w:rsid w:val="3F400D9C"/>
    <w:rsid w:val="3F682448"/>
    <w:rsid w:val="3F7C6188"/>
    <w:rsid w:val="3FB47094"/>
    <w:rsid w:val="3FD55988"/>
    <w:rsid w:val="3FED15ED"/>
    <w:rsid w:val="40194FB3"/>
    <w:rsid w:val="41B63597"/>
    <w:rsid w:val="42037A85"/>
    <w:rsid w:val="43324E9F"/>
    <w:rsid w:val="43E50F90"/>
    <w:rsid w:val="43E62267"/>
    <w:rsid w:val="4436276D"/>
    <w:rsid w:val="45196317"/>
    <w:rsid w:val="4535549D"/>
    <w:rsid w:val="45703A5D"/>
    <w:rsid w:val="45F32144"/>
    <w:rsid w:val="45F9449E"/>
    <w:rsid w:val="46217C6E"/>
    <w:rsid w:val="46BE36AC"/>
    <w:rsid w:val="46FF00B6"/>
    <w:rsid w:val="470433DE"/>
    <w:rsid w:val="470F1411"/>
    <w:rsid w:val="474053FB"/>
    <w:rsid w:val="47500913"/>
    <w:rsid w:val="47506D53"/>
    <w:rsid w:val="477F7169"/>
    <w:rsid w:val="486E1D99"/>
    <w:rsid w:val="48CE7418"/>
    <w:rsid w:val="491F1A22"/>
    <w:rsid w:val="49417BEA"/>
    <w:rsid w:val="49DF1A48"/>
    <w:rsid w:val="4A5C2802"/>
    <w:rsid w:val="4A6C6EE9"/>
    <w:rsid w:val="4AE07385"/>
    <w:rsid w:val="4AF50780"/>
    <w:rsid w:val="4B801710"/>
    <w:rsid w:val="4BB44F5B"/>
    <w:rsid w:val="4C1A4723"/>
    <w:rsid w:val="4C9D4332"/>
    <w:rsid w:val="4D1D62DC"/>
    <w:rsid w:val="4D4001B9"/>
    <w:rsid w:val="4D856A12"/>
    <w:rsid w:val="4DCB03CA"/>
    <w:rsid w:val="4E9425BA"/>
    <w:rsid w:val="4F31425D"/>
    <w:rsid w:val="4F4F5973"/>
    <w:rsid w:val="50B26BCB"/>
    <w:rsid w:val="514C735A"/>
    <w:rsid w:val="516264F3"/>
    <w:rsid w:val="51925DC2"/>
    <w:rsid w:val="52693389"/>
    <w:rsid w:val="52BD6B2D"/>
    <w:rsid w:val="52EA12F3"/>
    <w:rsid w:val="531620E8"/>
    <w:rsid w:val="53A56FC8"/>
    <w:rsid w:val="53A955AE"/>
    <w:rsid w:val="53B3665F"/>
    <w:rsid w:val="54AC551B"/>
    <w:rsid w:val="55055F70"/>
    <w:rsid w:val="552B6283"/>
    <w:rsid w:val="5570183E"/>
    <w:rsid w:val="55BB6F76"/>
    <w:rsid w:val="55F14746"/>
    <w:rsid w:val="55F935FB"/>
    <w:rsid w:val="560D6D30"/>
    <w:rsid w:val="56425B95"/>
    <w:rsid w:val="56486A5C"/>
    <w:rsid w:val="575753E1"/>
    <w:rsid w:val="576378C6"/>
    <w:rsid w:val="57D90B8E"/>
    <w:rsid w:val="58095D77"/>
    <w:rsid w:val="587F37D5"/>
    <w:rsid w:val="58D2260D"/>
    <w:rsid w:val="58D639F0"/>
    <w:rsid w:val="58EB7B73"/>
    <w:rsid w:val="596F2086"/>
    <w:rsid w:val="59A3044D"/>
    <w:rsid w:val="5A1D69CB"/>
    <w:rsid w:val="5A307C34"/>
    <w:rsid w:val="5A412569"/>
    <w:rsid w:val="5A731BCE"/>
    <w:rsid w:val="5AF9782D"/>
    <w:rsid w:val="5B33191E"/>
    <w:rsid w:val="5B3D7040"/>
    <w:rsid w:val="5B836CBA"/>
    <w:rsid w:val="5B883A23"/>
    <w:rsid w:val="5B8B1199"/>
    <w:rsid w:val="5B9B762E"/>
    <w:rsid w:val="5BA018BD"/>
    <w:rsid w:val="5BD347D5"/>
    <w:rsid w:val="5BE62053"/>
    <w:rsid w:val="5BF83FF3"/>
    <w:rsid w:val="5D047455"/>
    <w:rsid w:val="5D192F00"/>
    <w:rsid w:val="5E2D4789"/>
    <w:rsid w:val="5E997447"/>
    <w:rsid w:val="5F555D46"/>
    <w:rsid w:val="5F5C5326"/>
    <w:rsid w:val="5FBB4B59"/>
    <w:rsid w:val="5FD63AEC"/>
    <w:rsid w:val="600A073C"/>
    <w:rsid w:val="607F57C5"/>
    <w:rsid w:val="609B59DA"/>
    <w:rsid w:val="60CE7112"/>
    <w:rsid w:val="61315E5E"/>
    <w:rsid w:val="613B1075"/>
    <w:rsid w:val="61EC0678"/>
    <w:rsid w:val="62235215"/>
    <w:rsid w:val="629641EE"/>
    <w:rsid w:val="62AA0CD9"/>
    <w:rsid w:val="62EE44E7"/>
    <w:rsid w:val="63476071"/>
    <w:rsid w:val="63EE6769"/>
    <w:rsid w:val="64944DD6"/>
    <w:rsid w:val="64B96D77"/>
    <w:rsid w:val="65AA229D"/>
    <w:rsid w:val="66065FEC"/>
    <w:rsid w:val="668245B8"/>
    <w:rsid w:val="68335E23"/>
    <w:rsid w:val="6838123A"/>
    <w:rsid w:val="68437083"/>
    <w:rsid w:val="686800DF"/>
    <w:rsid w:val="68B9002C"/>
    <w:rsid w:val="68F26C33"/>
    <w:rsid w:val="6917406C"/>
    <w:rsid w:val="69CE5571"/>
    <w:rsid w:val="6A010FA4"/>
    <w:rsid w:val="6A296622"/>
    <w:rsid w:val="6A313D0A"/>
    <w:rsid w:val="6A6D1C85"/>
    <w:rsid w:val="6A78754B"/>
    <w:rsid w:val="6ABC311D"/>
    <w:rsid w:val="6B277DF3"/>
    <w:rsid w:val="6B2B3D2D"/>
    <w:rsid w:val="6B397E50"/>
    <w:rsid w:val="6B5604E6"/>
    <w:rsid w:val="6B584057"/>
    <w:rsid w:val="6BAA7419"/>
    <w:rsid w:val="6BF80185"/>
    <w:rsid w:val="6C0B435C"/>
    <w:rsid w:val="6CAB71A2"/>
    <w:rsid w:val="6D035E94"/>
    <w:rsid w:val="6D091F26"/>
    <w:rsid w:val="6D1D7FF3"/>
    <w:rsid w:val="6D21370B"/>
    <w:rsid w:val="6D292DC0"/>
    <w:rsid w:val="6D757030"/>
    <w:rsid w:val="6D9D5488"/>
    <w:rsid w:val="6E16757C"/>
    <w:rsid w:val="6E7F496E"/>
    <w:rsid w:val="6EAB7671"/>
    <w:rsid w:val="6F1C4985"/>
    <w:rsid w:val="6F90001C"/>
    <w:rsid w:val="7013654C"/>
    <w:rsid w:val="703766D0"/>
    <w:rsid w:val="70C42D2B"/>
    <w:rsid w:val="70C600CB"/>
    <w:rsid w:val="71245578"/>
    <w:rsid w:val="72226905"/>
    <w:rsid w:val="72E43CD5"/>
    <w:rsid w:val="73011ECD"/>
    <w:rsid w:val="731E1BC9"/>
    <w:rsid w:val="73AE75ED"/>
    <w:rsid w:val="74282332"/>
    <w:rsid w:val="74324450"/>
    <w:rsid w:val="74733F2F"/>
    <w:rsid w:val="74744A73"/>
    <w:rsid w:val="748C4BD3"/>
    <w:rsid w:val="74BD01BD"/>
    <w:rsid w:val="74D03300"/>
    <w:rsid w:val="750B0F29"/>
    <w:rsid w:val="750E0A19"/>
    <w:rsid w:val="7541494A"/>
    <w:rsid w:val="75956A44"/>
    <w:rsid w:val="76B178AE"/>
    <w:rsid w:val="76F81981"/>
    <w:rsid w:val="772E74D2"/>
    <w:rsid w:val="7791148D"/>
    <w:rsid w:val="77AD1670"/>
    <w:rsid w:val="77AF5A66"/>
    <w:rsid w:val="78043C73"/>
    <w:rsid w:val="78967146"/>
    <w:rsid w:val="789B0816"/>
    <w:rsid w:val="78ED00DF"/>
    <w:rsid w:val="792B2EFE"/>
    <w:rsid w:val="79733540"/>
    <w:rsid w:val="7AE2097E"/>
    <w:rsid w:val="7B63668E"/>
    <w:rsid w:val="7C084414"/>
    <w:rsid w:val="7D136442"/>
    <w:rsid w:val="7D522D59"/>
    <w:rsid w:val="7E105802"/>
    <w:rsid w:val="7E245B22"/>
    <w:rsid w:val="7E5D3109"/>
    <w:rsid w:val="7E7F0292"/>
    <w:rsid w:val="7EC40A2A"/>
    <w:rsid w:val="7ED2135E"/>
    <w:rsid w:val="7EFB3E76"/>
    <w:rsid w:val="7F3A0D66"/>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99" w:semiHidden="0"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jc w:val="left"/>
      <w:outlineLvl w:val="0"/>
    </w:pPr>
    <w:rPr>
      <w:rFonts w:ascii="Microsoft JhengHei Light" w:hAnsi="Microsoft JhengHei Light" w:eastAsia="Microsoft JhengHei Light" w:cs="Microsoft JhengHei Light"/>
      <w:b/>
      <w:bCs/>
      <w:color w:val="000000"/>
      <w:kern w:val="44"/>
      <w:sz w:val="44"/>
      <w:szCs w:val="44"/>
      <w:lang w:val="zh-TW" w:eastAsia="zh-TW" w:bidi="zh-TW"/>
    </w:rPr>
  </w:style>
  <w:style w:type="paragraph" w:styleId="3">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9"/>
    <w:unhideWhenUsed/>
    <w:qFormat/>
    <w:uiPriority w:val="9"/>
    <w:pPr>
      <w:keepNext/>
      <w:keepLines/>
      <w:spacing w:before="280" w:after="290" w:line="376"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annotation text"/>
    <w:basedOn w:val="1"/>
    <w:link w:val="126"/>
    <w:unhideWhenUsed/>
    <w:qFormat/>
    <w:uiPriority w:val="0"/>
    <w:pPr>
      <w:jc w:val="left"/>
    </w:pPr>
  </w:style>
  <w:style w:type="paragraph" w:styleId="9">
    <w:name w:val="Salutation"/>
    <w:basedOn w:val="1"/>
    <w:next w:val="1"/>
    <w:link w:val="88"/>
    <w:unhideWhenUsed/>
    <w:qFormat/>
    <w:uiPriority w:val="99"/>
    <w:rPr>
      <w:rFonts w:ascii="宋体" w:hAnsi="宋体" w:eastAsia="宋体"/>
      <w:szCs w:val="21"/>
    </w:rPr>
  </w:style>
  <w:style w:type="paragraph" w:styleId="10">
    <w:name w:val="Body Text 3"/>
    <w:basedOn w:val="1"/>
    <w:link w:val="125"/>
    <w:unhideWhenUsed/>
    <w:qFormat/>
    <w:uiPriority w:val="0"/>
    <w:rPr>
      <w:rFonts w:ascii="宋体"/>
      <w:sz w:val="24"/>
      <w:szCs w:val="20"/>
    </w:rPr>
  </w:style>
  <w:style w:type="paragraph" w:styleId="11">
    <w:name w:val="Closing"/>
    <w:basedOn w:val="1"/>
    <w:link w:val="89"/>
    <w:unhideWhenUsed/>
    <w:qFormat/>
    <w:uiPriority w:val="99"/>
    <w:pPr>
      <w:ind w:left="100" w:leftChars="2100"/>
    </w:pPr>
    <w:rPr>
      <w:rFonts w:ascii="宋体" w:hAnsi="宋体" w:eastAsia="宋体"/>
      <w:szCs w:val="21"/>
    </w:rPr>
  </w:style>
  <w:style w:type="paragraph" w:styleId="12">
    <w:name w:val="Body Text"/>
    <w:basedOn w:val="1"/>
    <w:next w:val="1"/>
    <w:link w:val="116"/>
    <w:qFormat/>
    <w:uiPriority w:val="1"/>
    <w:pPr>
      <w:autoSpaceDE w:val="0"/>
      <w:autoSpaceDN w:val="0"/>
      <w:jc w:val="left"/>
    </w:pPr>
    <w:rPr>
      <w:rFonts w:ascii="宋体" w:hAnsi="宋体" w:eastAsia="宋体" w:cs="宋体"/>
      <w:kern w:val="0"/>
      <w:sz w:val="24"/>
      <w:szCs w:val="24"/>
      <w:lang w:val="zh-CN" w:bidi="zh-CN"/>
    </w:rPr>
  </w:style>
  <w:style w:type="paragraph" w:styleId="13">
    <w:name w:val="Body Text Indent"/>
    <w:basedOn w:val="1"/>
    <w:semiHidden/>
    <w:unhideWhenUsed/>
    <w:qFormat/>
    <w:uiPriority w:val="99"/>
    <w:pPr>
      <w:spacing w:after="120"/>
      <w:ind w:left="420" w:leftChars="200"/>
    </w:pPr>
    <w:rPr>
      <w:rFonts w:ascii="Times New Roman" w:hAnsi="Times New Roman"/>
      <w:szCs w:val="20"/>
    </w:r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39"/>
    <w:pPr>
      <w:ind w:left="840" w:leftChars="400"/>
    </w:pPr>
  </w:style>
  <w:style w:type="paragraph" w:styleId="16">
    <w:name w:val="Plain Text"/>
    <w:basedOn w:val="1"/>
    <w:link w:val="131"/>
    <w:qFormat/>
    <w:uiPriority w:val="0"/>
    <w:rPr>
      <w:rFonts w:ascii="宋体" w:hAnsi="Calibri" w:eastAsia="宋体" w:cs="Times New Roman"/>
    </w:rPr>
  </w:style>
  <w:style w:type="paragraph" w:styleId="17">
    <w:name w:val="toc 8"/>
    <w:basedOn w:val="1"/>
    <w:next w:val="1"/>
    <w:unhideWhenUsed/>
    <w:qFormat/>
    <w:uiPriority w:val="39"/>
    <w:pPr>
      <w:ind w:left="2940" w:leftChars="1400"/>
    </w:pPr>
  </w:style>
  <w:style w:type="paragraph" w:styleId="18">
    <w:name w:val="Date"/>
    <w:basedOn w:val="1"/>
    <w:next w:val="1"/>
    <w:link w:val="129"/>
    <w:semiHidden/>
    <w:unhideWhenUsed/>
    <w:qFormat/>
    <w:uiPriority w:val="99"/>
    <w:pPr>
      <w:ind w:left="100" w:leftChars="2500"/>
    </w:pPr>
  </w:style>
  <w:style w:type="paragraph" w:styleId="19">
    <w:name w:val="Balloon Text"/>
    <w:basedOn w:val="1"/>
    <w:link w:val="54"/>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ascii="Calibri" w:hAnsi="Calibri" w:eastAsia="宋体" w:cs="Times New Roman"/>
    </w:rPr>
  </w:style>
  <w:style w:type="paragraph" w:styleId="23">
    <w:name w:val="toc 4"/>
    <w:basedOn w:val="1"/>
    <w:next w:val="1"/>
    <w:unhideWhenUsed/>
    <w:qFormat/>
    <w:uiPriority w:val="39"/>
    <w:pPr>
      <w:ind w:left="1260" w:leftChars="600"/>
    </w:pPr>
  </w:style>
  <w:style w:type="paragraph" w:styleId="24">
    <w:name w:val="toc 6"/>
    <w:basedOn w:val="1"/>
    <w:next w:val="1"/>
    <w:unhideWhenUsed/>
    <w:qFormat/>
    <w:uiPriority w:val="39"/>
    <w:pPr>
      <w:ind w:left="2100" w:leftChars="1000"/>
    </w:p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style>
  <w:style w:type="paragraph" w:styleId="27">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0"/>
    </w:rPr>
  </w:style>
  <w:style w:type="paragraph" w:styleId="28">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29">
    <w:name w:val="Title"/>
    <w:basedOn w:val="1"/>
    <w:link w:val="132"/>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30">
    <w:name w:val="annotation subject"/>
    <w:basedOn w:val="8"/>
    <w:next w:val="8"/>
    <w:link w:val="127"/>
    <w:semiHidden/>
    <w:unhideWhenUsed/>
    <w:qFormat/>
    <w:uiPriority w:val="99"/>
    <w:rPr>
      <w:b/>
      <w:bCs/>
    </w:rPr>
  </w:style>
  <w:style w:type="paragraph" w:styleId="31">
    <w:name w:val="Body Text First Indent"/>
    <w:basedOn w:val="12"/>
    <w:qFormat/>
    <w:uiPriority w:val="0"/>
    <w:pPr>
      <w:spacing w:line="312" w:lineRule="auto"/>
      <w:ind w:firstLine="420"/>
      <w:jc w:val="both"/>
    </w:pPr>
    <w:rPr>
      <w:rFonts w:ascii="Times New Roman" w:hAnsi="Times New Roman" w:cs="Times New Roman"/>
      <w:kern w:val="2"/>
      <w:sz w:val="21"/>
      <w:lang w:val="en-US" w:bidi="ar-SA"/>
    </w:rPr>
  </w:style>
  <w:style w:type="paragraph" w:styleId="32">
    <w:name w:val="Body Text First Indent 2"/>
    <w:basedOn w:val="1"/>
    <w:next w:val="12"/>
    <w:qFormat/>
    <w:uiPriority w:val="0"/>
    <w:pPr>
      <w:ind w:firstLine="420" w:firstLineChars="2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Hyperlink"/>
    <w:basedOn w:val="35"/>
    <w:qFormat/>
    <w:uiPriority w:val="99"/>
    <w:rPr>
      <w:color w:val="0066CC"/>
      <w:u w:val="single"/>
    </w:rPr>
  </w:style>
  <w:style w:type="character" w:styleId="37">
    <w:name w:val="annotation reference"/>
    <w:basedOn w:val="35"/>
    <w:unhideWhenUsed/>
    <w:qFormat/>
    <w:uiPriority w:val="0"/>
    <w:rPr>
      <w:sz w:val="21"/>
      <w:szCs w:val="21"/>
    </w:rPr>
  </w:style>
  <w:style w:type="character" w:customStyle="1" w:styleId="38">
    <w:name w:val="页眉 Char"/>
    <w:basedOn w:val="35"/>
    <w:link w:val="21"/>
    <w:qFormat/>
    <w:uiPriority w:val="99"/>
    <w:rPr>
      <w:sz w:val="18"/>
      <w:szCs w:val="18"/>
    </w:rPr>
  </w:style>
  <w:style w:type="character" w:customStyle="1" w:styleId="39">
    <w:name w:val="页脚 Char"/>
    <w:basedOn w:val="35"/>
    <w:link w:val="20"/>
    <w:qFormat/>
    <w:uiPriority w:val="99"/>
    <w:rPr>
      <w:sz w:val="18"/>
      <w:szCs w:val="18"/>
    </w:rPr>
  </w:style>
  <w:style w:type="character" w:customStyle="1" w:styleId="40">
    <w:name w:val="标题 1 Char"/>
    <w:basedOn w:val="35"/>
    <w:link w:val="2"/>
    <w:qFormat/>
    <w:uiPriority w:val="9"/>
    <w:rPr>
      <w:rFonts w:ascii="Microsoft JhengHei Light" w:hAnsi="Microsoft JhengHei Light" w:eastAsia="Microsoft JhengHei Light" w:cs="Microsoft JhengHei Light"/>
      <w:b/>
      <w:bCs/>
      <w:color w:val="000000"/>
      <w:kern w:val="44"/>
      <w:sz w:val="44"/>
      <w:szCs w:val="44"/>
      <w:lang w:val="zh-TW" w:eastAsia="zh-TW" w:bidi="zh-TW"/>
    </w:rPr>
  </w:style>
  <w:style w:type="character" w:customStyle="1" w:styleId="41">
    <w:name w:val="正文文本 (2) Exact"/>
    <w:basedOn w:val="35"/>
    <w:link w:val="42"/>
    <w:qFormat/>
    <w:uiPriority w:val="0"/>
    <w:rPr>
      <w:rFonts w:ascii="MingLiU" w:hAnsi="MingLiU" w:eastAsia="MingLiU" w:cs="MingLiU"/>
      <w:szCs w:val="21"/>
      <w:shd w:val="clear" w:color="auto" w:fill="FFFFFF"/>
    </w:rPr>
  </w:style>
  <w:style w:type="paragraph" w:customStyle="1" w:styleId="42">
    <w:name w:val="正文文本 (2)"/>
    <w:basedOn w:val="1"/>
    <w:link w:val="41"/>
    <w:qFormat/>
    <w:uiPriority w:val="0"/>
    <w:pPr>
      <w:shd w:val="clear" w:color="auto" w:fill="FFFFFF"/>
      <w:spacing w:line="0" w:lineRule="atLeast"/>
      <w:jc w:val="left"/>
    </w:pPr>
    <w:rPr>
      <w:rFonts w:ascii="MingLiU" w:hAnsi="MingLiU" w:eastAsia="MingLiU" w:cs="MingLiU"/>
      <w:szCs w:val="21"/>
    </w:rPr>
  </w:style>
  <w:style w:type="character" w:customStyle="1" w:styleId="43">
    <w:name w:val="正文文本 (2) + Microsoft Sans Serif"/>
    <w:basedOn w:val="41"/>
    <w:qFormat/>
    <w:uiPriority w:val="0"/>
    <w:rPr>
      <w:rFonts w:ascii="Microsoft Sans Serif" w:hAnsi="Microsoft Sans Serif" w:eastAsia="Microsoft Sans Serif" w:cs="Microsoft Sans Serif"/>
      <w:b/>
      <w:bCs/>
      <w:color w:val="000000"/>
      <w:spacing w:val="0"/>
      <w:w w:val="100"/>
      <w:position w:val="0"/>
      <w:sz w:val="19"/>
      <w:szCs w:val="19"/>
      <w:shd w:val="clear" w:color="auto" w:fill="FFFFFF"/>
      <w:lang w:val="en-US" w:eastAsia="en-US" w:bidi="en-US"/>
    </w:rPr>
  </w:style>
  <w:style w:type="character" w:customStyle="1" w:styleId="44">
    <w:name w:val="正文文本 (2)_"/>
    <w:basedOn w:val="35"/>
    <w:qFormat/>
    <w:uiPriority w:val="0"/>
    <w:rPr>
      <w:rFonts w:ascii="MingLiU" w:hAnsi="MingLiU" w:eastAsia="MingLiU" w:cs="MingLiU"/>
      <w:b/>
      <w:bCs/>
      <w:sz w:val="20"/>
      <w:szCs w:val="20"/>
      <w:shd w:val="clear" w:color="auto" w:fill="FFFFFF"/>
    </w:rPr>
  </w:style>
  <w:style w:type="character" w:customStyle="1" w:styleId="45">
    <w:name w:val="正文文本 (2) + 9.5 pt"/>
    <w:basedOn w:val="44"/>
    <w:qFormat/>
    <w:uiPriority w:val="0"/>
    <w:rPr>
      <w:rFonts w:ascii="MingLiU" w:hAnsi="MingLiU" w:eastAsia="MingLiU" w:cs="MingLiU"/>
      <w:color w:val="000000"/>
      <w:spacing w:val="0"/>
      <w:w w:val="100"/>
      <w:position w:val="0"/>
      <w:sz w:val="19"/>
      <w:szCs w:val="19"/>
      <w:shd w:val="clear" w:color="auto" w:fill="FFFFFF"/>
      <w:lang w:val="en-US" w:eastAsia="en-US" w:bidi="en-US"/>
    </w:rPr>
  </w:style>
  <w:style w:type="character" w:customStyle="1" w:styleId="46">
    <w:name w:val="标题 #1_"/>
    <w:basedOn w:val="35"/>
    <w:link w:val="47"/>
    <w:qFormat/>
    <w:uiPriority w:val="0"/>
    <w:rPr>
      <w:rFonts w:ascii="MingLiU" w:hAnsi="MingLiU" w:eastAsia="MingLiU" w:cs="MingLiU"/>
      <w:spacing w:val="50"/>
      <w:sz w:val="42"/>
      <w:szCs w:val="42"/>
      <w:shd w:val="clear" w:color="auto" w:fill="FFFFFF"/>
    </w:rPr>
  </w:style>
  <w:style w:type="paragraph" w:customStyle="1" w:styleId="47">
    <w:name w:val="标题 #1"/>
    <w:basedOn w:val="1"/>
    <w:link w:val="46"/>
    <w:qFormat/>
    <w:uiPriority w:val="0"/>
    <w:pPr>
      <w:shd w:val="clear" w:color="auto" w:fill="FFFFFF"/>
      <w:spacing w:before="480" w:after="720" w:line="0" w:lineRule="atLeast"/>
      <w:jc w:val="center"/>
      <w:outlineLvl w:val="0"/>
    </w:pPr>
    <w:rPr>
      <w:rFonts w:ascii="MingLiU" w:hAnsi="MingLiU" w:eastAsia="MingLiU" w:cs="MingLiU"/>
      <w:spacing w:val="50"/>
      <w:sz w:val="42"/>
      <w:szCs w:val="42"/>
    </w:rPr>
  </w:style>
  <w:style w:type="character" w:customStyle="1" w:styleId="48">
    <w:name w:val="标题 #2_"/>
    <w:basedOn w:val="35"/>
    <w:link w:val="49"/>
    <w:qFormat/>
    <w:uiPriority w:val="0"/>
    <w:rPr>
      <w:rFonts w:ascii="MingLiU" w:hAnsi="MingLiU" w:eastAsia="MingLiU" w:cs="MingLiU"/>
      <w:sz w:val="28"/>
      <w:szCs w:val="28"/>
      <w:shd w:val="clear" w:color="auto" w:fill="FFFFFF"/>
    </w:rPr>
  </w:style>
  <w:style w:type="paragraph" w:customStyle="1" w:styleId="49">
    <w:name w:val="标题 #2"/>
    <w:basedOn w:val="1"/>
    <w:link w:val="48"/>
    <w:qFormat/>
    <w:uiPriority w:val="0"/>
    <w:pPr>
      <w:shd w:val="clear" w:color="auto" w:fill="FFFFFF"/>
      <w:spacing w:before="720" w:line="0" w:lineRule="atLeast"/>
      <w:jc w:val="left"/>
      <w:outlineLvl w:val="1"/>
    </w:pPr>
    <w:rPr>
      <w:rFonts w:ascii="MingLiU" w:hAnsi="MingLiU" w:eastAsia="MingLiU" w:cs="MingLiU"/>
      <w:sz w:val="28"/>
      <w:szCs w:val="28"/>
    </w:rPr>
  </w:style>
  <w:style w:type="character" w:customStyle="1" w:styleId="50">
    <w:name w:val="表格标题_"/>
    <w:basedOn w:val="35"/>
    <w:link w:val="51"/>
    <w:qFormat/>
    <w:uiPriority w:val="0"/>
    <w:rPr>
      <w:rFonts w:ascii="MingLiU" w:hAnsi="MingLiU" w:eastAsia="MingLiU" w:cs="MingLiU"/>
      <w:sz w:val="18"/>
      <w:szCs w:val="18"/>
      <w:shd w:val="clear" w:color="auto" w:fill="FFFFFF"/>
    </w:rPr>
  </w:style>
  <w:style w:type="paragraph" w:customStyle="1" w:styleId="51">
    <w:name w:val="表格标题"/>
    <w:basedOn w:val="1"/>
    <w:link w:val="50"/>
    <w:qFormat/>
    <w:uiPriority w:val="0"/>
    <w:pPr>
      <w:shd w:val="clear" w:color="auto" w:fill="FFFFFF"/>
      <w:spacing w:line="319" w:lineRule="exact"/>
      <w:jc w:val="left"/>
    </w:pPr>
    <w:rPr>
      <w:rFonts w:ascii="MingLiU" w:hAnsi="MingLiU" w:eastAsia="MingLiU" w:cs="MingLiU"/>
      <w:sz w:val="18"/>
      <w:szCs w:val="18"/>
    </w:rPr>
  </w:style>
  <w:style w:type="character" w:customStyle="1" w:styleId="52">
    <w:name w:val="表格标题 + Cambria"/>
    <w:basedOn w:val="50"/>
    <w:qFormat/>
    <w:uiPriority w:val="0"/>
    <w:rPr>
      <w:rFonts w:ascii="Cambria" w:hAnsi="Cambria" w:eastAsia="Cambria" w:cs="Cambria"/>
      <w:color w:val="000000"/>
      <w:spacing w:val="0"/>
      <w:w w:val="100"/>
      <w:position w:val="0"/>
      <w:sz w:val="17"/>
      <w:szCs w:val="17"/>
      <w:shd w:val="clear" w:color="auto" w:fill="FFFFFF"/>
      <w:lang w:val="en-US" w:eastAsia="en-US" w:bidi="en-US"/>
    </w:rPr>
  </w:style>
  <w:style w:type="character" w:customStyle="1" w:styleId="53">
    <w:name w:val="正文文本 (2) + 非粗体"/>
    <w:basedOn w:val="44"/>
    <w:qFormat/>
    <w:uiPriority w:val="0"/>
    <w:rPr>
      <w:rFonts w:ascii="MingLiU" w:hAnsi="MingLiU" w:eastAsia="MingLiU" w:cs="MingLiU"/>
      <w:color w:val="000000"/>
      <w:spacing w:val="0"/>
      <w:w w:val="100"/>
      <w:position w:val="0"/>
      <w:sz w:val="20"/>
      <w:szCs w:val="20"/>
      <w:shd w:val="clear" w:color="auto" w:fill="FFFFFF"/>
      <w:lang w:val="zh-TW" w:eastAsia="zh-TW" w:bidi="zh-TW"/>
    </w:rPr>
  </w:style>
  <w:style w:type="character" w:customStyle="1" w:styleId="54">
    <w:name w:val="批注框文本 Char"/>
    <w:basedOn w:val="35"/>
    <w:link w:val="19"/>
    <w:semiHidden/>
    <w:qFormat/>
    <w:uiPriority w:val="99"/>
    <w:rPr>
      <w:sz w:val="18"/>
      <w:szCs w:val="18"/>
    </w:rPr>
  </w:style>
  <w:style w:type="character" w:customStyle="1" w:styleId="55">
    <w:name w:val="标题 2 Char"/>
    <w:basedOn w:val="35"/>
    <w:link w:val="3"/>
    <w:qFormat/>
    <w:uiPriority w:val="9"/>
    <w:rPr>
      <w:rFonts w:asciiTheme="majorHAnsi" w:hAnsiTheme="majorHAnsi" w:eastAsiaTheme="majorEastAsia" w:cstheme="majorBidi"/>
      <w:b/>
      <w:bCs/>
      <w:sz w:val="32"/>
      <w:szCs w:val="32"/>
    </w:rPr>
  </w:style>
  <w:style w:type="character" w:customStyle="1" w:styleId="56">
    <w:name w:val="正文文本 (2) + MingLiU"/>
    <w:basedOn w:val="44"/>
    <w:qFormat/>
    <w:uiPriority w:val="0"/>
    <w:rPr>
      <w:rFonts w:ascii="MingLiU" w:hAnsi="MingLiU" w:eastAsia="MingLiU" w:cs="MingLiU"/>
      <w:b w:val="0"/>
      <w:bCs w:val="0"/>
      <w:color w:val="000000"/>
      <w:spacing w:val="0"/>
      <w:w w:val="100"/>
      <w:position w:val="0"/>
      <w:sz w:val="20"/>
      <w:szCs w:val="20"/>
      <w:u w:val="none"/>
      <w:shd w:val="clear" w:color="auto" w:fill="FFFFFF"/>
      <w:lang w:val="zh-TW" w:eastAsia="zh-TW" w:bidi="zh-TW"/>
    </w:rPr>
  </w:style>
  <w:style w:type="character" w:customStyle="1" w:styleId="57">
    <w:name w:val="标题 #1 Exact"/>
    <w:basedOn w:val="35"/>
    <w:qFormat/>
    <w:uiPriority w:val="0"/>
    <w:rPr>
      <w:rFonts w:ascii="MingLiU" w:hAnsi="MingLiU" w:eastAsia="MingLiU" w:cs="MingLiU"/>
      <w:sz w:val="26"/>
      <w:szCs w:val="26"/>
      <w:u w:val="none"/>
    </w:rPr>
  </w:style>
  <w:style w:type="character" w:customStyle="1" w:styleId="58">
    <w:name w:val="正文文本 (2) + 10 pt"/>
    <w:basedOn w:val="44"/>
    <w:qFormat/>
    <w:uiPriority w:val="0"/>
    <w:rPr>
      <w:rFonts w:ascii="MingLiU" w:hAnsi="MingLiU" w:eastAsia="MingLiU" w:cs="MingLiU"/>
      <w:b w:val="0"/>
      <w:bCs w:val="0"/>
      <w:color w:val="000000"/>
      <w:spacing w:val="0"/>
      <w:w w:val="100"/>
      <w:position w:val="0"/>
      <w:sz w:val="20"/>
      <w:szCs w:val="20"/>
      <w:u w:val="none"/>
      <w:shd w:val="clear" w:color="auto" w:fill="FFFFFF"/>
      <w:lang w:val="zh-TW" w:eastAsia="zh-TW" w:bidi="zh-TW"/>
    </w:rPr>
  </w:style>
  <w:style w:type="character" w:customStyle="1" w:styleId="59">
    <w:name w:val="正文文本 (2) + 11.5 pt"/>
    <w:basedOn w:val="44"/>
    <w:qFormat/>
    <w:uiPriority w:val="0"/>
    <w:rPr>
      <w:rFonts w:ascii="MingLiU" w:hAnsi="MingLiU" w:eastAsia="MingLiU" w:cs="MingLiU"/>
      <w:b w:val="0"/>
      <w:bCs w:val="0"/>
      <w:color w:val="000000"/>
      <w:spacing w:val="0"/>
      <w:w w:val="100"/>
      <w:position w:val="0"/>
      <w:sz w:val="23"/>
      <w:szCs w:val="23"/>
      <w:u w:val="none"/>
      <w:shd w:val="clear" w:color="auto" w:fill="FFFFFF"/>
      <w:lang w:val="zh-TW" w:eastAsia="zh-TW" w:bidi="zh-TW"/>
    </w:rPr>
  </w:style>
  <w:style w:type="character" w:customStyle="1" w:styleId="60">
    <w:name w:val="正文文本 (3)_"/>
    <w:basedOn w:val="35"/>
    <w:link w:val="61"/>
    <w:qFormat/>
    <w:uiPriority w:val="0"/>
    <w:rPr>
      <w:rFonts w:ascii="MingLiU" w:hAnsi="MingLiU" w:eastAsia="MingLiU" w:cs="MingLiU"/>
      <w:b/>
      <w:bCs/>
      <w:sz w:val="22"/>
      <w:shd w:val="clear" w:color="auto" w:fill="FFFFFF"/>
    </w:rPr>
  </w:style>
  <w:style w:type="paragraph" w:customStyle="1" w:styleId="61">
    <w:name w:val="正文文本 (3)"/>
    <w:basedOn w:val="1"/>
    <w:link w:val="60"/>
    <w:qFormat/>
    <w:uiPriority w:val="0"/>
    <w:pPr>
      <w:shd w:val="clear" w:color="auto" w:fill="FFFFFF"/>
      <w:spacing w:after="120" w:line="559" w:lineRule="exact"/>
      <w:ind w:hanging="520"/>
      <w:jc w:val="left"/>
    </w:pPr>
    <w:rPr>
      <w:rFonts w:ascii="MingLiU" w:hAnsi="MingLiU" w:eastAsia="MingLiU" w:cs="MingLiU"/>
      <w:b/>
      <w:bCs/>
      <w:sz w:val="22"/>
    </w:rPr>
  </w:style>
  <w:style w:type="character" w:customStyle="1" w:styleId="62">
    <w:name w:val="正文文本 (2) + Times New Roman"/>
    <w:basedOn w:val="44"/>
    <w:qFormat/>
    <w:uiPriority w:val="0"/>
    <w:rPr>
      <w:rFonts w:ascii="Times New Roman" w:hAnsi="Times New Roman" w:eastAsia="Times New Roman" w:cs="Times New Roman"/>
      <w:b w:val="0"/>
      <w:bCs w:val="0"/>
      <w:color w:val="000000"/>
      <w:spacing w:val="0"/>
      <w:w w:val="100"/>
      <w:position w:val="0"/>
      <w:sz w:val="24"/>
      <w:szCs w:val="24"/>
      <w:u w:val="none"/>
      <w:shd w:val="clear" w:color="auto" w:fill="FFFFFF"/>
      <w:lang w:val="en-US" w:eastAsia="en-US" w:bidi="en-US"/>
    </w:rPr>
  </w:style>
  <w:style w:type="character" w:customStyle="1" w:styleId="63">
    <w:name w:val="正文文本 (2) + 粗体"/>
    <w:basedOn w:val="44"/>
    <w:qFormat/>
    <w:uiPriority w:val="0"/>
    <w:rPr>
      <w:rFonts w:ascii="MingLiU" w:hAnsi="MingLiU" w:eastAsia="MingLiU" w:cs="MingLiU"/>
      <w:color w:val="000000"/>
      <w:spacing w:val="0"/>
      <w:w w:val="100"/>
      <w:position w:val="0"/>
      <w:sz w:val="22"/>
      <w:szCs w:val="22"/>
      <w:u w:val="none"/>
      <w:shd w:val="clear" w:color="auto" w:fill="FFFFFF"/>
      <w:lang w:val="en-US" w:eastAsia="en-US" w:bidi="en-US"/>
    </w:rPr>
  </w:style>
  <w:style w:type="character" w:customStyle="1" w:styleId="64">
    <w:name w:val="正文文本 (4)_"/>
    <w:basedOn w:val="35"/>
    <w:link w:val="65"/>
    <w:qFormat/>
    <w:uiPriority w:val="0"/>
    <w:rPr>
      <w:rFonts w:ascii="Times New Roman" w:hAnsi="Times New Roman" w:eastAsia="Times New Roman" w:cs="Times New Roman"/>
      <w:shd w:val="clear" w:color="auto" w:fill="FFFFFF"/>
      <w:lang w:eastAsia="en-US" w:bidi="en-US"/>
    </w:rPr>
  </w:style>
  <w:style w:type="paragraph" w:customStyle="1" w:styleId="65">
    <w:name w:val="正文文本 (4)"/>
    <w:basedOn w:val="1"/>
    <w:link w:val="64"/>
    <w:qFormat/>
    <w:uiPriority w:val="0"/>
    <w:pPr>
      <w:shd w:val="clear" w:color="auto" w:fill="FFFFFF"/>
      <w:spacing w:after="120" w:line="398" w:lineRule="exact"/>
      <w:ind w:firstLine="520"/>
      <w:jc w:val="left"/>
    </w:pPr>
    <w:rPr>
      <w:rFonts w:ascii="Times New Roman" w:hAnsi="Times New Roman" w:eastAsia="Times New Roman" w:cs="Times New Roman"/>
      <w:lang w:eastAsia="en-US" w:bidi="en-US"/>
    </w:rPr>
  </w:style>
  <w:style w:type="character" w:customStyle="1" w:styleId="66">
    <w:name w:val="正文文本 (5)_"/>
    <w:basedOn w:val="35"/>
    <w:link w:val="67"/>
    <w:qFormat/>
    <w:uiPriority w:val="0"/>
    <w:rPr>
      <w:rFonts w:ascii="Times New Roman" w:hAnsi="Times New Roman" w:eastAsia="Times New Roman" w:cs="Times New Roman"/>
      <w:shd w:val="clear" w:color="auto" w:fill="FFFFFF"/>
      <w:lang w:eastAsia="en-US" w:bidi="en-US"/>
    </w:rPr>
  </w:style>
  <w:style w:type="paragraph" w:customStyle="1" w:styleId="67">
    <w:name w:val="正文文本 (5)"/>
    <w:basedOn w:val="1"/>
    <w:link w:val="66"/>
    <w:qFormat/>
    <w:uiPriority w:val="0"/>
    <w:pPr>
      <w:shd w:val="clear" w:color="auto" w:fill="FFFFFF"/>
      <w:spacing w:before="420" w:after="180" w:line="0" w:lineRule="atLeast"/>
      <w:ind w:firstLine="520"/>
      <w:jc w:val="left"/>
    </w:pPr>
    <w:rPr>
      <w:rFonts w:ascii="Times New Roman" w:hAnsi="Times New Roman" w:eastAsia="Times New Roman" w:cs="Times New Roman"/>
      <w:lang w:eastAsia="en-US" w:bidi="en-US"/>
    </w:rPr>
  </w:style>
  <w:style w:type="character" w:customStyle="1" w:styleId="68">
    <w:name w:val="正文文本 (6)_"/>
    <w:basedOn w:val="35"/>
    <w:link w:val="69"/>
    <w:qFormat/>
    <w:uiPriority w:val="0"/>
    <w:rPr>
      <w:rFonts w:ascii="Times New Roman" w:hAnsi="Times New Roman" w:eastAsia="Times New Roman" w:cs="Times New Roman"/>
      <w:shd w:val="clear" w:color="auto" w:fill="FFFFFF"/>
      <w:lang w:eastAsia="en-US" w:bidi="en-US"/>
    </w:rPr>
  </w:style>
  <w:style w:type="paragraph" w:customStyle="1" w:styleId="69">
    <w:name w:val="正文文本 (6)"/>
    <w:basedOn w:val="1"/>
    <w:link w:val="68"/>
    <w:qFormat/>
    <w:uiPriority w:val="0"/>
    <w:pPr>
      <w:shd w:val="clear" w:color="auto" w:fill="FFFFFF"/>
      <w:spacing w:before="180" w:after="300" w:line="0" w:lineRule="atLeast"/>
      <w:ind w:firstLine="520"/>
      <w:jc w:val="left"/>
    </w:pPr>
    <w:rPr>
      <w:rFonts w:ascii="Times New Roman" w:hAnsi="Times New Roman" w:eastAsia="Times New Roman" w:cs="Times New Roman"/>
      <w:lang w:eastAsia="en-US" w:bidi="en-US"/>
    </w:rPr>
  </w:style>
  <w:style w:type="character" w:customStyle="1" w:styleId="70">
    <w:name w:val="标题 3 Char"/>
    <w:basedOn w:val="35"/>
    <w:link w:val="4"/>
    <w:qFormat/>
    <w:uiPriority w:val="9"/>
    <w:rPr>
      <w:b/>
      <w:bCs/>
      <w:sz w:val="32"/>
      <w:szCs w:val="32"/>
    </w:rPr>
  </w:style>
  <w:style w:type="character" w:customStyle="1" w:styleId="71">
    <w:name w:val="标题 4 Char"/>
    <w:basedOn w:val="35"/>
    <w:link w:val="5"/>
    <w:qFormat/>
    <w:uiPriority w:val="9"/>
    <w:rPr>
      <w:rFonts w:asciiTheme="majorHAnsi" w:hAnsiTheme="majorHAnsi" w:eastAsiaTheme="majorEastAsia" w:cstheme="majorBidi"/>
      <w:b/>
      <w:bCs/>
      <w:sz w:val="28"/>
      <w:szCs w:val="28"/>
    </w:rPr>
  </w:style>
  <w:style w:type="character" w:customStyle="1" w:styleId="72">
    <w:name w:val="正文文本 (2) + 10.5 pt"/>
    <w:basedOn w:val="44"/>
    <w:qFormat/>
    <w:uiPriority w:val="0"/>
    <w:rPr>
      <w:rFonts w:ascii="MingLiU" w:hAnsi="MingLiU" w:eastAsia="MingLiU" w:cs="MingLiU"/>
      <w:b w:val="0"/>
      <w:bCs w:val="0"/>
      <w:color w:val="000000"/>
      <w:spacing w:val="0"/>
      <w:w w:val="100"/>
      <w:position w:val="0"/>
      <w:sz w:val="21"/>
      <w:szCs w:val="21"/>
      <w:u w:val="none"/>
      <w:shd w:val="clear" w:color="auto" w:fill="FFFFFF"/>
      <w:lang w:val="zh-TW" w:eastAsia="zh-TW" w:bidi="zh-TW"/>
    </w:rPr>
  </w:style>
  <w:style w:type="character" w:customStyle="1" w:styleId="73">
    <w:name w:val="正文文本 (3) + MingLiU"/>
    <w:basedOn w:val="60"/>
    <w:qFormat/>
    <w:uiPriority w:val="0"/>
    <w:rPr>
      <w:rFonts w:ascii="MingLiU" w:hAnsi="MingLiU" w:eastAsia="MingLiU" w:cs="MingLiU"/>
      <w:b w:val="0"/>
      <w:bCs w:val="0"/>
      <w:color w:val="000000"/>
      <w:spacing w:val="0"/>
      <w:w w:val="100"/>
      <w:position w:val="0"/>
      <w:sz w:val="22"/>
      <w:szCs w:val="22"/>
      <w:u w:val="none"/>
      <w:shd w:val="clear" w:color="auto" w:fill="FFFFFF"/>
      <w:lang w:val="zh-TW" w:eastAsia="zh-TW" w:bidi="zh-TW"/>
    </w:rPr>
  </w:style>
  <w:style w:type="character" w:customStyle="1" w:styleId="74">
    <w:name w:val="正文文本 (2) + 间距 -1 pt"/>
    <w:basedOn w:val="44"/>
    <w:qFormat/>
    <w:uiPriority w:val="0"/>
    <w:rPr>
      <w:rFonts w:ascii="MingLiU" w:hAnsi="MingLiU" w:eastAsia="MingLiU" w:cs="MingLiU"/>
      <w:b w:val="0"/>
      <w:bCs w:val="0"/>
      <w:color w:val="000000"/>
      <w:spacing w:val="-30"/>
      <w:w w:val="100"/>
      <w:position w:val="0"/>
      <w:sz w:val="22"/>
      <w:szCs w:val="22"/>
      <w:u w:val="none"/>
      <w:shd w:val="clear" w:color="auto" w:fill="FFFFFF"/>
      <w:lang w:val="en-US" w:eastAsia="en-US" w:bidi="en-US"/>
    </w:rPr>
  </w:style>
  <w:style w:type="character" w:customStyle="1" w:styleId="75">
    <w:name w:val="正文文本 (3) + 间距 3 pt"/>
    <w:basedOn w:val="60"/>
    <w:qFormat/>
    <w:uiPriority w:val="0"/>
    <w:rPr>
      <w:rFonts w:ascii="MingLiU" w:hAnsi="MingLiU" w:eastAsia="MingLiU" w:cs="MingLiU"/>
      <w:b w:val="0"/>
      <w:bCs w:val="0"/>
      <w:color w:val="000000"/>
      <w:spacing w:val="60"/>
      <w:w w:val="100"/>
      <w:position w:val="0"/>
      <w:sz w:val="22"/>
      <w:szCs w:val="22"/>
      <w:u w:val="none"/>
      <w:shd w:val="clear" w:color="auto" w:fill="FFFFFF"/>
      <w:lang w:val="zh-TW" w:eastAsia="zh-TW" w:bidi="zh-TW"/>
    </w:rPr>
  </w:style>
  <w:style w:type="character" w:customStyle="1" w:styleId="76">
    <w:name w:val="正文文本 (5) + Franklin Gothic Medium"/>
    <w:basedOn w:val="66"/>
    <w:qFormat/>
    <w:uiPriority w:val="0"/>
    <w:rPr>
      <w:rFonts w:ascii="Franklin Gothic Medium" w:hAnsi="Franklin Gothic Medium" w:eastAsia="Franklin Gothic Medium" w:cs="Franklin Gothic Medium"/>
      <w:color w:val="000000"/>
      <w:spacing w:val="0"/>
      <w:w w:val="100"/>
      <w:position w:val="0"/>
      <w:sz w:val="20"/>
      <w:szCs w:val="20"/>
      <w:u w:val="none"/>
      <w:shd w:val="clear" w:color="auto" w:fill="FFFFFF"/>
      <w:lang w:val="en-US" w:eastAsia="en-US" w:bidi="en-US"/>
    </w:rPr>
  </w:style>
  <w:style w:type="character" w:customStyle="1" w:styleId="77">
    <w:name w:val="正文文本 (6) + 11.5 pt"/>
    <w:basedOn w:val="68"/>
    <w:qFormat/>
    <w:uiPriority w:val="0"/>
    <w:rPr>
      <w:rFonts w:ascii="Times New Roman" w:hAnsi="Times New Roman" w:eastAsia="Times New Roman" w:cs="Times New Roman"/>
      <w:color w:val="000000"/>
      <w:spacing w:val="0"/>
      <w:w w:val="100"/>
      <w:position w:val="0"/>
      <w:sz w:val="23"/>
      <w:szCs w:val="23"/>
      <w:u w:val="none"/>
      <w:shd w:val="clear" w:color="auto" w:fill="FFFFFF"/>
      <w:lang w:val="en-US" w:eastAsia="en-US" w:bidi="en-US"/>
    </w:rPr>
  </w:style>
  <w:style w:type="character" w:customStyle="1" w:styleId="78">
    <w:name w:val="正文文本 (4) + 非粗体"/>
    <w:basedOn w:val="64"/>
    <w:qFormat/>
    <w:uiPriority w:val="0"/>
    <w:rPr>
      <w:rFonts w:ascii="MingLiU" w:hAnsi="MingLiU" w:eastAsia="MingLiU" w:cs="MingLiU"/>
      <w:b/>
      <w:bCs/>
      <w:color w:val="000000"/>
      <w:spacing w:val="0"/>
      <w:w w:val="100"/>
      <w:position w:val="0"/>
      <w:sz w:val="24"/>
      <w:szCs w:val="24"/>
      <w:u w:val="none"/>
      <w:shd w:val="clear" w:color="auto" w:fill="FFFFFF"/>
      <w:lang w:val="en-US" w:eastAsia="en-US" w:bidi="en-US"/>
    </w:rPr>
  </w:style>
  <w:style w:type="character" w:customStyle="1" w:styleId="79">
    <w:name w:val="标题 5 Char"/>
    <w:basedOn w:val="35"/>
    <w:link w:val="6"/>
    <w:qFormat/>
    <w:uiPriority w:val="9"/>
    <w:rPr>
      <w:b/>
      <w:bCs/>
      <w:sz w:val="28"/>
      <w:szCs w:val="28"/>
    </w:rPr>
  </w:style>
  <w:style w:type="character" w:customStyle="1" w:styleId="80">
    <w:name w:val="正文文本 (3) + 非粗体"/>
    <w:basedOn w:val="60"/>
    <w:qFormat/>
    <w:uiPriority w:val="0"/>
    <w:rPr>
      <w:rFonts w:ascii="MingLiU" w:hAnsi="MingLiU" w:eastAsia="MingLiU" w:cs="MingLiU"/>
      <w:color w:val="000000"/>
      <w:spacing w:val="0"/>
      <w:w w:val="100"/>
      <w:position w:val="0"/>
      <w:sz w:val="24"/>
      <w:szCs w:val="24"/>
      <w:u w:val="none"/>
      <w:shd w:val="clear" w:color="auto" w:fill="FFFFFF"/>
      <w:lang w:val="en-US" w:eastAsia="en-US" w:bidi="en-US"/>
    </w:rPr>
  </w:style>
  <w:style w:type="character" w:customStyle="1" w:styleId="81">
    <w:name w:val="标题 #2 (2)_"/>
    <w:basedOn w:val="35"/>
    <w:link w:val="82"/>
    <w:qFormat/>
    <w:uiPriority w:val="0"/>
    <w:rPr>
      <w:rFonts w:ascii="MingLiU" w:hAnsi="MingLiU" w:eastAsia="MingLiU" w:cs="MingLiU"/>
      <w:shd w:val="clear" w:color="auto" w:fill="FFFFFF"/>
    </w:rPr>
  </w:style>
  <w:style w:type="paragraph" w:customStyle="1" w:styleId="82">
    <w:name w:val="标题 #2 (2)"/>
    <w:basedOn w:val="1"/>
    <w:link w:val="81"/>
    <w:qFormat/>
    <w:uiPriority w:val="0"/>
    <w:pPr>
      <w:shd w:val="clear" w:color="auto" w:fill="FFFFFF"/>
      <w:spacing w:before="540" w:after="240" w:line="0" w:lineRule="atLeast"/>
      <w:jc w:val="distribute"/>
      <w:outlineLvl w:val="1"/>
    </w:pPr>
    <w:rPr>
      <w:rFonts w:ascii="MingLiU" w:hAnsi="MingLiU" w:eastAsia="MingLiU" w:cs="MingLiU"/>
    </w:rPr>
  </w:style>
  <w:style w:type="character" w:customStyle="1" w:styleId="83">
    <w:name w:val="正文文本 (3) Exact"/>
    <w:basedOn w:val="35"/>
    <w:qFormat/>
    <w:uiPriority w:val="0"/>
    <w:rPr>
      <w:rFonts w:ascii="MingLiU" w:hAnsi="MingLiU" w:eastAsia="MingLiU" w:cs="MingLiU"/>
      <w:sz w:val="20"/>
      <w:szCs w:val="20"/>
      <w:u w:val="none"/>
    </w:rPr>
  </w:style>
  <w:style w:type="character" w:customStyle="1" w:styleId="84">
    <w:name w:val="正文文本 (2) + 11 pt"/>
    <w:basedOn w:val="44"/>
    <w:qFormat/>
    <w:uiPriority w:val="0"/>
    <w:rPr>
      <w:rFonts w:ascii="MingLiU" w:hAnsi="MingLiU" w:eastAsia="MingLiU" w:cs="MingLiU"/>
      <w:b w:val="0"/>
      <w:bCs w:val="0"/>
      <w:color w:val="000000"/>
      <w:spacing w:val="0"/>
      <w:w w:val="100"/>
      <w:position w:val="0"/>
      <w:sz w:val="22"/>
      <w:szCs w:val="22"/>
      <w:u w:val="none"/>
      <w:shd w:val="clear" w:color="auto" w:fill="FFFFFF"/>
      <w:lang w:val="zh-TW" w:eastAsia="zh-TW" w:bidi="zh-TW"/>
    </w:rPr>
  </w:style>
  <w:style w:type="character" w:customStyle="1" w:styleId="85">
    <w:name w:val="正文文本 (2) + 13 pt"/>
    <w:basedOn w:val="44"/>
    <w:qFormat/>
    <w:uiPriority w:val="0"/>
    <w:rPr>
      <w:rFonts w:ascii="MingLiU" w:hAnsi="MingLiU" w:eastAsia="MingLiU" w:cs="MingLiU"/>
      <w:b w:val="0"/>
      <w:bCs w:val="0"/>
      <w:color w:val="000000"/>
      <w:spacing w:val="0"/>
      <w:w w:val="100"/>
      <w:position w:val="0"/>
      <w:sz w:val="26"/>
      <w:szCs w:val="26"/>
      <w:u w:val="none"/>
      <w:shd w:val="clear" w:color="auto" w:fill="FFFFFF"/>
      <w:lang w:val="zh-TW" w:eastAsia="zh-TW" w:bidi="zh-TW"/>
    </w:rPr>
  </w:style>
  <w:style w:type="character" w:customStyle="1" w:styleId="86">
    <w:name w:val="正文文本 (3) + Courier New"/>
    <w:basedOn w:val="60"/>
    <w:qFormat/>
    <w:uiPriority w:val="0"/>
    <w:rPr>
      <w:rFonts w:ascii="Courier New" w:hAnsi="Courier New" w:eastAsia="Courier New" w:cs="Courier New"/>
      <w:b w:val="0"/>
      <w:bCs w:val="0"/>
      <w:color w:val="000000"/>
      <w:spacing w:val="0"/>
      <w:w w:val="100"/>
      <w:position w:val="0"/>
      <w:sz w:val="34"/>
      <w:szCs w:val="34"/>
      <w:u w:val="none"/>
      <w:shd w:val="clear" w:color="auto" w:fill="FFFFFF"/>
      <w:lang w:val="en-US" w:eastAsia="en-US" w:bidi="en-US"/>
    </w:rPr>
  </w:style>
  <w:style w:type="character" w:customStyle="1" w:styleId="87">
    <w:name w:val="正文文本 (2) + 7 pt"/>
    <w:basedOn w:val="44"/>
    <w:qFormat/>
    <w:uiPriority w:val="0"/>
    <w:rPr>
      <w:rFonts w:ascii="MingLiU" w:hAnsi="MingLiU" w:eastAsia="MingLiU" w:cs="MingLiU"/>
      <w:b w:val="0"/>
      <w:bCs w:val="0"/>
      <w:color w:val="000000"/>
      <w:spacing w:val="0"/>
      <w:w w:val="100"/>
      <w:position w:val="0"/>
      <w:sz w:val="14"/>
      <w:szCs w:val="14"/>
      <w:u w:val="none"/>
      <w:shd w:val="clear" w:color="auto" w:fill="FFFFFF"/>
      <w:lang w:val="zh-TW" w:eastAsia="zh-TW" w:bidi="zh-TW"/>
    </w:rPr>
  </w:style>
  <w:style w:type="character" w:customStyle="1" w:styleId="88">
    <w:name w:val="称呼 Char"/>
    <w:basedOn w:val="35"/>
    <w:link w:val="9"/>
    <w:qFormat/>
    <w:uiPriority w:val="99"/>
    <w:rPr>
      <w:rFonts w:ascii="宋体" w:hAnsi="宋体" w:eastAsia="宋体"/>
      <w:szCs w:val="21"/>
    </w:rPr>
  </w:style>
  <w:style w:type="character" w:customStyle="1" w:styleId="89">
    <w:name w:val="结束语 Char"/>
    <w:basedOn w:val="35"/>
    <w:link w:val="11"/>
    <w:qFormat/>
    <w:uiPriority w:val="99"/>
    <w:rPr>
      <w:rFonts w:ascii="宋体" w:hAnsi="宋体" w:eastAsia="宋体"/>
      <w:szCs w:val="21"/>
    </w:rPr>
  </w:style>
  <w:style w:type="character" w:customStyle="1" w:styleId="90">
    <w:name w:val="目录_"/>
    <w:basedOn w:val="35"/>
    <w:link w:val="91"/>
    <w:qFormat/>
    <w:uiPriority w:val="0"/>
    <w:rPr>
      <w:rFonts w:ascii="MingLiU" w:hAnsi="MingLiU" w:eastAsia="MingLiU" w:cs="MingLiU"/>
      <w:sz w:val="22"/>
      <w:shd w:val="clear" w:color="auto" w:fill="FFFFFF"/>
    </w:rPr>
  </w:style>
  <w:style w:type="paragraph" w:customStyle="1" w:styleId="91">
    <w:name w:val="目录"/>
    <w:basedOn w:val="1"/>
    <w:link w:val="90"/>
    <w:qFormat/>
    <w:uiPriority w:val="0"/>
    <w:pPr>
      <w:shd w:val="clear" w:color="auto" w:fill="FFFFFF"/>
      <w:spacing w:before="600" w:line="439" w:lineRule="exact"/>
      <w:jc w:val="distribute"/>
    </w:pPr>
    <w:rPr>
      <w:rFonts w:ascii="MingLiU" w:hAnsi="MingLiU" w:eastAsia="MingLiU" w:cs="MingLiU"/>
      <w:sz w:val="22"/>
    </w:rPr>
  </w:style>
  <w:style w:type="character" w:customStyle="1" w:styleId="92">
    <w:name w:val="正文文本 (2) + 间距 2 pt"/>
    <w:basedOn w:val="44"/>
    <w:qFormat/>
    <w:uiPriority w:val="0"/>
    <w:rPr>
      <w:rFonts w:ascii="MingLiU" w:hAnsi="MingLiU" w:eastAsia="MingLiU" w:cs="MingLiU"/>
      <w:b w:val="0"/>
      <w:bCs w:val="0"/>
      <w:color w:val="000000"/>
      <w:spacing w:val="40"/>
      <w:w w:val="100"/>
      <w:position w:val="0"/>
      <w:sz w:val="22"/>
      <w:szCs w:val="22"/>
      <w:u w:val="none"/>
      <w:shd w:val="clear" w:color="auto" w:fill="FFFFFF"/>
      <w:lang w:val="zh-TW" w:eastAsia="zh-TW" w:bidi="zh-TW"/>
    </w:rPr>
  </w:style>
  <w:style w:type="character" w:customStyle="1" w:styleId="93">
    <w:name w:val="正文文本 (2) + 间距 0 pt"/>
    <w:basedOn w:val="44"/>
    <w:qFormat/>
    <w:uiPriority w:val="0"/>
    <w:rPr>
      <w:rFonts w:ascii="MingLiU" w:hAnsi="MingLiU" w:eastAsia="MingLiU" w:cs="MingLiU"/>
      <w:b w:val="0"/>
      <w:bCs w:val="0"/>
      <w:color w:val="000000"/>
      <w:spacing w:val="-10"/>
      <w:w w:val="100"/>
      <w:position w:val="0"/>
      <w:sz w:val="20"/>
      <w:szCs w:val="20"/>
      <w:u w:val="none"/>
      <w:shd w:val="clear" w:color="auto" w:fill="FFFFFF"/>
      <w:lang w:val="zh-TW" w:eastAsia="zh-TW" w:bidi="zh-TW"/>
    </w:rPr>
  </w:style>
  <w:style w:type="character" w:customStyle="1" w:styleId="94">
    <w:name w:val="正文文本 (2) + 14 pt"/>
    <w:basedOn w:val="44"/>
    <w:qFormat/>
    <w:uiPriority w:val="0"/>
    <w:rPr>
      <w:rFonts w:ascii="MingLiU" w:hAnsi="MingLiU" w:eastAsia="MingLiU" w:cs="MingLiU"/>
      <w:b w:val="0"/>
      <w:bCs w:val="0"/>
      <w:color w:val="000000"/>
      <w:spacing w:val="0"/>
      <w:w w:val="100"/>
      <w:position w:val="0"/>
      <w:sz w:val="28"/>
      <w:szCs w:val="28"/>
      <w:u w:val="none"/>
      <w:shd w:val="clear" w:color="auto" w:fill="FFFFFF"/>
      <w:lang w:val="en-US" w:eastAsia="en-US" w:bidi="en-US"/>
    </w:rPr>
  </w:style>
  <w:style w:type="character" w:customStyle="1" w:styleId="95">
    <w:name w:val="正文文本 (2) + Sylfaen"/>
    <w:basedOn w:val="44"/>
    <w:qFormat/>
    <w:uiPriority w:val="0"/>
    <w:rPr>
      <w:rFonts w:ascii="Sylfaen" w:hAnsi="Sylfaen" w:eastAsia="Sylfaen" w:cs="Sylfaen"/>
      <w:b w:val="0"/>
      <w:bCs w:val="0"/>
      <w:color w:val="000000"/>
      <w:spacing w:val="40"/>
      <w:w w:val="100"/>
      <w:position w:val="0"/>
      <w:sz w:val="20"/>
      <w:szCs w:val="20"/>
      <w:u w:val="none"/>
      <w:shd w:val="clear" w:color="auto" w:fill="FFFFFF"/>
      <w:lang w:val="en-US" w:eastAsia="en-US" w:bidi="en-US"/>
    </w:rPr>
  </w:style>
  <w:style w:type="character" w:customStyle="1" w:styleId="96">
    <w:name w:val="目录 (2)_"/>
    <w:basedOn w:val="35"/>
    <w:link w:val="97"/>
    <w:qFormat/>
    <w:uiPriority w:val="0"/>
    <w:rPr>
      <w:rFonts w:ascii="MingLiU" w:hAnsi="MingLiU" w:eastAsia="MingLiU" w:cs="MingLiU"/>
      <w:sz w:val="28"/>
      <w:szCs w:val="28"/>
      <w:shd w:val="clear" w:color="auto" w:fill="FFFFFF"/>
    </w:rPr>
  </w:style>
  <w:style w:type="paragraph" w:customStyle="1" w:styleId="97">
    <w:name w:val="目录 (2)"/>
    <w:basedOn w:val="1"/>
    <w:link w:val="96"/>
    <w:qFormat/>
    <w:uiPriority w:val="0"/>
    <w:pPr>
      <w:shd w:val="clear" w:color="auto" w:fill="FFFFFF"/>
      <w:spacing w:after="180" w:line="0" w:lineRule="atLeast"/>
      <w:jc w:val="distribute"/>
    </w:pPr>
    <w:rPr>
      <w:rFonts w:ascii="MingLiU" w:hAnsi="MingLiU" w:eastAsia="MingLiU" w:cs="MingLiU"/>
      <w:sz w:val="28"/>
      <w:szCs w:val="28"/>
    </w:rPr>
  </w:style>
  <w:style w:type="character" w:customStyle="1" w:styleId="98">
    <w:name w:val="正文文本 (2) + 4 pt"/>
    <w:basedOn w:val="44"/>
    <w:qFormat/>
    <w:uiPriority w:val="0"/>
    <w:rPr>
      <w:rFonts w:ascii="MingLiU" w:hAnsi="MingLiU" w:eastAsia="MingLiU" w:cs="MingLiU"/>
      <w:b w:val="0"/>
      <w:bCs w:val="0"/>
      <w:color w:val="000000"/>
      <w:spacing w:val="60"/>
      <w:w w:val="100"/>
      <w:position w:val="0"/>
      <w:sz w:val="8"/>
      <w:szCs w:val="8"/>
      <w:u w:val="none"/>
      <w:shd w:val="clear" w:color="auto" w:fill="FFFFFF"/>
      <w:lang w:val="zh-TW" w:eastAsia="zh-TW" w:bidi="zh-TW"/>
    </w:rPr>
  </w:style>
  <w:style w:type="character" w:customStyle="1" w:styleId="99">
    <w:name w:val="标题 #1 + 6 pt"/>
    <w:basedOn w:val="46"/>
    <w:qFormat/>
    <w:uiPriority w:val="0"/>
    <w:rPr>
      <w:rFonts w:ascii="MingLiU" w:hAnsi="MingLiU" w:eastAsia="MingLiU" w:cs="MingLiU"/>
      <w:color w:val="000000"/>
      <w:spacing w:val="0"/>
      <w:w w:val="100"/>
      <w:position w:val="0"/>
      <w:sz w:val="12"/>
      <w:szCs w:val="12"/>
      <w:u w:val="none"/>
      <w:shd w:val="clear" w:color="auto" w:fill="FFFFFF"/>
      <w:lang w:val="zh-TW" w:eastAsia="zh-TW" w:bidi="zh-TW"/>
    </w:rPr>
  </w:style>
  <w:style w:type="character" w:customStyle="1" w:styleId="100">
    <w:name w:val="正文文本 (2) + 9 pt"/>
    <w:basedOn w:val="44"/>
    <w:qFormat/>
    <w:uiPriority w:val="0"/>
    <w:rPr>
      <w:rFonts w:ascii="MingLiU" w:hAnsi="MingLiU" w:eastAsia="MingLiU" w:cs="MingLiU"/>
      <w:b w:val="0"/>
      <w:bCs w:val="0"/>
      <w:color w:val="000000"/>
      <w:spacing w:val="0"/>
      <w:w w:val="100"/>
      <w:position w:val="0"/>
      <w:sz w:val="18"/>
      <w:szCs w:val="18"/>
      <w:u w:val="none"/>
      <w:shd w:val="clear" w:color="auto" w:fill="FFFFFF"/>
      <w:lang w:val="zh-TW" w:eastAsia="zh-TW" w:bidi="zh-TW"/>
    </w:rPr>
  </w:style>
  <w:style w:type="character" w:customStyle="1" w:styleId="101">
    <w:name w:val="目录 + 6 pt"/>
    <w:basedOn w:val="90"/>
    <w:qFormat/>
    <w:uiPriority w:val="0"/>
    <w:rPr>
      <w:rFonts w:ascii="MingLiU" w:hAnsi="MingLiU" w:eastAsia="MingLiU" w:cs="MingLiU"/>
      <w:color w:val="000000"/>
      <w:spacing w:val="0"/>
      <w:w w:val="100"/>
      <w:position w:val="0"/>
      <w:sz w:val="12"/>
      <w:szCs w:val="12"/>
      <w:u w:val="none"/>
      <w:shd w:val="clear" w:color="auto" w:fill="FFFFFF"/>
      <w:lang w:val="zh-TW" w:eastAsia="zh-TW" w:bidi="zh-TW"/>
    </w:rPr>
  </w:style>
  <w:style w:type="character" w:customStyle="1" w:styleId="102">
    <w:name w:val="标题 #3_"/>
    <w:basedOn w:val="35"/>
    <w:link w:val="103"/>
    <w:qFormat/>
    <w:uiPriority w:val="0"/>
    <w:rPr>
      <w:rFonts w:ascii="MingLiU" w:hAnsi="MingLiU" w:eastAsia="MingLiU" w:cs="MingLiU"/>
      <w:sz w:val="28"/>
      <w:szCs w:val="28"/>
      <w:shd w:val="clear" w:color="auto" w:fill="FFFFFF"/>
    </w:rPr>
  </w:style>
  <w:style w:type="paragraph" w:customStyle="1" w:styleId="103">
    <w:name w:val="标题 #3"/>
    <w:basedOn w:val="1"/>
    <w:link w:val="102"/>
    <w:qFormat/>
    <w:uiPriority w:val="0"/>
    <w:pPr>
      <w:shd w:val="clear" w:color="auto" w:fill="FFFFFF"/>
      <w:spacing w:before="600" w:after="720" w:line="0" w:lineRule="atLeast"/>
      <w:jc w:val="distribute"/>
      <w:outlineLvl w:val="2"/>
    </w:pPr>
    <w:rPr>
      <w:rFonts w:ascii="MingLiU" w:hAnsi="MingLiU" w:eastAsia="MingLiU" w:cs="MingLiU"/>
      <w:sz w:val="28"/>
      <w:szCs w:val="28"/>
    </w:rPr>
  </w:style>
  <w:style w:type="character" w:customStyle="1" w:styleId="104">
    <w:name w:val="标题 #3 (2)_"/>
    <w:basedOn w:val="35"/>
    <w:qFormat/>
    <w:uiPriority w:val="0"/>
    <w:rPr>
      <w:rFonts w:ascii="MingLiU" w:hAnsi="MingLiU" w:eastAsia="MingLiU" w:cs="MingLiU"/>
      <w:spacing w:val="-10"/>
      <w:sz w:val="28"/>
      <w:szCs w:val="28"/>
      <w:u w:val="none"/>
    </w:rPr>
  </w:style>
  <w:style w:type="character" w:customStyle="1" w:styleId="105">
    <w:name w:val="标题 #3 (2)"/>
    <w:basedOn w:val="104"/>
    <w:qFormat/>
    <w:uiPriority w:val="0"/>
    <w:rPr>
      <w:rFonts w:ascii="MingLiU" w:hAnsi="MingLiU" w:eastAsia="MingLiU" w:cs="MingLiU"/>
      <w:color w:val="000000"/>
      <w:spacing w:val="-10"/>
      <w:w w:val="100"/>
      <w:position w:val="0"/>
      <w:sz w:val="28"/>
      <w:szCs w:val="28"/>
      <w:u w:val="none"/>
      <w:lang w:val="zh-TW" w:eastAsia="zh-TW" w:bidi="zh-TW"/>
    </w:rPr>
  </w:style>
  <w:style w:type="character" w:customStyle="1" w:styleId="106">
    <w:name w:val="正文文本 (2) + 间距 -2 pt"/>
    <w:basedOn w:val="44"/>
    <w:qFormat/>
    <w:uiPriority w:val="0"/>
    <w:rPr>
      <w:rFonts w:ascii="MingLiU" w:hAnsi="MingLiU" w:eastAsia="MingLiU" w:cs="MingLiU"/>
      <w:b w:val="0"/>
      <w:bCs w:val="0"/>
      <w:color w:val="000000"/>
      <w:spacing w:val="-40"/>
      <w:w w:val="100"/>
      <w:position w:val="0"/>
      <w:sz w:val="22"/>
      <w:szCs w:val="22"/>
      <w:u w:val="none"/>
      <w:shd w:val="clear" w:color="auto" w:fill="FFFFFF"/>
      <w:lang w:val="zh-TW" w:eastAsia="zh-TW" w:bidi="zh-TW"/>
    </w:rPr>
  </w:style>
  <w:style w:type="character" w:customStyle="1" w:styleId="107">
    <w:name w:val="页眉或页脚_"/>
    <w:basedOn w:val="35"/>
    <w:qFormat/>
    <w:uiPriority w:val="0"/>
    <w:rPr>
      <w:rFonts w:ascii="MingLiU" w:hAnsi="MingLiU" w:eastAsia="MingLiU" w:cs="MingLiU"/>
      <w:sz w:val="20"/>
      <w:szCs w:val="20"/>
      <w:u w:val="none"/>
    </w:rPr>
  </w:style>
  <w:style w:type="character" w:customStyle="1" w:styleId="108">
    <w:name w:val="页眉或页脚"/>
    <w:basedOn w:val="107"/>
    <w:qFormat/>
    <w:uiPriority w:val="0"/>
    <w:rPr>
      <w:rFonts w:ascii="MingLiU" w:hAnsi="MingLiU" w:eastAsia="MingLiU" w:cs="MingLiU"/>
      <w:color w:val="000000"/>
      <w:spacing w:val="0"/>
      <w:w w:val="100"/>
      <w:position w:val="0"/>
      <w:sz w:val="20"/>
      <w:szCs w:val="20"/>
      <w:u w:val="none"/>
      <w:lang w:val="zh-TW" w:eastAsia="zh-TW" w:bidi="zh-TW"/>
    </w:rPr>
  </w:style>
  <w:style w:type="character" w:customStyle="1" w:styleId="109">
    <w:name w:val="标题 #1 + 7 pt"/>
    <w:basedOn w:val="46"/>
    <w:qFormat/>
    <w:uiPriority w:val="0"/>
    <w:rPr>
      <w:rFonts w:ascii="MingLiU" w:hAnsi="MingLiU" w:eastAsia="MingLiU" w:cs="MingLiU"/>
      <w:color w:val="000000"/>
      <w:spacing w:val="0"/>
      <w:w w:val="100"/>
      <w:position w:val="0"/>
      <w:sz w:val="14"/>
      <w:szCs w:val="14"/>
      <w:u w:val="none"/>
      <w:shd w:val="clear" w:color="auto" w:fill="FFFFFF"/>
      <w:lang w:val="zh-TW" w:eastAsia="zh-TW" w:bidi="zh-TW"/>
    </w:rPr>
  </w:style>
  <w:style w:type="paragraph" w:styleId="110">
    <w:name w:val="List Paragraph"/>
    <w:basedOn w:val="1"/>
    <w:qFormat/>
    <w:uiPriority w:val="34"/>
    <w:pPr>
      <w:ind w:firstLine="420" w:firstLineChars="200"/>
      <w:jc w:val="left"/>
    </w:pPr>
    <w:rPr>
      <w:rFonts w:ascii="Microsoft JhengHei Light" w:hAnsi="Microsoft JhengHei Light" w:eastAsia="Microsoft JhengHei Light" w:cs="Microsoft JhengHei Light"/>
      <w:color w:val="000000"/>
      <w:kern w:val="0"/>
      <w:sz w:val="24"/>
      <w:szCs w:val="24"/>
      <w:lang w:val="zh-TW" w:eastAsia="zh-TW" w:bidi="zh-TW"/>
    </w:rPr>
  </w:style>
  <w:style w:type="character" w:customStyle="1" w:styleId="111">
    <w:name w:val="正文文本 (2) + Cambria"/>
    <w:basedOn w:val="44"/>
    <w:qFormat/>
    <w:uiPriority w:val="0"/>
    <w:rPr>
      <w:rFonts w:ascii="Cambria" w:hAnsi="Cambria" w:eastAsia="Cambria" w:cs="Cambria"/>
      <w:b w:val="0"/>
      <w:bCs w:val="0"/>
      <w:color w:val="000000"/>
      <w:spacing w:val="0"/>
      <w:w w:val="100"/>
      <w:position w:val="0"/>
      <w:sz w:val="20"/>
      <w:szCs w:val="20"/>
      <w:u w:val="none"/>
      <w:shd w:val="clear" w:color="auto" w:fill="FFFFFF"/>
      <w:lang w:val="en-US" w:eastAsia="en-US" w:bidi="en-US"/>
    </w:rPr>
  </w:style>
  <w:style w:type="character" w:customStyle="1" w:styleId="112">
    <w:name w:val="正文文本 (2) + 间距 3 pt"/>
    <w:basedOn w:val="44"/>
    <w:qFormat/>
    <w:uiPriority w:val="0"/>
    <w:rPr>
      <w:rFonts w:ascii="MingLiU" w:hAnsi="MingLiU" w:eastAsia="MingLiU" w:cs="MingLiU"/>
      <w:b w:val="0"/>
      <w:bCs w:val="0"/>
      <w:color w:val="000000"/>
      <w:spacing w:val="70"/>
      <w:w w:val="100"/>
      <w:position w:val="0"/>
      <w:sz w:val="22"/>
      <w:szCs w:val="22"/>
      <w:u w:val="none"/>
      <w:shd w:val="clear" w:color="auto" w:fill="FFFFFF"/>
      <w:lang w:val="zh-TW" w:eastAsia="zh-TW" w:bidi="zh-TW"/>
    </w:rPr>
  </w:style>
  <w:style w:type="character" w:customStyle="1" w:styleId="113">
    <w:name w:val="目录 + 间距 3 pt"/>
    <w:basedOn w:val="90"/>
    <w:qFormat/>
    <w:uiPriority w:val="0"/>
    <w:rPr>
      <w:rFonts w:ascii="MingLiU" w:hAnsi="MingLiU" w:eastAsia="MingLiU" w:cs="MingLiU"/>
      <w:color w:val="000000"/>
      <w:spacing w:val="70"/>
      <w:w w:val="100"/>
      <w:position w:val="0"/>
      <w:sz w:val="22"/>
      <w:szCs w:val="22"/>
      <w:shd w:val="clear" w:color="auto" w:fill="FFFFFF"/>
      <w:lang w:val="zh-TW" w:eastAsia="zh-TW" w:bidi="zh-TW"/>
    </w:rPr>
  </w:style>
  <w:style w:type="character" w:customStyle="1" w:styleId="114">
    <w:name w:val="目录 + 间距 -2 pt"/>
    <w:basedOn w:val="90"/>
    <w:qFormat/>
    <w:uiPriority w:val="0"/>
    <w:rPr>
      <w:rFonts w:ascii="MingLiU" w:hAnsi="MingLiU" w:eastAsia="MingLiU" w:cs="MingLiU"/>
      <w:color w:val="000000"/>
      <w:spacing w:val="-40"/>
      <w:w w:val="100"/>
      <w:position w:val="0"/>
      <w:sz w:val="22"/>
      <w:szCs w:val="22"/>
      <w:shd w:val="clear" w:color="auto" w:fill="FFFFFF"/>
      <w:lang w:val="zh-TW" w:eastAsia="zh-TW" w:bidi="zh-TW"/>
    </w:rPr>
  </w:style>
  <w:style w:type="character" w:customStyle="1" w:styleId="115">
    <w:name w:val="正文文本 (2) + 间距 4 pt"/>
    <w:basedOn w:val="44"/>
    <w:qFormat/>
    <w:uiPriority w:val="0"/>
    <w:rPr>
      <w:rFonts w:ascii="MingLiU" w:hAnsi="MingLiU" w:eastAsia="MingLiU" w:cs="MingLiU"/>
      <w:b w:val="0"/>
      <w:bCs w:val="0"/>
      <w:color w:val="000000"/>
      <w:spacing w:val="80"/>
      <w:w w:val="100"/>
      <w:position w:val="0"/>
      <w:sz w:val="22"/>
      <w:szCs w:val="22"/>
      <w:u w:val="none"/>
      <w:shd w:val="clear" w:color="auto" w:fill="FFFFFF"/>
      <w:lang w:val="zh-TW" w:eastAsia="zh-TW" w:bidi="zh-TW"/>
    </w:rPr>
  </w:style>
  <w:style w:type="character" w:customStyle="1" w:styleId="116">
    <w:name w:val="正文文本 Char"/>
    <w:basedOn w:val="35"/>
    <w:link w:val="12"/>
    <w:qFormat/>
    <w:uiPriority w:val="1"/>
    <w:rPr>
      <w:rFonts w:ascii="宋体" w:hAnsi="宋体" w:eastAsia="宋体" w:cs="宋体"/>
      <w:kern w:val="0"/>
      <w:sz w:val="24"/>
      <w:szCs w:val="24"/>
      <w:lang w:val="zh-CN" w:bidi="zh-CN"/>
    </w:rPr>
  </w:style>
  <w:style w:type="table" w:customStyle="1" w:styleId="117">
    <w:name w:val="网格型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8">
    <w:name w:val="TOC 标题1"/>
    <w:basedOn w:val="2"/>
    <w:next w:val="1"/>
    <w:qFormat/>
    <w:uiPriority w:val="0"/>
    <w:pPr>
      <w:widowControl/>
      <w:spacing w:before="480" w:after="0" w:line="276" w:lineRule="auto"/>
      <w:outlineLvl w:val="9"/>
    </w:pPr>
    <w:rPr>
      <w:rFonts w:ascii="Cambria" w:hAnsi="Cambria" w:eastAsia="宋体" w:cs="Times New Roman"/>
      <w:bCs w:val="0"/>
      <w:color w:val="365F91"/>
      <w:kern w:val="0"/>
      <w:sz w:val="28"/>
      <w:szCs w:val="20"/>
      <w:lang w:val="en-US" w:eastAsia="zh-CN" w:bidi="ar-SA"/>
    </w:rPr>
  </w:style>
  <w:style w:type="paragraph" w:customStyle="1" w:styleId="119">
    <w:name w:val="TOC 标题2"/>
    <w:basedOn w:val="2"/>
    <w:next w:val="1"/>
    <w:unhideWhenUsed/>
    <w:qFormat/>
    <w:uiPriority w:val="39"/>
    <w:pPr>
      <w:widowControl/>
      <w:spacing w:before="480" w:after="0" w:line="276" w:lineRule="auto"/>
      <w:outlineLvl w:val="9"/>
    </w:pPr>
    <w:rPr>
      <w:rFonts w:asciiTheme="majorHAnsi" w:hAnsiTheme="majorHAnsi" w:eastAsiaTheme="majorEastAsia" w:cstheme="majorBidi"/>
      <w:color w:val="2E75B5" w:themeColor="accent1" w:themeShade="BF"/>
      <w:kern w:val="0"/>
      <w:sz w:val="28"/>
      <w:szCs w:val="28"/>
      <w:lang w:val="en-US" w:eastAsia="zh-CN" w:bidi="ar-SA"/>
    </w:rPr>
  </w:style>
  <w:style w:type="paragraph" w:customStyle="1" w:styleId="120">
    <w:name w:val="标题 31"/>
    <w:basedOn w:val="1"/>
    <w:qFormat/>
    <w:uiPriority w:val="1"/>
    <w:pPr>
      <w:autoSpaceDE w:val="0"/>
      <w:autoSpaceDN w:val="0"/>
      <w:ind w:left="866" w:hanging="489"/>
      <w:jc w:val="left"/>
      <w:outlineLvl w:val="3"/>
    </w:pPr>
    <w:rPr>
      <w:rFonts w:ascii="宋体" w:hAnsi="宋体" w:eastAsia="宋体" w:cs="宋体"/>
      <w:kern w:val="0"/>
      <w:sz w:val="28"/>
      <w:szCs w:val="28"/>
      <w:lang w:val="zh-CN" w:bidi="zh-CN"/>
    </w:rPr>
  </w:style>
  <w:style w:type="paragraph" w:customStyle="1" w:styleId="121">
    <w:name w:val="Table Paragraph"/>
    <w:basedOn w:val="1"/>
    <w:qFormat/>
    <w:uiPriority w:val="1"/>
    <w:pPr>
      <w:widowControl/>
      <w:jc w:val="center"/>
    </w:pPr>
    <w:rPr>
      <w:rFonts w:ascii="宋体" w:hAnsi="宋体" w:cs="宋体"/>
      <w:kern w:val="0"/>
      <w:sz w:val="22"/>
      <w:lang w:val="zh-CN" w:bidi="zh-CN"/>
    </w:rPr>
  </w:style>
  <w:style w:type="table" w:customStyle="1" w:styleId="122">
    <w:name w:val="Table Normal"/>
    <w:semiHidden/>
    <w:unhideWhenUsed/>
    <w:qFormat/>
    <w:uiPriority w:val="2"/>
    <w:pPr>
      <w:jc w:val="center"/>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23">
    <w:name w:val="WPSOffice手动目录 1"/>
    <w:qFormat/>
    <w:uiPriority w:val="0"/>
    <w:rPr>
      <w:rFonts w:ascii="Times New Roman" w:hAnsi="Times New Roman" w:eastAsia="宋体" w:cs="Times New Roman"/>
      <w:lang w:val="en-US" w:eastAsia="zh-CN" w:bidi="ar-SA"/>
    </w:rPr>
  </w:style>
  <w:style w:type="paragraph" w:customStyle="1" w:styleId="124">
    <w:name w:val="Char Char Char Char Char Char"/>
    <w:basedOn w:val="1"/>
    <w:qFormat/>
    <w:uiPriority w:val="0"/>
    <w:rPr>
      <w:rFonts w:ascii="Times New Roman" w:hAnsi="Times New Roman" w:eastAsia="宋体" w:cs="Times New Roman"/>
      <w:szCs w:val="24"/>
    </w:rPr>
  </w:style>
  <w:style w:type="character" w:customStyle="1" w:styleId="125">
    <w:name w:val="正文文本 3 Char"/>
    <w:basedOn w:val="35"/>
    <w:link w:val="10"/>
    <w:qFormat/>
    <w:uiPriority w:val="0"/>
    <w:rPr>
      <w:rFonts w:ascii="宋体" w:hAnsiTheme="minorHAnsi" w:eastAsiaTheme="minorEastAsia" w:cstheme="minorBidi"/>
      <w:kern w:val="2"/>
      <w:sz w:val="24"/>
    </w:rPr>
  </w:style>
  <w:style w:type="character" w:customStyle="1" w:styleId="126">
    <w:name w:val="批注文字 Char"/>
    <w:basedOn w:val="35"/>
    <w:link w:val="8"/>
    <w:qFormat/>
    <w:uiPriority w:val="0"/>
    <w:rPr>
      <w:rFonts w:asciiTheme="minorHAnsi" w:hAnsiTheme="minorHAnsi" w:eastAsiaTheme="minorEastAsia" w:cstheme="minorBidi"/>
      <w:kern w:val="2"/>
      <w:sz w:val="21"/>
      <w:szCs w:val="22"/>
    </w:rPr>
  </w:style>
  <w:style w:type="character" w:customStyle="1" w:styleId="127">
    <w:name w:val="批注主题 Char"/>
    <w:basedOn w:val="126"/>
    <w:link w:val="30"/>
    <w:semiHidden/>
    <w:qFormat/>
    <w:uiPriority w:val="99"/>
    <w:rPr>
      <w:b/>
      <w:bCs/>
    </w:rPr>
  </w:style>
  <w:style w:type="paragraph" w:customStyle="1" w:styleId="12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29">
    <w:name w:val="日期 Char"/>
    <w:basedOn w:val="35"/>
    <w:link w:val="18"/>
    <w:semiHidden/>
    <w:qFormat/>
    <w:uiPriority w:val="99"/>
    <w:rPr>
      <w:rFonts w:asciiTheme="minorHAnsi" w:hAnsiTheme="minorHAnsi" w:eastAsiaTheme="minorEastAsia" w:cstheme="minorBidi"/>
      <w:kern w:val="2"/>
      <w:sz w:val="21"/>
      <w:szCs w:val="22"/>
    </w:rPr>
  </w:style>
  <w:style w:type="character" w:customStyle="1" w:styleId="130">
    <w:name w:val="纯文本 Char"/>
    <w:basedOn w:val="35"/>
    <w:link w:val="16"/>
    <w:semiHidden/>
    <w:qFormat/>
    <w:uiPriority w:val="99"/>
    <w:rPr>
      <w:rFonts w:ascii="宋体" w:hAnsi="Courier New" w:cs="Courier New"/>
      <w:kern w:val="2"/>
      <w:sz w:val="21"/>
      <w:szCs w:val="21"/>
    </w:rPr>
  </w:style>
  <w:style w:type="character" w:customStyle="1" w:styleId="131">
    <w:name w:val="纯文本 Char1"/>
    <w:link w:val="16"/>
    <w:qFormat/>
    <w:uiPriority w:val="0"/>
    <w:rPr>
      <w:rFonts w:ascii="宋体" w:hAnsi="Calibri"/>
      <w:kern w:val="2"/>
      <w:sz w:val="21"/>
      <w:szCs w:val="22"/>
    </w:rPr>
  </w:style>
  <w:style w:type="character" w:customStyle="1" w:styleId="132">
    <w:name w:val="标题 Char"/>
    <w:basedOn w:val="35"/>
    <w:link w:val="29"/>
    <w:qFormat/>
    <w:uiPriority w:val="0"/>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4336</Words>
  <Characters>4997</Characters>
  <Lines>321</Lines>
  <Paragraphs>90</Paragraphs>
  <TotalTime>5</TotalTime>
  <ScaleCrop>false</ScaleCrop>
  <LinksUpToDate>false</LinksUpToDate>
  <CharactersWithSpaces>5092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2018-03-15T05:17:00Z</dcterms:created>
  <dc:creator>11</dc:creator>
  <cp:lastModifiedBy>Administrator</cp:lastModifiedBy>
  <cp:lastPrinted>2018-10-12T03:06:00Z</cp:lastPrinted>
  <dcterms:modified xsi:type="dcterms:W3CDTF">2025-03-27T04:59:50Z</dcterms:modified>
  <cp:revision>1105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355FD85272DC47B79ACD006752164B40</vt:lpwstr>
  </property>
  <property fmtid="{D5CDD505-2E9C-101B-9397-08002B2CF9AE}" pid="4" name="KSOTemplateDocerSaveRecord">
    <vt:lpwstr>eyJoZGlkIjoiOTNiYjViZTkzOWFkODUzYmI4Zjc3YTQ2NDExNzgwZDEiLCJ1c2VySWQiOiI0MTQ0ODM4MDcifQ==</vt:lpwstr>
  </property>
</Properties>
</file>