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DA0AFD">
      <w:pPr>
        <w:keepNext w:val="0"/>
        <w:keepLines w:val="0"/>
        <w:pageBreakBefore w:val="0"/>
        <w:widowControl w:val="0"/>
        <w:tabs>
          <w:tab w:val="left" w:pos="3220"/>
          <w:tab w:val="left" w:pos="5602"/>
        </w:tabs>
        <w:kinsoku/>
        <w:wordWrap/>
        <w:overflowPunct/>
        <w:topLinePunct w:val="0"/>
        <w:autoSpaceDE/>
        <w:autoSpaceDN/>
        <w:bidi w:val="0"/>
        <w:spacing w:line="360" w:lineRule="auto"/>
        <w:jc w:val="center"/>
        <w:textAlignment w:val="auto"/>
        <w:rPr>
          <w:rFonts w:hint="eastAsia" w:ascii="宋体" w:hAnsi="宋体" w:eastAsia="宋体" w:cs="宋体"/>
          <w:color w:val="auto"/>
          <w:sz w:val="28"/>
          <w:highlight w:val="none"/>
          <w:lang w:eastAsia="zh-CN"/>
        </w:rPr>
      </w:pPr>
      <w:bookmarkStart w:id="0" w:name="_bookmark327"/>
      <w:bookmarkEnd w:id="0"/>
      <w:r>
        <w:rPr>
          <w:rFonts w:hint="eastAsia" w:ascii="宋体" w:hAnsi="宋体" w:eastAsia="宋体" w:cs="宋体"/>
          <w:color w:val="auto"/>
          <w:sz w:val="28"/>
          <w:highlight w:val="none"/>
          <w:lang w:eastAsia="zh-CN"/>
        </w:rPr>
        <w:t>国道鹤岗至大连公路勃利鸡东界至鸡东鸡西界段改扩建工程施工</w:t>
      </w:r>
    </w:p>
    <w:p w14:paraId="51E8ECC5">
      <w:pPr>
        <w:keepNext w:val="0"/>
        <w:keepLines w:val="0"/>
        <w:pageBreakBefore w:val="0"/>
        <w:widowControl w:val="0"/>
        <w:tabs>
          <w:tab w:val="left" w:pos="3220"/>
          <w:tab w:val="left" w:pos="5602"/>
        </w:tabs>
        <w:kinsoku/>
        <w:wordWrap/>
        <w:overflowPunct/>
        <w:topLinePunct w:val="0"/>
        <w:autoSpaceDE/>
        <w:autoSpaceDN/>
        <w:bidi w:val="0"/>
        <w:spacing w:line="360" w:lineRule="auto"/>
        <w:jc w:val="center"/>
        <w:textAlignment w:val="auto"/>
        <w:rPr>
          <w:rFonts w:hint="eastAsia" w:ascii="宋体" w:hAnsi="宋体" w:eastAsia="宋体" w:cs="宋体"/>
          <w:color w:val="auto"/>
          <w:sz w:val="14"/>
          <w:highlight w:val="none"/>
        </w:rPr>
      </w:pPr>
      <w:r>
        <w:rPr>
          <w:rFonts w:hint="eastAsia" w:ascii="宋体" w:hAnsi="宋体" w:eastAsia="宋体" w:cs="宋体"/>
          <w:color w:val="auto"/>
          <w:sz w:val="28"/>
          <w:highlight w:val="none"/>
        </w:rPr>
        <w:t>招标公告</w:t>
      </w:r>
    </w:p>
    <w:p w14:paraId="33619A8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r>
        <w:rPr>
          <w:rFonts w:hint="eastAsia" w:ascii="宋体" w:hAnsi="宋体" w:cs="宋体"/>
          <w:color w:val="auto"/>
          <w:szCs w:val="21"/>
          <w:highlight w:val="none"/>
          <w:lang w:eastAsia="zh-CN"/>
        </w:rPr>
        <w:t>JQZB-25002</w:t>
      </w:r>
      <w:r>
        <w:rPr>
          <w:rFonts w:hint="eastAsia" w:ascii="宋体" w:hAnsi="宋体" w:eastAsia="宋体" w:cs="宋体"/>
          <w:color w:val="auto"/>
          <w:szCs w:val="21"/>
          <w:highlight w:val="none"/>
        </w:rPr>
        <w:t xml:space="preserve">）   </w:t>
      </w:r>
    </w:p>
    <w:p w14:paraId="4958AB4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bookmarkStart w:id="1" w:name="_Toc509819250"/>
      <w:bookmarkStart w:id="2" w:name="_Toc509334288"/>
      <w:r>
        <w:rPr>
          <w:rFonts w:hint="eastAsia" w:ascii="宋体" w:hAnsi="宋体" w:eastAsia="宋体" w:cs="宋体"/>
          <w:b/>
          <w:bCs/>
          <w:color w:val="auto"/>
          <w:sz w:val="24"/>
          <w:szCs w:val="24"/>
          <w:highlight w:val="none"/>
        </w:rPr>
        <w:t>1．招标条件</w:t>
      </w:r>
      <w:bookmarkEnd w:id="1"/>
      <w:bookmarkEnd w:id="2"/>
    </w:p>
    <w:p w14:paraId="6CA6382E">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eastAsia" w:ascii="宋体" w:hAnsi="宋体" w:eastAsia="宋体" w:cs="宋体"/>
          <w:color w:val="auto"/>
          <w:sz w:val="24"/>
          <w:szCs w:val="24"/>
          <w:highlight w:val="none"/>
        </w:rPr>
      </w:pPr>
      <w:bookmarkStart w:id="3" w:name="_Toc509334289"/>
      <w:bookmarkStart w:id="4" w:name="_Toc509819251"/>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eastAsia="zh-CN"/>
        </w:rPr>
        <w:t>国道鹤岗至大连公路勃利鸡东界至鸡东鸡西界段改扩建工程</w:t>
      </w:r>
      <w:r>
        <w:rPr>
          <w:rFonts w:hint="eastAsia" w:ascii="宋体" w:hAnsi="宋体" w:eastAsia="宋体" w:cs="宋体"/>
          <w:color w:val="auto"/>
          <w:sz w:val="24"/>
          <w:szCs w:val="24"/>
          <w:highlight w:val="none"/>
          <w:lang w:eastAsia="zh-CN"/>
        </w:rPr>
        <w:t>施工图设计</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黑龙江省交通运输厅</w:t>
      </w:r>
      <w:r>
        <w:rPr>
          <w:rFonts w:hint="eastAsia" w:ascii="宋体" w:hAnsi="宋体" w:eastAsia="宋体" w:cs="宋体"/>
          <w:color w:val="auto"/>
          <w:sz w:val="24"/>
          <w:szCs w:val="24"/>
          <w:highlight w:val="none"/>
          <w:u w:val="none"/>
        </w:rPr>
        <w:t>以</w:t>
      </w:r>
      <w:r>
        <w:rPr>
          <w:rFonts w:hint="eastAsia" w:ascii="宋体" w:hAnsi="宋体" w:eastAsia="宋体" w:cs="宋体"/>
          <w:color w:val="auto"/>
          <w:sz w:val="24"/>
          <w:szCs w:val="24"/>
          <w:highlight w:val="none"/>
          <w:u w:val="single"/>
        </w:rPr>
        <w:t>黑交发[202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187</w:t>
      </w:r>
      <w:r>
        <w:rPr>
          <w:rFonts w:hint="eastAsia" w:ascii="宋体" w:hAnsi="宋体" w:eastAsia="宋体" w:cs="宋体"/>
          <w:color w:val="auto"/>
          <w:sz w:val="24"/>
          <w:szCs w:val="24"/>
          <w:highlight w:val="none"/>
          <w:u w:val="single"/>
        </w:rPr>
        <w:t>号</w:t>
      </w:r>
      <w:r>
        <w:rPr>
          <w:rFonts w:hint="eastAsia" w:ascii="宋体" w:hAnsi="宋体" w:eastAsia="宋体" w:cs="宋体"/>
          <w:color w:val="auto"/>
          <w:sz w:val="24"/>
          <w:szCs w:val="24"/>
          <w:highlight w:val="none"/>
          <w:u w:val="none"/>
        </w:rPr>
        <w:t>文件</w:t>
      </w:r>
      <w:r>
        <w:rPr>
          <w:rFonts w:hint="eastAsia" w:ascii="宋体" w:hAnsi="宋体" w:eastAsia="宋体" w:cs="宋体"/>
          <w:color w:val="auto"/>
          <w:sz w:val="24"/>
          <w:szCs w:val="24"/>
          <w:highlight w:val="none"/>
        </w:rPr>
        <w:t>批准，项目业主为</w:t>
      </w:r>
      <w:r>
        <w:rPr>
          <w:rFonts w:hint="eastAsia" w:ascii="宋体" w:hAnsi="宋体" w:eastAsia="宋体" w:cs="宋体"/>
          <w:color w:val="auto"/>
          <w:sz w:val="24"/>
          <w:szCs w:val="24"/>
          <w:highlight w:val="none"/>
          <w:u w:val="single"/>
        </w:rPr>
        <w:t>鸡东县交通运输局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eastAsia="zh-CN"/>
        </w:rPr>
        <w:t>建设资金来自</w:t>
      </w:r>
      <w:r>
        <w:rPr>
          <w:rFonts w:hint="eastAsia" w:ascii="宋体" w:hAnsi="宋体" w:cs="宋体"/>
          <w:color w:val="auto"/>
          <w:sz w:val="24"/>
          <w:szCs w:val="24"/>
          <w:highlight w:val="none"/>
          <w:u w:val="single"/>
          <w:lang w:eastAsia="zh-CN"/>
        </w:rPr>
        <w:t>交通运输领域重点项目资金及县自筹资金</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lang w:eastAsia="zh-CN"/>
        </w:rPr>
        <w:t>鸡东县交通运输局</w:t>
      </w:r>
      <w:r>
        <w:rPr>
          <w:rFonts w:hint="eastAsia" w:ascii="宋体" w:hAnsi="宋体" w:eastAsia="宋体" w:cs="宋体"/>
          <w:color w:val="auto"/>
          <w:sz w:val="24"/>
          <w:szCs w:val="24"/>
          <w:highlight w:val="none"/>
        </w:rPr>
        <w:t>。项目已具备招标条件，现对该项目</w:t>
      </w:r>
      <w:r>
        <w:rPr>
          <w:rFonts w:hint="eastAsia" w:ascii="宋体" w:hAnsi="宋体" w:eastAsia="宋体" w:cs="宋体"/>
          <w:color w:val="auto"/>
          <w:sz w:val="24"/>
          <w:szCs w:val="24"/>
          <w:highlight w:val="none"/>
          <w:u w:val="single"/>
          <w:lang w:val="en-US" w:eastAsia="zh-CN"/>
        </w:rPr>
        <w:t>施工</w:t>
      </w:r>
      <w:r>
        <w:rPr>
          <w:rFonts w:hint="eastAsia" w:ascii="宋体" w:hAnsi="宋体" w:eastAsia="宋体" w:cs="宋体"/>
          <w:color w:val="auto"/>
          <w:sz w:val="24"/>
          <w:szCs w:val="24"/>
          <w:highlight w:val="none"/>
        </w:rPr>
        <w:t>进行公开招标。</w:t>
      </w:r>
    </w:p>
    <w:p w14:paraId="18960A6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2．项目概况</w:t>
      </w:r>
      <w:bookmarkEnd w:id="3"/>
      <w:r>
        <w:rPr>
          <w:rFonts w:hint="eastAsia" w:ascii="宋体" w:hAnsi="宋体" w:eastAsia="宋体" w:cs="宋体"/>
          <w:b/>
          <w:bCs/>
          <w:color w:val="auto"/>
          <w:sz w:val="24"/>
          <w:szCs w:val="24"/>
          <w:highlight w:val="none"/>
        </w:rPr>
        <w:t>和招标范围</w:t>
      </w:r>
      <w:bookmarkEnd w:id="4"/>
    </w:p>
    <w:p w14:paraId="0A78D0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2.1项目名称：国道鹤岗至大连公路勃利鸡东界至鸡东鸡西界段改扩建工程施工</w:t>
      </w:r>
      <w:r>
        <w:rPr>
          <w:rFonts w:hint="eastAsia" w:ascii="宋体" w:hAnsi="宋体" w:cs="宋体"/>
          <w:color w:val="auto"/>
          <w:kern w:val="0"/>
          <w:sz w:val="24"/>
          <w:szCs w:val="24"/>
          <w:highlight w:val="none"/>
          <w:lang w:val="zh-CN"/>
        </w:rPr>
        <w:t>。</w:t>
      </w:r>
    </w:p>
    <w:p w14:paraId="5251A4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建设地点：</w:t>
      </w:r>
      <w:r>
        <w:rPr>
          <w:rFonts w:hint="eastAsia" w:ascii="宋体" w:hAnsi="宋体" w:cs="宋体"/>
          <w:color w:val="auto"/>
          <w:kern w:val="0"/>
          <w:sz w:val="24"/>
          <w:szCs w:val="24"/>
          <w:highlight w:val="none"/>
          <w:lang w:val="zh-CN"/>
        </w:rPr>
        <w:t>鸡东县兴农镇</w:t>
      </w:r>
      <w:r>
        <w:rPr>
          <w:rFonts w:hint="eastAsia" w:ascii="宋体" w:hAnsi="宋体" w:eastAsia="宋体" w:cs="宋体"/>
          <w:color w:val="auto"/>
          <w:kern w:val="0"/>
          <w:sz w:val="24"/>
          <w:szCs w:val="24"/>
          <w:highlight w:val="none"/>
          <w:lang w:val="zh-CN"/>
        </w:rPr>
        <w:t>。</w:t>
      </w:r>
    </w:p>
    <w:p w14:paraId="787429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建设规模：项目起自鹤大公路K260+382.547勃利鸡东界处，沿旧路向南布线，上跨鹤大高速，经兴农镇、四海村，止于鹤大公路K284+154.233鸡东鸡西界处，全长23.767公里(其中，改扩建段21.617公里，路面改造段2.15公里)。</w:t>
      </w:r>
    </w:p>
    <w:p w14:paraId="04D13D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全线设置中桥169.82米/2座(均为拆除新建)、小桥61.54米/2座(利用27.5米/1座、拆除新建34.04米/1座)，涵洞52道(利用4道、新建48道)。主线上跨分离立交桥268.2米/1座(拆除移位新建)，与等级公路平面交叉7处，养护道班1处，交通量观测站1处,汽车停靠站2处(4座)。</w:t>
      </w:r>
    </w:p>
    <w:p w14:paraId="298AE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本项目采用二级公路标准建设，其中，K260+382.547～K271+832、K273+982～K279+600一般路段设计速度60公里/小时,路基宽度10.0米；K271+832～K273+982路面改造段设计速度60公里/小时，路基宽度10.0米；K279+600～K284+154.233越岭段设计速度40公里/小时，路基宽度10.0米。桥涵设计汽车荷载等级采用公路-I级，其他技术指标按《公路工程技术标准》(JTGBO1-2014)执行。</w:t>
      </w:r>
    </w:p>
    <w:p w14:paraId="19F6D0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2.4招标范围：本项目工程量清单、图纸内全部内容</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及缺陷责任修复。</w:t>
      </w:r>
    </w:p>
    <w:p w14:paraId="1B5F779C">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2.5计划工期：</w:t>
      </w:r>
      <w:r>
        <w:rPr>
          <w:rFonts w:hint="eastAsia" w:ascii="宋体" w:hAnsi="宋体" w:cs="宋体"/>
          <w:color w:val="auto"/>
          <w:sz w:val="24"/>
          <w:szCs w:val="24"/>
          <w:highlight w:val="none"/>
          <w:lang w:eastAsia="zh-CN"/>
        </w:rPr>
        <w:t>总工期730日历天，2025年5月1日至2027年4月30日</w:t>
      </w:r>
      <w:r>
        <w:rPr>
          <w:rFonts w:hint="eastAsia" w:ascii="宋体" w:hAnsi="宋体" w:eastAsia="宋体" w:cs="宋体"/>
          <w:color w:val="auto"/>
          <w:sz w:val="24"/>
          <w:szCs w:val="24"/>
          <w:highlight w:val="none"/>
        </w:rPr>
        <w:t>。</w:t>
      </w:r>
    </w:p>
    <w:p w14:paraId="44FE7BFE">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上述计划工期仅作为编制投标文件的统一标准，实际开工日期按</w:t>
      </w:r>
      <w:r>
        <w:rPr>
          <w:rFonts w:hint="eastAsia" w:ascii="宋体" w:hAnsi="宋体" w:cs="宋体"/>
          <w:color w:val="auto"/>
          <w:sz w:val="24"/>
          <w:szCs w:val="24"/>
          <w:highlight w:val="none"/>
          <w:lang w:eastAsia="zh-CN"/>
        </w:rPr>
        <w:t>施工许可证下达</w:t>
      </w:r>
      <w:r>
        <w:rPr>
          <w:rFonts w:hint="eastAsia" w:ascii="宋体" w:hAnsi="宋体" w:cs="宋体"/>
          <w:color w:val="auto"/>
          <w:sz w:val="24"/>
          <w:szCs w:val="24"/>
          <w:highlight w:val="none"/>
          <w:lang w:val="en-US" w:eastAsia="zh-CN"/>
        </w:rPr>
        <w:t>日期及</w:t>
      </w:r>
      <w:r>
        <w:rPr>
          <w:rFonts w:hint="eastAsia" w:ascii="宋体" w:hAnsi="宋体" w:eastAsia="宋体" w:cs="宋体"/>
          <w:color w:val="auto"/>
          <w:sz w:val="24"/>
          <w:szCs w:val="24"/>
          <w:highlight w:val="none"/>
        </w:rPr>
        <w:t>合同条款规定执行。</w:t>
      </w:r>
    </w:p>
    <w:p w14:paraId="34BC4E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2.6安全目标：在项目建设过程中杜绝重大安全责任事故，避免发生较大安全责任事故，控制一般安全责任事故，各类生产安全责任事故死亡人数为零。</w:t>
      </w:r>
    </w:p>
    <w:p w14:paraId="2A74A0F6">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2.7质量要求：工程质量应符合《公路工程质量检验评定标准》（JTG F80/1-2017），竣（交）工验收依据《公路工程竣（交）工验收办法实施细则》（交公路发〔2010〕65 号）规定，标段交工验收质量评定为合格；竣工验收质量评定为优良。</w:t>
      </w:r>
    </w:p>
    <w:p w14:paraId="4AFC73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2.8标段划分：本项目划分1个标段</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1。</w:t>
      </w:r>
    </w:p>
    <w:p w14:paraId="3971B031">
      <w:pPr>
        <w:pStyle w:val="38"/>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2.9最高投标限价：</w:t>
      </w:r>
      <w:r>
        <w:rPr>
          <w:rFonts w:hint="eastAsia" w:ascii="宋体" w:hAnsi="宋体" w:cs="宋体"/>
          <w:color w:val="auto"/>
          <w:sz w:val="24"/>
          <w:szCs w:val="24"/>
          <w:highlight w:val="none"/>
          <w:lang w:val="en-US" w:eastAsia="zh-CN"/>
        </w:rPr>
        <w:t>256692225.77元</w:t>
      </w:r>
    </w:p>
    <w:p w14:paraId="1525CA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注：具体工程量以招标工程量清单为准。</w:t>
      </w:r>
    </w:p>
    <w:p w14:paraId="7C21475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bookmarkStart w:id="5" w:name="_Toc509819252"/>
      <w:bookmarkStart w:id="6" w:name="_Toc509334290"/>
      <w:r>
        <w:rPr>
          <w:rFonts w:hint="eastAsia" w:ascii="宋体" w:hAnsi="宋体" w:eastAsia="宋体" w:cs="宋体"/>
          <w:b/>
          <w:bCs/>
          <w:color w:val="auto"/>
          <w:sz w:val="24"/>
          <w:szCs w:val="24"/>
          <w:highlight w:val="none"/>
        </w:rPr>
        <w:t>3．投标人资格要求</w:t>
      </w:r>
      <w:bookmarkEnd w:id="5"/>
      <w:bookmarkEnd w:id="6"/>
    </w:p>
    <w:p w14:paraId="64295EC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3.1本次招标要求投标人须具备国内独立法人资格，持有市场监督管理部门核发的有效的企业法人营业执照，具有有效的安全生产许可证，并在人员、设备、资金等方面具有相应的施工能力，且同时满足下列要求</w:t>
      </w:r>
      <w:r>
        <w:rPr>
          <w:rFonts w:hint="eastAsia" w:ascii="宋体" w:hAnsi="宋体" w:eastAsia="宋体" w:cs="宋体"/>
          <w:bCs/>
          <w:color w:val="auto"/>
          <w:sz w:val="24"/>
          <w:szCs w:val="24"/>
          <w:highlight w:val="none"/>
        </w:rPr>
        <w:t>：</w:t>
      </w:r>
    </w:p>
    <w:p w14:paraId="4D4C72A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3.1.1资质最低要求</w:t>
      </w:r>
    </w:p>
    <w:p w14:paraId="70E0746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投标人须同时具备建设行政主管部门颁发的①公路工程施工总承包二级（含二级）及以上资质和②建筑工程施工总承包三级（含三级）及以上资质</w:t>
      </w:r>
      <w:r>
        <w:rPr>
          <w:rFonts w:hint="eastAsia" w:ascii="宋体" w:hAnsi="宋体" w:eastAsia="宋体" w:cs="宋体"/>
          <w:color w:val="auto"/>
          <w:sz w:val="24"/>
          <w:szCs w:val="24"/>
          <w:highlight w:val="none"/>
        </w:rPr>
        <w:t>，并无不良业绩。</w:t>
      </w:r>
    </w:p>
    <w:p w14:paraId="693027DD">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关于发布公路工程从业企业资质名录的通知》（厅公路字[2011]114号）中名录范围内的投标人，应进入交通运输部“全国公路建设市场信用信息管理系统（http://glxy.mot.gov.cn）”中的公路工程施工资质企业名录，且投标人名称和资质与该名录中的相应企业名称和资质完全一致。</w:t>
      </w:r>
    </w:p>
    <w:p w14:paraId="5EE7531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业绩最低要求</w:t>
      </w:r>
    </w:p>
    <w:p w14:paraId="32DA5783">
      <w:pPr>
        <w:pStyle w:val="112"/>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contextualSpacing/>
        <w:jc w:val="both"/>
        <w:textAlignment w:val="auto"/>
        <w:rPr>
          <w:rStyle w:val="108"/>
          <w:rFonts w:hint="eastAsia" w:ascii="宋体" w:hAnsi="宋体" w:eastAsia="宋体" w:cs="宋体"/>
          <w:b w:val="0"/>
          <w:color w:val="auto"/>
          <w:sz w:val="24"/>
          <w:szCs w:val="24"/>
          <w:highlight w:val="none"/>
          <w:lang w:val="en-US" w:eastAsia="zh-CN"/>
        </w:rPr>
      </w:pPr>
      <w:r>
        <w:rPr>
          <w:rStyle w:val="108"/>
          <w:rFonts w:hint="eastAsia" w:ascii="宋体" w:hAnsi="宋体" w:eastAsia="宋体" w:cs="宋体"/>
          <w:b w:val="0"/>
          <w:color w:val="auto"/>
          <w:sz w:val="24"/>
          <w:szCs w:val="24"/>
          <w:highlight w:val="none"/>
          <w:lang w:val="en-US" w:eastAsia="zh-CN"/>
        </w:rPr>
        <w:t>投标人近五年（2020年1月1日～递交投标文件截止时间）完成的业绩（以实际交工验收日期为准），独立完成过1项不少于20公里的二级及以上公路工程（同时含有路基工程、沥青混凝土路面工程）相关施工且交工验收达到合格标准。（注：业绩要求中的公路工程是指新建、改扩建（不含养护工程项目）,如投标人提供高速公路、一级公路业绩的，其里程可折算成2倍的二级公路里程。）</w:t>
      </w:r>
    </w:p>
    <w:p w14:paraId="694912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业绩要求在交通运输部网站“全国公路建设市场信用信息管理系统”（https://hwdms.mot.gov.cn/BMWebSite/）或黑龙江省交通运输厅网站的“黑龙江省公路水路建设市场信用信息管理系统”中能够查询（提供查询截图）。</w:t>
      </w:r>
    </w:p>
    <w:p w14:paraId="23411E1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财务最低要求</w:t>
      </w:r>
    </w:p>
    <w:p w14:paraId="42A269B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（1）2023年度的流动比率（流动资产与流动负债比）大于1；</w:t>
      </w:r>
    </w:p>
    <w:p w14:paraId="22689F1A">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color w:val="auto"/>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营运资金（2023年度流动资产-2023年度流动负债+银行专为本工程出具的资金证明\银行信贷\银行保函等）不得少于投标人所申请标段最高投标限价的15%。</w:t>
      </w:r>
    </w:p>
    <w:p w14:paraId="2AFD425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注：以联合体形式投标的，联合体各成员均应满足流动比率要求，营运资金指联合体各成员营运资金之和。</w:t>
      </w:r>
    </w:p>
    <w:p w14:paraId="2B13EA76">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信誉最低要求</w:t>
      </w:r>
    </w:p>
    <w:p w14:paraId="497E129A">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（1）本次招标不接受黑龙江省交通运输厅</w:t>
      </w:r>
      <w:r>
        <w:rPr>
          <w:rFonts w:hint="eastAsia" w:ascii="宋体" w:hAnsi="宋体" w:eastAsia="宋体" w:cs="宋体"/>
          <w:color w:val="auto"/>
          <w:sz w:val="24"/>
          <w:szCs w:val="24"/>
          <w:highlight w:val="none"/>
          <w:lang w:eastAsia="zh-CN"/>
        </w:rPr>
        <w:t>2023年度</w:t>
      </w:r>
      <w:r>
        <w:rPr>
          <w:rFonts w:hint="eastAsia" w:ascii="宋体" w:hAnsi="宋体" w:eastAsia="宋体" w:cs="宋体"/>
          <w:color w:val="auto"/>
          <w:sz w:val="24"/>
          <w:szCs w:val="24"/>
          <w:highlight w:val="none"/>
        </w:rPr>
        <w:t>或交通运输部</w:t>
      </w:r>
      <w:r>
        <w:rPr>
          <w:rFonts w:hint="eastAsia" w:ascii="宋体" w:hAnsi="宋体" w:eastAsia="宋体" w:cs="宋体"/>
          <w:color w:val="auto"/>
          <w:sz w:val="24"/>
          <w:szCs w:val="24"/>
          <w:highlight w:val="none"/>
          <w:lang w:eastAsia="zh-CN"/>
        </w:rPr>
        <w:t>2023年度</w:t>
      </w:r>
      <w:r>
        <w:rPr>
          <w:rFonts w:hint="eastAsia" w:ascii="宋体" w:hAnsi="宋体" w:eastAsia="宋体" w:cs="宋体"/>
          <w:color w:val="auto"/>
          <w:sz w:val="24"/>
          <w:szCs w:val="24"/>
          <w:highlight w:val="none"/>
        </w:rPr>
        <w:t>公路施工企业信用评价中认定为D级信用评价等级的投标人提出投标申请。</w:t>
      </w:r>
    </w:p>
    <w:p w14:paraId="3A0F3477">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（2）近三年（</w:t>
      </w:r>
      <w:r>
        <w:rPr>
          <w:rFonts w:hint="eastAsia" w:ascii="宋体" w:hAnsi="宋体" w:cs="宋体"/>
          <w:color w:val="auto"/>
          <w:sz w:val="24"/>
          <w:szCs w:val="24"/>
          <w:highlight w:val="none"/>
          <w:lang w:eastAsia="zh-CN"/>
        </w:rPr>
        <w:t>2022年1月1日-投标文件递交截止时间前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eastAsia="zh-CN"/>
        </w:rPr>
        <w:t>中国执行信息公开网</w:t>
      </w:r>
      <w:r>
        <w:rPr>
          <w:rFonts w:hint="eastAsia" w:ascii="宋体" w:hAnsi="宋体" w:eastAsia="宋体" w:cs="宋体"/>
          <w:color w:val="auto"/>
          <w:sz w:val="24"/>
          <w:szCs w:val="24"/>
          <w:highlight w:val="none"/>
          <w:lang w:eastAsia="zh-CN"/>
        </w:rPr>
        <w:t>”网站（http://zxgk.court.gov.cn/）中，投标人及其法定代表人被列入失信被执行人名单的，不得参加投标</w:t>
      </w:r>
      <w:r>
        <w:rPr>
          <w:rFonts w:hint="eastAsia" w:ascii="宋体" w:hAnsi="宋体" w:eastAsia="宋体" w:cs="宋体"/>
          <w:color w:val="auto"/>
          <w:sz w:val="24"/>
          <w:szCs w:val="24"/>
          <w:highlight w:val="none"/>
        </w:rPr>
        <w:t>。</w:t>
      </w:r>
    </w:p>
    <w:p w14:paraId="66A64926">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（3）近三年（</w:t>
      </w:r>
      <w:r>
        <w:rPr>
          <w:rFonts w:hint="eastAsia" w:ascii="宋体" w:hAnsi="宋体" w:cs="宋体"/>
          <w:color w:val="auto"/>
          <w:sz w:val="24"/>
          <w:szCs w:val="24"/>
          <w:highlight w:val="none"/>
          <w:lang w:eastAsia="zh-CN"/>
        </w:rPr>
        <w:t>2022年1月1日-投标文件递交截止时间前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中国裁判文书网</w:t>
      </w:r>
      <w:r>
        <w:rPr>
          <w:rFonts w:hint="eastAsia" w:ascii="宋体" w:hAnsi="宋体" w:eastAsia="宋体" w:cs="宋体"/>
          <w:color w:val="auto"/>
          <w:sz w:val="24"/>
          <w:szCs w:val="24"/>
          <w:highlight w:val="none"/>
          <w:lang w:eastAsia="zh-CN"/>
        </w:rPr>
        <w:t>”网站</w:t>
      </w:r>
      <w:r>
        <w:rPr>
          <w:rFonts w:hint="eastAsia" w:ascii="宋体" w:hAnsi="宋体" w:eastAsia="宋体" w:cs="宋体"/>
          <w:color w:val="auto"/>
          <w:sz w:val="24"/>
          <w:szCs w:val="24"/>
          <w:highlight w:val="none"/>
        </w:rPr>
        <w:t>（http://wenshu.court.gov.cn）</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投标人及其法定代表人、拟委任的项目经理及项目总工，有行贿犯罪行为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，不得参加本项目投标。</w:t>
      </w:r>
    </w:p>
    <w:p w14:paraId="27BB21AA">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（4）在国家企业信用信息公示系统（http://www.gsxt.gov.cn/）中被列入严重违法失信企业名单的投标人，不得参加本项目投标。</w:t>
      </w:r>
    </w:p>
    <w:p w14:paraId="36929A94">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人员最低要求</w:t>
      </w:r>
    </w:p>
    <w:p w14:paraId="0113D959">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项目经理最低要求：投标人拟派项目经理必须具有</w:t>
      </w:r>
      <w:r>
        <w:rPr>
          <w:rFonts w:hint="eastAsia" w:ascii="宋体" w:hAnsi="宋体" w:cs="宋体"/>
          <w:color w:val="auto"/>
          <w:sz w:val="24"/>
          <w:szCs w:val="24"/>
          <w:highlight w:val="none"/>
          <w:lang w:eastAsia="zh-CN"/>
        </w:rPr>
        <w:t>公路工程专业一级注册建造师执业资格证书</w:t>
      </w:r>
      <w:r>
        <w:rPr>
          <w:rFonts w:hint="eastAsia" w:ascii="宋体" w:hAnsi="宋体" w:eastAsia="宋体" w:cs="宋体"/>
          <w:color w:val="auto"/>
          <w:sz w:val="24"/>
          <w:szCs w:val="24"/>
          <w:highlight w:val="none"/>
        </w:rPr>
        <w:t>（注册单位名称必须与投标人名称一致），</w:t>
      </w:r>
      <w:r>
        <w:rPr>
          <w:rFonts w:hint="eastAsia" w:ascii="宋体" w:hAnsi="宋体" w:cs="宋体"/>
          <w:color w:val="auto"/>
          <w:sz w:val="24"/>
          <w:szCs w:val="24"/>
          <w:highlight w:val="none"/>
          <w:lang w:eastAsia="zh-CN"/>
        </w:rPr>
        <w:t>具备有效的安全生产考核合格证书（B证）</w:t>
      </w:r>
      <w:r>
        <w:rPr>
          <w:rFonts w:hint="eastAsia" w:ascii="宋体" w:hAnsi="宋体" w:eastAsia="宋体" w:cs="宋体"/>
          <w:color w:val="auto"/>
          <w:sz w:val="24"/>
          <w:szCs w:val="24"/>
          <w:highlight w:val="none"/>
        </w:rPr>
        <w:t>，且安全生产考核合格证的登记单位名称必须与投标人名称一致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eastAsia="zh-CN"/>
        </w:rPr>
        <w:t>公路工程相关专业中级及以上</w:t>
      </w:r>
      <w:r>
        <w:rPr>
          <w:rFonts w:hint="eastAsia" w:ascii="宋体" w:hAnsi="宋体" w:eastAsia="宋体" w:cs="宋体"/>
          <w:color w:val="auto"/>
          <w:sz w:val="24"/>
          <w:szCs w:val="24"/>
          <w:highlight w:val="none"/>
        </w:rPr>
        <w:t>职称</w:t>
      </w:r>
      <w:r>
        <w:rPr>
          <w:rFonts w:hint="eastAsia" w:ascii="宋体" w:hAnsi="宋体" w:eastAsia="宋体" w:cs="宋体"/>
          <w:color w:val="auto"/>
          <w:sz w:val="24"/>
          <w:szCs w:val="24"/>
          <w:highlight w:val="none"/>
          <w:lang w:eastAsia="zh-CN"/>
        </w:rPr>
        <w:t>。</w:t>
      </w:r>
    </w:p>
    <w:p w14:paraId="6A6BEB31">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提供近3个月（</w:t>
      </w:r>
      <w:r>
        <w:rPr>
          <w:rFonts w:hint="eastAsia" w:ascii="宋体" w:hAnsi="宋体" w:cs="宋体"/>
          <w:color w:val="auto"/>
          <w:sz w:val="24"/>
          <w:szCs w:val="24"/>
          <w:highlight w:val="none"/>
          <w:lang w:eastAsia="zh-CN"/>
        </w:rPr>
        <w:t>2024年12月至2025年2月</w:t>
      </w:r>
      <w:r>
        <w:rPr>
          <w:rFonts w:hint="eastAsia" w:ascii="宋体" w:hAnsi="宋体" w:eastAsia="宋体" w:cs="宋体"/>
          <w:color w:val="auto"/>
          <w:sz w:val="24"/>
          <w:szCs w:val="24"/>
          <w:highlight w:val="none"/>
        </w:rPr>
        <w:t>）本企业为其缴纳的职工基本养老保险证明,同时提供职工基本养老保险证明的查询方式及相关信息以便招标人核查，且未担任其他在施建设工程项目的项目经理。</w:t>
      </w:r>
    </w:p>
    <w:p w14:paraId="6B8608EB">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项目总工最低要求：投标人拟派项目总工必须具有</w:t>
      </w:r>
      <w:r>
        <w:rPr>
          <w:rFonts w:hint="eastAsia" w:ascii="宋体" w:hAnsi="宋体" w:eastAsia="宋体" w:cs="宋体"/>
          <w:color w:val="auto"/>
          <w:sz w:val="24"/>
          <w:szCs w:val="24"/>
          <w:highlight w:val="none"/>
          <w:lang w:eastAsia="zh-CN"/>
        </w:rPr>
        <w:t>公路工程相关专业高级及以上</w:t>
      </w:r>
      <w:r>
        <w:rPr>
          <w:rFonts w:hint="eastAsia" w:ascii="宋体" w:hAnsi="宋体" w:eastAsia="宋体" w:cs="宋体"/>
          <w:color w:val="auto"/>
          <w:sz w:val="24"/>
          <w:szCs w:val="24"/>
          <w:highlight w:val="none"/>
        </w:rPr>
        <w:t>职称，</w:t>
      </w:r>
      <w:r>
        <w:rPr>
          <w:rFonts w:hint="eastAsia" w:ascii="宋体" w:hAnsi="宋体" w:cs="宋体"/>
          <w:color w:val="auto"/>
          <w:sz w:val="24"/>
          <w:szCs w:val="24"/>
          <w:highlight w:val="none"/>
          <w:lang w:eastAsia="zh-CN"/>
        </w:rPr>
        <w:t>具备有效的安全生产考核合格证书（B证）</w:t>
      </w:r>
      <w:r>
        <w:rPr>
          <w:rFonts w:hint="eastAsia" w:ascii="宋体" w:hAnsi="宋体" w:eastAsia="宋体" w:cs="宋体"/>
          <w:color w:val="auto"/>
          <w:sz w:val="24"/>
          <w:szCs w:val="24"/>
          <w:highlight w:val="none"/>
        </w:rPr>
        <w:t>，且安全生产考核合格证的登记单位名称必须与投标人名称一致。</w:t>
      </w:r>
    </w:p>
    <w:p w14:paraId="0CD98DF2">
      <w:pPr>
        <w:pStyle w:val="3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提供近3个月（</w:t>
      </w:r>
      <w:r>
        <w:rPr>
          <w:rFonts w:hint="eastAsia" w:ascii="宋体" w:hAnsi="宋体" w:cs="宋体"/>
          <w:color w:val="auto"/>
          <w:sz w:val="24"/>
          <w:szCs w:val="24"/>
          <w:highlight w:val="none"/>
          <w:lang w:eastAsia="zh-CN"/>
        </w:rPr>
        <w:t>2024年12月至2025年2月</w:t>
      </w:r>
      <w:r>
        <w:rPr>
          <w:rFonts w:hint="eastAsia" w:ascii="宋体" w:hAnsi="宋体" w:eastAsia="宋体" w:cs="宋体"/>
          <w:color w:val="auto"/>
          <w:sz w:val="24"/>
          <w:szCs w:val="24"/>
          <w:highlight w:val="none"/>
        </w:rPr>
        <w:t>）本企业为其缴纳的职工基本养老保险证明,同时提供职工基本养老保险证明的查询方式及相关信息以便招标人核查。</w:t>
      </w:r>
    </w:p>
    <w:p w14:paraId="7E0817A1">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注：公路工程相关专业职称包括公路工程、桥梁工程、公路与桥梁工程、交通土建、隧道（地下结构）工程、交通工程、道桥等专业职称。</w:t>
      </w:r>
    </w:p>
    <w:p w14:paraId="2E0F25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3.2本次招标接受联合体投标。联合体投标的，应满足下列要求：</w:t>
      </w:r>
    </w:p>
    <w:p w14:paraId="338461B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3.2.1联合体投标的，联合体投标单位不得超过两家（含两家）单位。</w:t>
      </w:r>
    </w:p>
    <w:p w14:paraId="2426CD9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3.2.2</w:t>
      </w:r>
      <w:r>
        <w:rPr>
          <w:rFonts w:hint="eastAsia" w:ascii="宋体" w:hAnsi="宋体" w:eastAsia="宋体" w:cs="宋体"/>
          <w:color w:val="auto"/>
          <w:sz w:val="24"/>
          <w:szCs w:val="24"/>
          <w:highlight w:val="none"/>
        </w:rPr>
        <w:t>联合体内成员须在投标前签署联合体协议（格式自拟），在协议中明确联合体内成员各自所应承担的责任、义务及分工；</w:t>
      </w:r>
    </w:p>
    <w:p w14:paraId="6F8F02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联合体各方不得再以自己名义单独或参加其他联合体在本招标项目中投标；</w:t>
      </w:r>
    </w:p>
    <w:p w14:paraId="0A73383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注：本项目只需联合体牵头人一方在黑龙江公共资源交易网报名。</w:t>
      </w:r>
    </w:p>
    <w:p w14:paraId="092A448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3.3与招标人存在利害关系可能影响招标公正性的单位，不得参加投标。单位负责人为同一人或存在控股、管理关系的不同单位，不得参加同一标段投标，否则，相关投标均无效。</w:t>
      </w:r>
    </w:p>
    <w:p w14:paraId="4B480A2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0"/>
          <w:sz w:val="24"/>
          <w:szCs w:val="24"/>
          <w:highlight w:val="none"/>
        </w:rPr>
        <w:t>本次招标评标采用双信封形式的</w:t>
      </w:r>
      <w:r>
        <w:rPr>
          <w:rFonts w:hint="eastAsia" w:ascii="宋体" w:hAnsi="宋体" w:eastAsia="宋体" w:cs="宋体"/>
          <w:b/>
          <w:color w:val="auto"/>
          <w:kern w:val="0"/>
          <w:sz w:val="24"/>
          <w:szCs w:val="24"/>
          <w:highlight w:val="none"/>
        </w:rPr>
        <w:t>技术评分最低标价法</w:t>
      </w:r>
      <w:r>
        <w:rPr>
          <w:rFonts w:hint="eastAsia" w:ascii="宋体" w:hAnsi="宋体" w:eastAsia="宋体" w:cs="宋体"/>
          <w:color w:val="auto"/>
          <w:kern w:val="0"/>
          <w:sz w:val="24"/>
          <w:szCs w:val="24"/>
          <w:highlight w:val="none"/>
        </w:rPr>
        <w:t>，对投标人的资格审查采用资格后审方式。</w:t>
      </w:r>
    </w:p>
    <w:p w14:paraId="6B7F574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bookmarkStart w:id="7" w:name="_Toc509819253"/>
      <w:bookmarkStart w:id="8" w:name="_Toc509334291"/>
      <w:r>
        <w:rPr>
          <w:rFonts w:hint="eastAsia" w:ascii="宋体" w:hAnsi="宋体" w:eastAsia="宋体" w:cs="宋体"/>
          <w:b/>
          <w:bCs/>
          <w:color w:val="auto"/>
          <w:sz w:val="24"/>
          <w:szCs w:val="24"/>
          <w:highlight w:val="none"/>
        </w:rPr>
        <w:t>4．招标文件的获取</w:t>
      </w:r>
      <w:bookmarkEnd w:id="7"/>
      <w:bookmarkEnd w:id="8"/>
    </w:p>
    <w:p w14:paraId="49A7EB41">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zh-CN"/>
        </w:rPr>
        <w:t>凡有意参加投标者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请在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黑龙江公共资源交易网</w:t>
      </w:r>
      <w:r>
        <w:rPr>
          <w:rFonts w:hint="eastAsia" w:ascii="宋体" w:hAnsi="宋体" w:eastAsia="宋体" w:cs="宋体"/>
          <w:color w:val="auto"/>
          <w:sz w:val="24"/>
          <w:szCs w:val="24"/>
          <w:highlight w:val="none"/>
        </w:rPr>
        <w:t>”（http://ggzyjyw.hlj.gov.cn/）</w:t>
      </w:r>
      <w:r>
        <w:rPr>
          <w:rFonts w:hint="eastAsia" w:ascii="宋体" w:hAnsi="宋体" w:eastAsia="宋体" w:cs="宋体"/>
          <w:color w:val="auto"/>
          <w:sz w:val="24"/>
          <w:szCs w:val="24"/>
          <w:highlight w:val="none"/>
          <w:lang w:val="zh-CN"/>
        </w:rPr>
        <w:t>进行用户注册、办理数字证书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使用数字证书登录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黑龙江公共资源交易网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上的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交易平台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明确所投标段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下载招标文件、工程量清单及图纸。下载时间为2025年3月28日00时00分至2025年4月4日00时00分（北京时间，下同）。</w:t>
      </w:r>
    </w:p>
    <w:p w14:paraId="0414C497">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注：在下载截止时间内至少下载一次招标文件，下载一次后可不受时间限制进行下载招标文件或答疑文件。如在下载时间截止前未下载招标文件，投标人自行承担相应责任。</w:t>
      </w:r>
    </w:p>
    <w:p w14:paraId="7E505B4B">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手续请查看“黑龙江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14:paraId="08981ECE">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4.2投标人未按“黑龙江省公共资源交易网”的流程要求完成全部操作的，自行承担相应责任。</w:t>
      </w:r>
    </w:p>
    <w:p w14:paraId="78C8DB4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bookmarkStart w:id="9" w:name="_Toc509334292"/>
      <w:bookmarkStart w:id="10" w:name="_Toc509819254"/>
      <w:r>
        <w:rPr>
          <w:rFonts w:hint="eastAsia" w:ascii="宋体" w:hAnsi="宋体" w:eastAsia="宋体" w:cs="宋体"/>
          <w:b/>
          <w:bCs/>
          <w:color w:val="auto"/>
          <w:sz w:val="24"/>
          <w:szCs w:val="24"/>
          <w:highlight w:val="none"/>
        </w:rPr>
        <w:t>5．投标文件的递交</w:t>
      </w:r>
      <w:bookmarkEnd w:id="9"/>
      <w:bookmarkEnd w:id="10"/>
      <w:r>
        <w:rPr>
          <w:rFonts w:hint="eastAsia" w:ascii="宋体" w:hAnsi="宋体" w:eastAsia="宋体" w:cs="宋体"/>
          <w:b/>
          <w:bCs/>
          <w:color w:val="auto"/>
          <w:sz w:val="24"/>
          <w:szCs w:val="24"/>
          <w:highlight w:val="none"/>
        </w:rPr>
        <w:t>及相关事宜</w:t>
      </w:r>
    </w:p>
    <w:p w14:paraId="0D59D0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11" w:name="_Toc509819255"/>
      <w:bookmarkStart w:id="12" w:name="_Toc509334293"/>
      <w:bookmarkStart w:id="13" w:name="_Toc491883082"/>
      <w:r>
        <w:rPr>
          <w:rFonts w:hint="eastAsia" w:ascii="宋体" w:hAnsi="宋体" w:eastAsia="宋体" w:cs="宋体"/>
          <w:color w:val="auto"/>
          <w:sz w:val="24"/>
          <w:szCs w:val="24"/>
          <w:highlight w:val="none"/>
        </w:rPr>
        <w:t>5.1招标人不组织踏勘现场，不召开投标预备会。</w:t>
      </w:r>
    </w:p>
    <w:p w14:paraId="2A9BA94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w:t>
      </w:r>
    </w:p>
    <w:p w14:paraId="6E000E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5.3电子投标文件递交的截止时间为</w:t>
      </w:r>
      <w:r>
        <w:rPr>
          <w:rFonts w:hint="eastAsia" w:ascii="宋体" w:hAnsi="宋体" w:cs="宋体"/>
          <w:color w:val="auto"/>
          <w:sz w:val="24"/>
          <w:szCs w:val="24"/>
          <w:highlight w:val="none"/>
          <w:lang w:eastAsia="zh-CN"/>
        </w:rPr>
        <w:t>2025年4月18日9时00分</w:t>
      </w:r>
      <w:r>
        <w:rPr>
          <w:rFonts w:hint="eastAsia" w:ascii="宋体" w:hAnsi="宋体" w:eastAsia="宋体" w:cs="宋体"/>
          <w:color w:val="auto"/>
          <w:sz w:val="24"/>
          <w:szCs w:val="24"/>
          <w:highlight w:val="none"/>
        </w:rPr>
        <w:t xml:space="preserve">（即开标时间），投标人应于该截止时间前将加密的投标文件第一个信封（商务及技术文件）、第二个信封（报价文件）上传至“黑龙江公共资源交易网”上的“交易平台”进行网上投标。 </w:t>
      </w:r>
    </w:p>
    <w:p w14:paraId="35C8A3A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5.4第一信封开标时间为</w:t>
      </w:r>
      <w:r>
        <w:rPr>
          <w:rFonts w:hint="eastAsia" w:ascii="宋体" w:hAnsi="宋体" w:cs="宋体"/>
          <w:color w:val="auto"/>
          <w:sz w:val="24"/>
          <w:szCs w:val="24"/>
          <w:highlight w:val="none"/>
          <w:lang w:eastAsia="zh-CN"/>
        </w:rPr>
        <w:t>2025年4月18日9时00分</w:t>
      </w:r>
      <w:r>
        <w:rPr>
          <w:rFonts w:hint="eastAsia" w:ascii="宋体" w:hAnsi="宋体" w:eastAsia="宋体" w:cs="宋体"/>
          <w:color w:val="auto"/>
          <w:sz w:val="24"/>
          <w:szCs w:val="24"/>
          <w:highlight w:val="none"/>
        </w:rPr>
        <w:t xml:space="preserve">，投标人按照交易平台提示对上传至交易平台的投标文件第一信封商务和技术文件中，切勿出现有关报价内容，由于投标人自身原因导致投标报价在第一信封泄露，投标人自行承担责任。 </w:t>
      </w:r>
    </w:p>
    <w:p w14:paraId="35A867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第二信封开标时间：具体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14:paraId="4E6C4F41">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重要说明：本项目投标采用电子投标，投标人应在投标文件递交截止时间前完成电子投标文件的递交工作，并安排线上远程开标。投标人在交易平台投标文件第一信封商务和技术文件时，切勿出现有关报价内容，由于投标人自身原因导致投标报价在第一信封泄露，投标人自行承担责任。如需填报价请用“0”代替。</w:t>
      </w:r>
    </w:p>
    <w:p w14:paraId="72F2993A">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发布公告的媒介</w:t>
      </w:r>
    </w:p>
    <w:p w14:paraId="4CA841F4">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本次招标公告同时在黑龙江公共资源交易网（https://ggzyjyw.hlj.gov.cn/）、黑龙江省交通运输厅(http://www.hljjt.gov.cn)上发布。</w:t>
      </w:r>
    </w:p>
    <w:p w14:paraId="75E8EAC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bookmarkEnd w:id="11"/>
      <w:bookmarkEnd w:id="12"/>
      <w:bookmarkStart w:id="14" w:name="_Toc509819256"/>
      <w:bookmarkStart w:id="15" w:name="_Toc509334294"/>
      <w:r>
        <w:rPr>
          <w:rFonts w:hint="eastAsia" w:ascii="宋体" w:hAnsi="宋体" w:eastAsia="宋体" w:cs="宋体"/>
          <w:b/>
          <w:bCs/>
          <w:color w:val="auto"/>
          <w:sz w:val="24"/>
          <w:szCs w:val="24"/>
          <w:highlight w:val="none"/>
        </w:rPr>
        <w:t>中标候选人公示</w:t>
      </w:r>
    </w:p>
    <w:p w14:paraId="3D01818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招标人将评标结果在黑龙江省公共资源交易网(http://ggzyjyw.hlj.gov.cn/)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黑龙江省交通运输厅(http://www.hljjt.gov.cn)网站进行公示。将公示以下内容：</w:t>
      </w:r>
    </w:p>
    <w:p w14:paraId="76FF200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7.1中标候选人排序、名称、投标报价；</w:t>
      </w:r>
    </w:p>
    <w:p w14:paraId="5B1CAFC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7.2中标候选人在投标文件中承诺的主要人员姓名、个人业绩、相关证书编号；</w:t>
      </w:r>
    </w:p>
    <w:p w14:paraId="123720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7.3中标候选人在投标文件中填报的项目业绩；</w:t>
      </w:r>
    </w:p>
    <w:p w14:paraId="33213B1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7.4被否决投标的投标人名称、否决依据和原因；</w:t>
      </w:r>
    </w:p>
    <w:p w14:paraId="00435D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7.5招标文件规定公示的其他内容。</w:t>
      </w:r>
    </w:p>
    <w:bookmarkEnd w:id="13"/>
    <w:bookmarkEnd w:id="14"/>
    <w:bookmarkEnd w:id="15"/>
    <w:p w14:paraId="56F966B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bookmarkStart w:id="16" w:name="_Toc509334296"/>
      <w:bookmarkStart w:id="17" w:name="_Toc509819258"/>
      <w:r>
        <w:rPr>
          <w:rFonts w:hint="eastAsia" w:ascii="宋体" w:hAnsi="宋体" w:eastAsia="宋体" w:cs="宋体"/>
          <w:b/>
          <w:bCs/>
          <w:color w:val="auto"/>
          <w:sz w:val="24"/>
          <w:szCs w:val="24"/>
          <w:highlight w:val="none"/>
        </w:rPr>
        <w:t>8．联系方式</w:t>
      </w:r>
      <w:bookmarkEnd w:id="16"/>
      <w:bookmarkEnd w:id="17"/>
    </w:p>
    <w:p w14:paraId="3627B40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 标 人：</w:t>
      </w:r>
      <w:r>
        <w:rPr>
          <w:rFonts w:hint="eastAsia" w:ascii="宋体" w:hAnsi="宋体" w:eastAsia="宋体" w:cs="宋体"/>
          <w:color w:val="auto"/>
          <w:sz w:val="24"/>
          <w:szCs w:val="24"/>
          <w:highlight w:val="none"/>
          <w:lang w:eastAsia="zh-CN"/>
        </w:rPr>
        <w:t>鸡东县交通运输局</w:t>
      </w:r>
    </w:p>
    <w:p w14:paraId="51D49F7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鸡东县城建路1号</w:t>
      </w:r>
    </w:p>
    <w:p w14:paraId="1CC30397">
      <w:pPr>
        <w:pStyle w:val="112"/>
        <w:keepNext w:val="0"/>
        <w:keepLines w:val="0"/>
        <w:pageBreakBefore w:val="0"/>
        <w:widowControl w:val="0"/>
        <w:shd w:val="clear" w:color="auto" w:fill="auto"/>
        <w:kinsoku/>
        <w:wordWrap/>
        <w:overflowPunct/>
        <w:topLinePunct w:val="0"/>
        <w:autoSpaceDE/>
        <w:autoSpaceDN/>
        <w:bidi w:val="0"/>
        <w:spacing w:line="360" w:lineRule="auto"/>
        <w:ind w:firstLine="480" w:firstLineChars="200"/>
        <w:contextualSpacing/>
        <w:jc w:val="both"/>
        <w:textAlignment w:val="auto"/>
        <w:rPr>
          <w:rStyle w:val="108"/>
          <w:rFonts w:hint="eastAsia" w:ascii="宋体" w:hAnsi="宋体" w:eastAsia="宋体" w:cs="宋体"/>
          <w:b w:val="0"/>
          <w:color w:val="auto"/>
          <w:sz w:val="24"/>
          <w:szCs w:val="24"/>
          <w:highlight w:val="none"/>
          <w:lang w:val="en-US" w:eastAsia="zh-CN"/>
        </w:rPr>
      </w:pPr>
      <w:r>
        <w:rPr>
          <w:rStyle w:val="108"/>
          <w:rFonts w:hint="eastAsia" w:ascii="宋体" w:hAnsi="宋体" w:eastAsia="宋体" w:cs="宋体"/>
          <w:b w:val="0"/>
          <w:color w:val="auto"/>
          <w:sz w:val="24"/>
          <w:szCs w:val="24"/>
          <w:highlight w:val="none"/>
          <w:lang w:val="en-US" w:eastAsia="zh-CN"/>
        </w:rPr>
        <w:t>联 系 人：李先生</w:t>
      </w:r>
    </w:p>
    <w:p w14:paraId="486C43C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eastAsia="zh-CN"/>
        </w:rPr>
        <w:t>0467-5582703</w:t>
      </w:r>
    </w:p>
    <w:p w14:paraId="11BA08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招标代理机构：泾清项目管理有限公司</w:t>
      </w:r>
    </w:p>
    <w:p w14:paraId="694651E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址：黑龙江省哈尔滨市平房区渤海路副6号动漫基地F座2单元4086室</w:t>
      </w:r>
    </w:p>
    <w:p w14:paraId="7FD12E8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人：闫女士</w:t>
      </w:r>
    </w:p>
    <w:p w14:paraId="7953A4C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话：18745015912</w:t>
      </w:r>
    </w:p>
    <w:p w14:paraId="5BC8284D">
      <w:pPr>
        <w:pStyle w:val="112"/>
        <w:keepNext w:val="0"/>
        <w:keepLines w:val="0"/>
        <w:pageBreakBefore w:val="0"/>
        <w:widowControl w:val="0"/>
        <w:shd w:val="clear" w:color="auto" w:fill="auto"/>
        <w:kinsoku/>
        <w:wordWrap/>
        <w:overflowPunct/>
        <w:topLinePunct w:val="0"/>
        <w:autoSpaceDE/>
        <w:autoSpaceDN/>
        <w:bidi w:val="0"/>
        <w:spacing w:line="360" w:lineRule="auto"/>
        <w:ind w:firstLine="480" w:firstLineChars="200"/>
        <w:contextualSpacing/>
        <w:jc w:val="both"/>
        <w:textAlignment w:val="auto"/>
        <w:rPr>
          <w:rStyle w:val="108"/>
          <w:rFonts w:hint="eastAsia" w:ascii="宋体" w:hAnsi="宋体" w:eastAsia="宋体" w:cs="宋体"/>
          <w:b w:val="0"/>
          <w:color w:val="auto"/>
          <w:sz w:val="24"/>
          <w:szCs w:val="24"/>
          <w:highlight w:val="none"/>
          <w:lang w:val="en-US" w:eastAsia="zh-CN"/>
        </w:rPr>
      </w:pPr>
      <w:r>
        <w:rPr>
          <w:rStyle w:val="108"/>
          <w:rFonts w:hint="eastAsia" w:ascii="宋体" w:hAnsi="宋体" w:eastAsia="宋体" w:cs="宋体"/>
          <w:b w:val="0"/>
          <w:color w:val="auto"/>
          <w:sz w:val="24"/>
          <w:szCs w:val="24"/>
          <w:highlight w:val="none"/>
          <w:lang w:val="en-US" w:eastAsia="zh-CN"/>
        </w:rPr>
        <w:t>监督部门：</w:t>
      </w:r>
      <w:r>
        <w:rPr>
          <w:rFonts w:hint="eastAsia" w:ascii="宋体" w:hAnsi="宋体" w:eastAsia="宋体" w:cs="宋体"/>
          <w:color w:val="auto"/>
          <w:sz w:val="24"/>
          <w:szCs w:val="24"/>
          <w:highlight w:val="none"/>
          <w:lang w:eastAsia="zh-CN"/>
        </w:rPr>
        <w:t>鸡西市交通运输局</w:t>
      </w:r>
    </w:p>
    <w:p w14:paraId="3957D065">
      <w:pPr>
        <w:pStyle w:val="112"/>
        <w:keepNext w:val="0"/>
        <w:keepLines w:val="0"/>
        <w:pageBreakBefore w:val="0"/>
        <w:widowControl w:val="0"/>
        <w:shd w:val="clear" w:color="auto" w:fill="auto"/>
        <w:kinsoku/>
        <w:wordWrap/>
        <w:overflowPunct/>
        <w:topLinePunct w:val="0"/>
        <w:autoSpaceDE/>
        <w:autoSpaceDN/>
        <w:bidi w:val="0"/>
        <w:spacing w:line="360" w:lineRule="auto"/>
        <w:ind w:firstLine="480" w:firstLineChars="200"/>
        <w:contextualSpacing/>
        <w:jc w:val="both"/>
        <w:textAlignment w:val="auto"/>
        <w:rPr>
          <w:rStyle w:val="108"/>
          <w:rFonts w:hint="eastAsia" w:ascii="宋体" w:hAnsi="宋体" w:eastAsia="宋体" w:cs="宋体"/>
          <w:b w:val="0"/>
          <w:color w:val="auto"/>
          <w:sz w:val="21"/>
          <w:szCs w:val="21"/>
          <w:highlight w:val="none"/>
          <w:lang w:val="en-US" w:eastAsia="zh-CN"/>
        </w:rPr>
      </w:pPr>
      <w:r>
        <w:rPr>
          <w:rStyle w:val="108"/>
          <w:rFonts w:hint="eastAsia" w:ascii="宋体" w:hAnsi="宋体" w:eastAsia="宋体" w:cs="宋体"/>
          <w:b w:val="0"/>
          <w:color w:val="auto"/>
          <w:sz w:val="24"/>
          <w:szCs w:val="24"/>
          <w:highlight w:val="none"/>
          <w:lang w:val="en-US" w:eastAsia="zh-CN"/>
        </w:rPr>
        <w:t>联系电话：0467-2664206</w:t>
      </w:r>
    </w:p>
    <w:p w14:paraId="36676FF7">
      <w:pPr>
        <w:spacing w:line="400" w:lineRule="exact"/>
        <w:ind w:firstLine="420"/>
        <w:rPr>
          <w:rFonts w:hint="eastAsia" w:ascii="宋体" w:hAnsi="宋体" w:eastAsia="宋体" w:cs="宋体"/>
          <w:color w:val="auto"/>
          <w:szCs w:val="21"/>
          <w:highlight w:val="none"/>
        </w:rPr>
      </w:pPr>
    </w:p>
    <w:p w14:paraId="5E1BB985">
      <w:pPr>
        <w:rPr>
          <w:rFonts w:hint="eastAsia" w:ascii="宋体" w:hAnsi="宋体" w:eastAsia="宋体" w:cs="宋体"/>
          <w:color w:val="auto"/>
          <w:highlight w:val="none"/>
        </w:rPr>
      </w:pPr>
    </w:p>
    <w:p w14:paraId="26207A89">
      <w:pPr>
        <w:widowControl/>
        <w:jc w:val="left"/>
        <w:rPr>
          <w:rFonts w:hint="eastAsia" w:ascii="宋体" w:hAnsi="宋体" w:eastAsia="宋体" w:cs="宋体"/>
          <w:color w:val="auto"/>
          <w:highlight w:val="none"/>
        </w:rPr>
      </w:pPr>
    </w:p>
    <w:p w14:paraId="472AB873">
      <w:pPr>
        <w:jc w:val="center"/>
        <w:rPr>
          <w:rFonts w:hint="eastAsia" w:ascii="宋体" w:hAnsi="宋体" w:eastAsia="宋体" w:cs="宋体"/>
          <w:color w:val="auto"/>
          <w:sz w:val="48"/>
          <w:szCs w:val="48"/>
          <w:highlight w:val="none"/>
        </w:rPr>
      </w:pPr>
    </w:p>
    <w:p w14:paraId="3F81CD24">
      <w:pPr>
        <w:jc w:val="center"/>
        <w:rPr>
          <w:rFonts w:hint="eastAsia" w:ascii="宋体" w:hAnsi="宋体" w:eastAsia="宋体" w:cs="宋体"/>
          <w:color w:val="auto"/>
          <w:sz w:val="48"/>
          <w:szCs w:val="48"/>
          <w:highlight w:val="none"/>
        </w:rPr>
      </w:pPr>
    </w:p>
    <w:p w14:paraId="56B3DAD0">
      <w:pPr>
        <w:jc w:val="center"/>
        <w:rPr>
          <w:rFonts w:hint="eastAsia" w:ascii="宋体" w:hAnsi="宋体" w:eastAsia="宋体" w:cs="宋体"/>
          <w:color w:val="auto"/>
          <w:sz w:val="48"/>
          <w:szCs w:val="48"/>
          <w:highlight w:val="none"/>
        </w:rPr>
      </w:pPr>
    </w:p>
    <w:p w14:paraId="695AD4B6">
      <w:pPr>
        <w:jc w:val="center"/>
        <w:rPr>
          <w:rFonts w:hint="eastAsia" w:ascii="宋体" w:hAnsi="宋体" w:eastAsia="宋体" w:cs="宋体"/>
          <w:color w:val="auto"/>
          <w:sz w:val="48"/>
          <w:szCs w:val="48"/>
          <w:highlight w:val="none"/>
        </w:rPr>
      </w:pPr>
    </w:p>
    <w:p w14:paraId="0C06C588">
      <w:pPr>
        <w:jc w:val="center"/>
        <w:rPr>
          <w:rFonts w:hint="eastAsia" w:ascii="宋体" w:hAnsi="宋体" w:eastAsia="宋体" w:cs="宋体"/>
          <w:color w:val="auto"/>
          <w:sz w:val="48"/>
          <w:szCs w:val="48"/>
          <w:highlight w:val="none"/>
        </w:rPr>
      </w:pPr>
    </w:p>
    <w:p w14:paraId="115B8CC6">
      <w:pPr>
        <w:tabs>
          <w:tab w:val="left" w:pos="3220"/>
          <w:tab w:val="left" w:pos="5602"/>
        </w:tabs>
        <w:spacing w:before="240" w:beforeLines="100" w:after="240" w:afterLines="100"/>
        <w:jc w:val="center"/>
        <w:rPr>
          <w:rFonts w:hint="eastAsia" w:ascii="宋体" w:hAnsi="宋体" w:eastAsia="宋体" w:cs="宋体"/>
          <w:color w:val="auto"/>
          <w:sz w:val="44"/>
          <w:szCs w:val="44"/>
          <w:highlight w:val="none"/>
        </w:rPr>
      </w:pPr>
      <w:r>
        <w:rPr>
          <w:rFonts w:hint="eastAsia" w:ascii="宋体" w:hAnsi="宋体" w:eastAsia="宋体" w:cs="宋体"/>
          <w:b/>
          <w:color w:val="auto"/>
          <w:sz w:val="44"/>
          <w:szCs w:val="44"/>
          <w:highlight w:val="none"/>
        </w:rPr>
        <w:t>评标办法（技术评分最低标价法）</w:t>
      </w:r>
    </w:p>
    <w:p w14:paraId="561C22CB">
      <w:pPr>
        <w:pStyle w:val="3"/>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评标办法前附表</w:t>
      </w:r>
    </w:p>
    <w:tbl>
      <w:tblPr>
        <w:tblStyle w:val="10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6"/>
        <w:gridCol w:w="1162"/>
        <w:gridCol w:w="1359"/>
        <w:gridCol w:w="4856"/>
      </w:tblGrid>
      <w:tr w14:paraId="79E7F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blHeader/>
        </w:trPr>
        <w:tc>
          <w:tcPr>
            <w:tcW w:w="1159" w:type="pct"/>
            <w:gridSpan w:val="2"/>
            <w:tcBorders>
              <w:right w:val="single" w:color="000000" w:sz="6" w:space="0"/>
            </w:tcBorders>
          </w:tcPr>
          <w:p w14:paraId="52349B33">
            <w:pPr>
              <w:pStyle w:val="103"/>
              <w:spacing w:before="109" w:line="250" w:lineRule="exact"/>
              <w:ind w:right="788"/>
              <w:jc w:val="center"/>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条款号</w:t>
            </w:r>
          </w:p>
        </w:tc>
        <w:tc>
          <w:tcPr>
            <w:tcW w:w="3840" w:type="pct"/>
            <w:gridSpan w:val="2"/>
            <w:tcBorders>
              <w:left w:val="single" w:color="000000" w:sz="6" w:space="0"/>
            </w:tcBorders>
          </w:tcPr>
          <w:p w14:paraId="4C02E7C7">
            <w:pPr>
              <w:pStyle w:val="103"/>
              <w:spacing w:before="109" w:line="250" w:lineRule="exact"/>
              <w:ind w:right="2340"/>
              <w:jc w:val="center"/>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评审因素与评审标准</w:t>
            </w:r>
          </w:p>
        </w:tc>
      </w:tr>
      <w:tr w14:paraId="7B95C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517" w:type="pct"/>
            <w:vAlign w:val="center"/>
          </w:tcPr>
          <w:p w14:paraId="488853F6">
            <w:pPr>
              <w:pStyle w:val="103"/>
              <w:spacing w:before="187"/>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w:t>
            </w:r>
          </w:p>
        </w:tc>
        <w:tc>
          <w:tcPr>
            <w:tcW w:w="641" w:type="pct"/>
            <w:tcBorders>
              <w:right w:val="single" w:color="000000" w:sz="6" w:space="0"/>
            </w:tcBorders>
            <w:vAlign w:val="center"/>
          </w:tcPr>
          <w:p w14:paraId="590F9641">
            <w:pPr>
              <w:pStyle w:val="103"/>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评标方法</w:t>
            </w:r>
          </w:p>
        </w:tc>
        <w:tc>
          <w:tcPr>
            <w:tcW w:w="3840" w:type="pct"/>
            <w:gridSpan w:val="2"/>
            <w:tcBorders>
              <w:left w:val="single" w:color="000000" w:sz="6" w:space="0"/>
            </w:tcBorders>
          </w:tcPr>
          <w:p w14:paraId="6BD620B4">
            <w:pPr>
              <w:pStyle w:val="103"/>
              <w:spacing w:line="360" w:lineRule="atLeast"/>
              <w:ind w:left="108" w:right="93" w:firstLine="420"/>
              <w:jc w:val="left"/>
              <w:rPr>
                <w:rFonts w:hint="eastAsia" w:ascii="宋体" w:hAnsi="宋体" w:eastAsia="宋体" w:cs="宋体"/>
                <w:b/>
                <w:bCs/>
                <w:color w:val="auto"/>
                <w:sz w:val="21"/>
                <w:szCs w:val="21"/>
                <w:highlight w:val="none"/>
                <w:lang w:eastAsia="en-US"/>
              </w:rPr>
            </w:pPr>
            <w:r>
              <w:rPr>
                <w:rFonts w:hint="eastAsia" w:ascii="宋体" w:hAnsi="宋体" w:eastAsia="宋体" w:cs="宋体"/>
                <w:b/>
                <w:bCs/>
                <w:color w:val="auto"/>
                <w:sz w:val="21"/>
                <w:szCs w:val="21"/>
                <w:highlight w:val="none"/>
                <w:lang w:eastAsia="en-US"/>
              </w:rPr>
              <w:t>若出现第二信封投标报价相等时，评标委员会依次按照以下优先顺序推荐中标候选人：</w:t>
            </w:r>
          </w:p>
          <w:p w14:paraId="219E40D2">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en-US"/>
              </w:rPr>
              <w:t>年被黑龙江省交通运输厅或202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en-US"/>
              </w:rPr>
              <w:t>年被交通运输部评为较高信用等级的投标人优先（如果省级和部级评价等级不一致，以最高的信用评价等级认定），应附投标人</w:t>
            </w:r>
            <w:r>
              <w:rPr>
                <w:rFonts w:hint="eastAsia" w:ascii="宋体" w:hAnsi="宋体" w:eastAsia="宋体" w:cs="宋体"/>
                <w:color w:val="auto"/>
                <w:sz w:val="21"/>
                <w:szCs w:val="21"/>
                <w:highlight w:val="none"/>
                <w:lang w:eastAsia="zh-CN"/>
              </w:rPr>
              <w:t>2023年度</w:t>
            </w:r>
            <w:r>
              <w:rPr>
                <w:rFonts w:hint="eastAsia" w:ascii="宋体" w:hAnsi="宋体" w:eastAsia="宋体" w:cs="宋体"/>
                <w:color w:val="auto"/>
                <w:sz w:val="21"/>
                <w:szCs w:val="21"/>
                <w:highlight w:val="none"/>
                <w:lang w:eastAsia="en-US"/>
              </w:rPr>
              <w:t>黑龙江省交通运输厅或交通运输部公路企业信用评价等级证明材料。</w:t>
            </w:r>
          </w:p>
          <w:p w14:paraId="694C530A">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（2）商务和技术得分较高的投标人优先；</w:t>
            </w:r>
          </w:p>
          <w:p w14:paraId="6FA55A97">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（3）投标人的202</w:t>
            </w:r>
            <w:r>
              <w:rPr>
                <w:rFonts w:hint="eastAsia" w:ascii="宋体" w:hAnsi="宋体" w:eastAsia="宋体" w:cs="宋体"/>
                <w:color w:val="auto"/>
                <w:sz w:val="21"/>
                <w:szCs w:val="21"/>
                <w:highlight w:val="none"/>
                <w:lang w:val="en-US" w:eastAsia="en-US"/>
              </w:rPr>
              <w:t>3</w:t>
            </w:r>
            <w:r>
              <w:rPr>
                <w:rFonts w:hint="eastAsia" w:ascii="宋体" w:hAnsi="宋体" w:eastAsia="宋体" w:cs="宋体"/>
                <w:color w:val="auto"/>
                <w:sz w:val="21"/>
                <w:szCs w:val="21"/>
                <w:highlight w:val="none"/>
                <w:lang w:eastAsia="en-US"/>
              </w:rPr>
              <w:t>年营业额高的优先。</w:t>
            </w:r>
          </w:p>
        </w:tc>
      </w:tr>
      <w:tr w14:paraId="141DF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4" w:hRule="atLeast"/>
        </w:trPr>
        <w:tc>
          <w:tcPr>
            <w:tcW w:w="517" w:type="pct"/>
            <w:vAlign w:val="center"/>
          </w:tcPr>
          <w:p w14:paraId="07500B1A">
            <w:pPr>
              <w:pStyle w:val="103"/>
              <w:spacing w:before="151"/>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2.1.1</w:t>
            </w:r>
          </w:p>
          <w:p w14:paraId="6AD030C6">
            <w:pPr>
              <w:pStyle w:val="103"/>
              <w:spacing w:before="159"/>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2.1.3</w:t>
            </w:r>
          </w:p>
        </w:tc>
        <w:tc>
          <w:tcPr>
            <w:tcW w:w="641" w:type="pct"/>
            <w:tcBorders>
              <w:right w:val="single" w:color="000000" w:sz="6" w:space="0"/>
            </w:tcBorders>
            <w:vAlign w:val="center"/>
          </w:tcPr>
          <w:p w14:paraId="73F105E1">
            <w:pPr>
              <w:pStyle w:val="103"/>
              <w:spacing w:line="357" w:lineRule="auto"/>
              <w:ind w:right="127"/>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形式评审</w:t>
            </w:r>
          </w:p>
          <w:p w14:paraId="3AD2582C">
            <w:pPr>
              <w:pStyle w:val="103"/>
              <w:spacing w:line="357" w:lineRule="auto"/>
              <w:ind w:right="127"/>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与响应性</w:t>
            </w:r>
          </w:p>
          <w:p w14:paraId="1135D28A">
            <w:pPr>
              <w:pStyle w:val="103"/>
              <w:spacing w:line="357" w:lineRule="auto"/>
              <w:ind w:right="127"/>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评审标准</w:t>
            </w:r>
          </w:p>
        </w:tc>
        <w:tc>
          <w:tcPr>
            <w:tcW w:w="3840" w:type="pct"/>
            <w:gridSpan w:val="2"/>
            <w:tcBorders>
              <w:left w:val="single" w:color="000000" w:sz="6" w:space="0"/>
            </w:tcBorders>
          </w:tcPr>
          <w:p w14:paraId="0FD58F0D">
            <w:pPr>
              <w:pStyle w:val="103"/>
              <w:spacing w:line="360" w:lineRule="atLeast"/>
              <w:ind w:left="108" w:right="93" w:firstLine="420"/>
              <w:jc w:val="left"/>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第一个信封（商务及技术文件）评审标准：</w:t>
            </w:r>
          </w:p>
          <w:p w14:paraId="01A076E7">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（1）投标文件按照招标文件规定的格式、内容填写，字迹清晰可辨：</w:t>
            </w:r>
          </w:p>
          <w:p w14:paraId="53ADDD9B">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a.投标函按招标文件规定填报了项目名称、标段号、补遗书编号（如有）、工期、工程质量要求及安全目标；</w:t>
            </w:r>
          </w:p>
          <w:p w14:paraId="7D0F3532">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b.投标函附录的所有数据均符合招标文件规定；</w:t>
            </w:r>
          </w:p>
          <w:p w14:paraId="22A568F6">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c.投标文件组成齐全完整，内容均按规定填写。</w:t>
            </w:r>
          </w:p>
          <w:p w14:paraId="52FD51C2">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（2）投标文件上法定代表人或其委托代理人的签字、投标人的单位章盖章齐全，符合招标文件规定。</w:t>
            </w:r>
          </w:p>
          <w:p w14:paraId="59BDB5F7">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（3）投标人按照招标文件的规定提供了投标保证金：</w:t>
            </w:r>
          </w:p>
          <w:p w14:paraId="573A56D3">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a.投标保证金金额符合招标文件规定的金额，且投标保证金有效期不少于投标有效期；</w:t>
            </w:r>
          </w:p>
          <w:p w14:paraId="4D9DC062">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b.若投标保证金采用现金或支票形式提交，投标人应在递交投标文件截止时间之前，将投标保证金由投标人的基本账户转入发改委指定账户；</w:t>
            </w:r>
          </w:p>
          <w:p w14:paraId="1014C658">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c.若投标保证金采用银行保函形式提交，银行保函的格式、开具保函的银行均满足招标文件要求，且在递交投标文件截止时间之前向招标人提交了银行保函原件。银行保函同时满足黑龙江省公共资源交易中心的相关规定。</w:t>
            </w:r>
          </w:p>
          <w:p w14:paraId="4069F762">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（4）投标人法定代表人授权委托代理人签署投标文件的，须提交授权委托书，且授权人和被授权人均在授权委托书上签名，按照招标文件第九章投标文件格式的要求进行签字或电子签章。</w:t>
            </w:r>
          </w:p>
          <w:p w14:paraId="3E3FCE30">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（5）投标人法定代表人亲自签署投标文件的，提供了法定代表人身份证明，且法定代表人在法定代表人身份证明上签名，按照招标文件第九章投标文件格式的要求进行签字或电子签章。</w:t>
            </w:r>
          </w:p>
          <w:p w14:paraId="6B1AC998">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（6）投标人以联合体形式投标时，联合体满足招标文件的要求：</w:t>
            </w:r>
          </w:p>
          <w:p w14:paraId="4D14DF2E">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a.未进行资格预审的，投标人按照招标文件提供的格式签订了联合体协议书，明确各方承担连带责任，并明确了联合体牵头人；</w:t>
            </w:r>
          </w:p>
          <w:p w14:paraId="78FF9808">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b.已进行资格预审的，投标人提供了资格预审申请文件中所附的联合体协议书复印件，且通过资格预审后的联合体无成员增减或更换的情况。</w:t>
            </w:r>
          </w:p>
          <w:p w14:paraId="78A44669">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（7）同一投标人未提交两个以上不同的投标文件，但招标文件要求提交备选投标的除外。</w:t>
            </w:r>
          </w:p>
          <w:p w14:paraId="01685725">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（8）投标文件第一个信封中未出现有关投标报价的内容。</w:t>
            </w:r>
          </w:p>
          <w:p w14:paraId="135D6701">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（9）投标文件载明的招标项目完成期限未超过招标文件规定的时限。</w:t>
            </w:r>
          </w:p>
          <w:p w14:paraId="6361FCEF">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（10）投标文件对招标文件的实质性要求和条件作出响应。</w:t>
            </w:r>
          </w:p>
          <w:p w14:paraId="034526D4">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（11）权利义务符合招标文件规定：</w:t>
            </w:r>
          </w:p>
          <w:p w14:paraId="21DD2E6B">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a.投标人应接受招标文件规定的风险划分原则，未提出新的风险划分办法；</w:t>
            </w:r>
          </w:p>
          <w:p w14:paraId="35AEBCE7">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b.投标人未增加发包人的责任范围，或减少投标人义务；</w:t>
            </w:r>
          </w:p>
          <w:p w14:paraId="03ACF5E6">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c.投标人未提出不同的工程验收、计量、支付办法；</w:t>
            </w:r>
          </w:p>
          <w:p w14:paraId="00571C68">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d.投标人对合同纠纷、事故处理办法未提出异议；</w:t>
            </w:r>
          </w:p>
          <w:p w14:paraId="1AFCD6C4">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e.投标人在投标活动中无欺诈行为；</w:t>
            </w:r>
          </w:p>
          <w:p w14:paraId="3F6997A4">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f.投标人未对合同条款有重要保留。</w:t>
            </w:r>
          </w:p>
          <w:p w14:paraId="29260B3C">
            <w:pPr>
              <w:pStyle w:val="103"/>
              <w:spacing w:line="360" w:lineRule="atLeast"/>
              <w:ind w:left="108" w:right="93" w:firstLine="384"/>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（12）不存在违反法律、法规的其他情形。</w:t>
            </w:r>
          </w:p>
        </w:tc>
      </w:tr>
      <w:tr w14:paraId="5A5A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17" w:type="pct"/>
            <w:vAlign w:val="center"/>
          </w:tcPr>
          <w:p w14:paraId="703858BE">
            <w:pPr>
              <w:pStyle w:val="103"/>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2.1.1</w:t>
            </w:r>
          </w:p>
          <w:p w14:paraId="54D46378">
            <w:pPr>
              <w:pStyle w:val="103"/>
              <w:spacing w:before="138"/>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2.1.3</w:t>
            </w:r>
          </w:p>
        </w:tc>
        <w:tc>
          <w:tcPr>
            <w:tcW w:w="641" w:type="pct"/>
            <w:tcBorders>
              <w:right w:val="single" w:color="000000" w:sz="6" w:space="0"/>
            </w:tcBorders>
            <w:vAlign w:val="center"/>
          </w:tcPr>
          <w:p w14:paraId="5331BB09">
            <w:pPr>
              <w:pStyle w:val="103"/>
              <w:spacing w:line="338" w:lineRule="auto"/>
              <w:ind w:left="112" w:right="99"/>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形式评审</w:t>
            </w:r>
          </w:p>
          <w:p w14:paraId="26437979">
            <w:pPr>
              <w:pStyle w:val="103"/>
              <w:spacing w:line="338" w:lineRule="auto"/>
              <w:ind w:left="112" w:right="99"/>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与响应性</w:t>
            </w:r>
          </w:p>
          <w:p w14:paraId="1B7A5969">
            <w:pPr>
              <w:pStyle w:val="103"/>
              <w:spacing w:line="338" w:lineRule="auto"/>
              <w:ind w:left="112" w:right="99"/>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评审标准</w:t>
            </w:r>
          </w:p>
        </w:tc>
        <w:tc>
          <w:tcPr>
            <w:tcW w:w="3840" w:type="pct"/>
            <w:gridSpan w:val="2"/>
            <w:tcBorders>
              <w:left w:val="single" w:color="000000" w:sz="6" w:space="0"/>
            </w:tcBorders>
          </w:tcPr>
          <w:p w14:paraId="102FF94F">
            <w:pPr>
              <w:pStyle w:val="103"/>
              <w:spacing w:line="360" w:lineRule="atLeast"/>
              <w:ind w:left="108" w:right="93" w:firstLine="420"/>
              <w:jc w:val="left"/>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第二个信封（报价文件）评审标准：</w:t>
            </w:r>
          </w:p>
          <w:p w14:paraId="62557CCF">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（1）投标文件按照招标文件规定的格式、内容填写，字迹清晰可辨：</w:t>
            </w:r>
          </w:p>
          <w:p w14:paraId="70B465ED">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a.投标函按招标文件规定填报了项目名称、标段号、补遗书编号（如有）、投标价（包括大写金额和小写金额）；</w:t>
            </w:r>
          </w:p>
          <w:p w14:paraId="11B81B59">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b.已标价工程量清单说明文字与招标文件规定一致，未进行实质性修改和删减；</w:t>
            </w:r>
          </w:p>
          <w:p w14:paraId="29D54A28">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c.投标文件组成齐全完整，内容均按规定填写。</w:t>
            </w:r>
          </w:p>
          <w:p w14:paraId="7C01B4EB">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（2）投标文件上法定代表人或其委托代理人的签字、投标人的单位章盖章齐全，符合招标文件规定。</w:t>
            </w:r>
          </w:p>
          <w:p w14:paraId="3A58066A">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（3）投标报价中的报价未超过招标文件设定的最高投标限价。</w:t>
            </w:r>
          </w:p>
          <w:p w14:paraId="5A277B21">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（4）投标报价中报价的大写金额能够确定具体数值。</w:t>
            </w:r>
          </w:p>
          <w:p w14:paraId="1A56C6F7">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（5）同一投标人未提交两个以上不同的投标报价，但招标文件要求提交备选投标的除外。</w:t>
            </w:r>
          </w:p>
          <w:p w14:paraId="6D14BA00">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（6）投标人填写完毕的工程量固化清单未对工程量固化清单电子文件中的数据、格式和运算定义进行修改；工程量固化清单中的投标报价和投标函大写金额报价一致。</w:t>
            </w:r>
          </w:p>
          <w:p w14:paraId="56700A8D">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（7）不存在违反法律、法规的其他情形。</w:t>
            </w:r>
          </w:p>
        </w:tc>
      </w:tr>
      <w:tr w14:paraId="02BC4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17" w:type="pct"/>
            <w:vAlign w:val="center"/>
          </w:tcPr>
          <w:p w14:paraId="2707EADC">
            <w:pPr>
              <w:pStyle w:val="103"/>
              <w:spacing w:before="177"/>
              <w:ind w:left="282"/>
              <w:jc w:val="both"/>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2.1.2</w:t>
            </w:r>
          </w:p>
        </w:tc>
        <w:tc>
          <w:tcPr>
            <w:tcW w:w="641" w:type="pct"/>
            <w:tcBorders>
              <w:right w:val="single" w:color="000000" w:sz="6" w:space="0"/>
            </w:tcBorders>
            <w:vAlign w:val="center"/>
          </w:tcPr>
          <w:p w14:paraId="5459DFEF">
            <w:pPr>
              <w:pStyle w:val="103"/>
              <w:spacing w:line="338"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资格评审</w:t>
            </w:r>
          </w:p>
          <w:p w14:paraId="0424463F">
            <w:pPr>
              <w:pStyle w:val="103"/>
              <w:spacing w:line="338"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标准（第一个信封）</w:t>
            </w:r>
          </w:p>
        </w:tc>
        <w:tc>
          <w:tcPr>
            <w:tcW w:w="3840" w:type="pct"/>
            <w:gridSpan w:val="2"/>
            <w:tcBorders>
              <w:left w:val="single" w:color="000000" w:sz="6" w:space="0"/>
            </w:tcBorders>
          </w:tcPr>
          <w:p w14:paraId="307A8B11">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投标人具备有效的营业执照、组织机构代码证、资质证书、安全生产许可证和基本账户开户许可证或经基本账户开户银行出具的基本账户信息证明、投标人在国家企业信用信息公示系统中基础信息（体现股东及出资详细信息）的网页截图。</w:t>
            </w:r>
          </w:p>
          <w:p w14:paraId="5A373E2A">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（2）投标人的资质等级符合招标文件第二章“投标人须知”第 1.4.1项规定。</w:t>
            </w:r>
          </w:p>
          <w:p w14:paraId="769E95B0">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（3）投标人的财务状况符合招标文件第二章“投标人须知”第 1.4.1项规定。</w:t>
            </w:r>
          </w:p>
          <w:p w14:paraId="779BF07A">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（4）投标人的类似项目业绩符合招标文件第二章“投标人须知”第 1.4.1项规定。</w:t>
            </w:r>
          </w:p>
          <w:p w14:paraId="60EFA0A4">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（5）投标人的信誉符合招标文件第二章“投标人须知”第 1.4.1项规定。</w:t>
            </w:r>
          </w:p>
          <w:p w14:paraId="5C99FF28">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（6）投标人的项目经理和项目总工资格、在岗情况符合招标文件第二章“投标人须知”第 1.4.1项规定。</w:t>
            </w:r>
          </w:p>
          <w:p w14:paraId="0BEFF2E4">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（7）投标人不存在第二章“投标人须知”第1.4.3项或第1.4.4项规定的任何一种情形。</w:t>
            </w:r>
          </w:p>
          <w:p w14:paraId="1C938BFE">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(8)投标人符合第二章“投标人须知”第1.4.5项规定。</w:t>
            </w:r>
          </w:p>
          <w:p w14:paraId="4115811B">
            <w:pPr>
              <w:pStyle w:val="103"/>
              <w:spacing w:line="360" w:lineRule="atLeast"/>
              <w:ind w:left="108" w:right="93" w:firstLine="420"/>
              <w:jc w:val="left"/>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eastAsia="en-US"/>
              </w:rPr>
              <w:t>(</w:t>
            </w:r>
            <w:r>
              <w:rPr>
                <w:rFonts w:hint="eastAsia" w:ascii="宋体" w:hAnsi="宋体" w:eastAsia="宋体" w:cs="宋体"/>
                <w:color w:val="auto"/>
                <w:sz w:val="21"/>
                <w:szCs w:val="21"/>
                <w:highlight w:val="none"/>
                <w:lang w:val="en-US" w:eastAsia="en-US"/>
              </w:rPr>
              <w:t>9</w:t>
            </w:r>
            <w:r>
              <w:rPr>
                <w:rFonts w:hint="eastAsia" w:ascii="宋体" w:hAnsi="宋体" w:eastAsia="宋体" w:cs="宋体"/>
                <w:color w:val="auto"/>
                <w:sz w:val="21"/>
                <w:szCs w:val="21"/>
                <w:highlight w:val="none"/>
                <w:lang w:eastAsia="en-US"/>
              </w:rPr>
              <w:t>)以联合体形式参与投标的，联合体各方均未再以自己名义单独或参加其他联合体在同一标段中投标；独立参与投标的，投标人未同时参加联合体在同一标段中投标。</w:t>
            </w:r>
          </w:p>
          <w:p w14:paraId="13EDA5AE">
            <w:pPr>
              <w:pStyle w:val="103"/>
              <w:spacing w:line="360" w:lineRule="atLeast"/>
              <w:ind w:left="108" w:right="93" w:firstLine="42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w:t>
            </w:r>
            <w:r>
              <w:rPr>
                <w:rFonts w:hint="eastAsia" w:ascii="宋体" w:hAnsi="宋体" w:eastAsia="宋体" w:cs="宋体"/>
                <w:color w:val="auto"/>
                <w:sz w:val="21"/>
                <w:szCs w:val="21"/>
                <w:highlight w:val="none"/>
                <w:lang w:val="en-US" w:eastAsia="en-US"/>
              </w:rPr>
              <w:t>10</w:t>
            </w:r>
            <w:r>
              <w:rPr>
                <w:rFonts w:hint="eastAsia" w:ascii="宋体" w:hAnsi="宋体" w:eastAsia="宋体" w:cs="宋体"/>
                <w:color w:val="auto"/>
                <w:sz w:val="21"/>
                <w:szCs w:val="21"/>
                <w:highlight w:val="none"/>
                <w:lang w:eastAsia="en-US"/>
              </w:rPr>
              <w:t>)不存在违反法律、法规的其他情形。</w:t>
            </w:r>
          </w:p>
        </w:tc>
      </w:tr>
      <w:tr w14:paraId="2470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479" w:hRule="atLeast"/>
        </w:trPr>
        <w:tc>
          <w:tcPr>
            <w:tcW w:w="1159" w:type="pct"/>
            <w:gridSpan w:val="2"/>
            <w:vAlign w:val="center"/>
          </w:tcPr>
          <w:p w14:paraId="30871548">
            <w:pPr>
              <w:pStyle w:val="103"/>
              <w:spacing w:line="250" w:lineRule="exact"/>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条款号</w:t>
            </w:r>
          </w:p>
        </w:tc>
        <w:tc>
          <w:tcPr>
            <w:tcW w:w="869" w:type="pct"/>
            <w:vAlign w:val="center"/>
          </w:tcPr>
          <w:p w14:paraId="11D4ABC6">
            <w:pPr>
              <w:pStyle w:val="103"/>
              <w:spacing w:line="250" w:lineRule="exact"/>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条款内容</w:t>
            </w:r>
          </w:p>
        </w:tc>
        <w:tc>
          <w:tcPr>
            <w:tcW w:w="2971" w:type="pct"/>
            <w:vAlign w:val="center"/>
          </w:tcPr>
          <w:p w14:paraId="39582D4D">
            <w:pPr>
              <w:pStyle w:val="103"/>
              <w:spacing w:before="89" w:line="250" w:lineRule="exact"/>
              <w:ind w:left="2109" w:right="2097"/>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编列内容</w:t>
            </w:r>
          </w:p>
        </w:tc>
      </w:tr>
      <w:tr w14:paraId="68C4C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trPr>
        <w:tc>
          <w:tcPr>
            <w:tcW w:w="1159" w:type="pct"/>
            <w:gridSpan w:val="2"/>
            <w:vAlign w:val="center"/>
          </w:tcPr>
          <w:p w14:paraId="0AC0C6CC">
            <w:pPr>
              <w:pStyle w:val="103"/>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2.2.1</w:t>
            </w:r>
          </w:p>
        </w:tc>
        <w:tc>
          <w:tcPr>
            <w:tcW w:w="869" w:type="pct"/>
            <w:vAlign w:val="center"/>
          </w:tcPr>
          <w:p w14:paraId="5C1C0634">
            <w:pPr>
              <w:pStyle w:val="103"/>
              <w:spacing w:line="400" w:lineRule="exac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第一个信封</w:t>
            </w:r>
          </w:p>
          <w:p w14:paraId="2F6185C1">
            <w:pPr>
              <w:pStyle w:val="103"/>
              <w:spacing w:line="400" w:lineRule="exac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评分分值构成(总分100分)</w:t>
            </w:r>
          </w:p>
        </w:tc>
        <w:tc>
          <w:tcPr>
            <w:tcW w:w="2971" w:type="pct"/>
            <w:vAlign w:val="center"/>
          </w:tcPr>
          <w:p w14:paraId="6167E1EA">
            <w:pPr>
              <w:pStyle w:val="103"/>
              <w:spacing w:line="360" w:lineRule="atLeast"/>
              <w:ind w:right="9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评分内容和权重分值划分：</w:t>
            </w:r>
          </w:p>
          <w:p w14:paraId="071A824C">
            <w:pPr>
              <w:pStyle w:val="103"/>
              <w:spacing w:line="360" w:lineRule="atLeast"/>
              <w:ind w:right="9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1.施工组织设计40分</w:t>
            </w:r>
          </w:p>
          <w:p w14:paraId="1C26313A">
            <w:pPr>
              <w:pStyle w:val="103"/>
              <w:spacing w:line="360" w:lineRule="atLeast"/>
              <w:ind w:right="9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2.主要人员：25分；</w:t>
            </w:r>
          </w:p>
          <w:p w14:paraId="287AA4AE">
            <w:pPr>
              <w:pStyle w:val="103"/>
              <w:spacing w:line="360" w:lineRule="atLeast"/>
              <w:ind w:right="93"/>
              <w:jc w:val="left"/>
              <w:rPr>
                <w:rFonts w:hint="eastAsia"/>
                <w:color w:val="auto"/>
                <w:sz w:val="21"/>
                <w:szCs w:val="21"/>
                <w:highlight w:val="none"/>
                <w:lang w:eastAsia="en-US"/>
              </w:rPr>
            </w:pPr>
            <w:r>
              <w:rPr>
                <w:rFonts w:hint="eastAsia"/>
                <w:color w:val="auto"/>
                <w:sz w:val="21"/>
                <w:szCs w:val="21"/>
                <w:highlight w:val="none"/>
                <w:lang w:eastAsia="en-US"/>
              </w:rPr>
              <w:t>3.其他评分因素：35分，其中：</w:t>
            </w:r>
          </w:p>
          <w:p w14:paraId="745909CF">
            <w:pPr>
              <w:pStyle w:val="103"/>
              <w:spacing w:line="360" w:lineRule="atLeast"/>
              <w:ind w:right="93"/>
              <w:jc w:val="left"/>
              <w:rPr>
                <w:rFonts w:hint="eastAsia"/>
                <w:color w:val="auto"/>
                <w:sz w:val="21"/>
                <w:szCs w:val="21"/>
                <w:highlight w:val="none"/>
                <w:lang w:eastAsia="en-US"/>
              </w:rPr>
            </w:pPr>
            <w:r>
              <w:rPr>
                <w:rFonts w:hint="eastAsia"/>
                <w:color w:val="auto"/>
                <w:sz w:val="21"/>
                <w:szCs w:val="21"/>
                <w:highlight w:val="none"/>
                <w:lang w:eastAsia="en-US"/>
              </w:rPr>
              <w:t>（1）技术能力：10分；</w:t>
            </w:r>
          </w:p>
          <w:p w14:paraId="69B347DF">
            <w:pPr>
              <w:pStyle w:val="103"/>
              <w:spacing w:line="360" w:lineRule="atLeast"/>
              <w:ind w:right="93"/>
              <w:jc w:val="left"/>
              <w:rPr>
                <w:rFonts w:hint="eastAsia"/>
                <w:color w:val="auto"/>
                <w:sz w:val="21"/>
                <w:szCs w:val="21"/>
                <w:highlight w:val="none"/>
                <w:lang w:eastAsia="en-US"/>
              </w:rPr>
            </w:pPr>
            <w:r>
              <w:rPr>
                <w:rFonts w:hint="eastAsia"/>
                <w:color w:val="auto"/>
                <w:sz w:val="21"/>
                <w:szCs w:val="21"/>
                <w:highlight w:val="none"/>
                <w:lang w:eastAsia="en-US"/>
              </w:rPr>
              <w:t>（2）履约信誉：25分，包括：</w:t>
            </w:r>
          </w:p>
          <w:p w14:paraId="632C2F31">
            <w:pPr>
              <w:pStyle w:val="103"/>
              <w:spacing w:line="360" w:lineRule="atLeast"/>
              <w:ind w:right="93"/>
              <w:jc w:val="left"/>
              <w:rPr>
                <w:rFonts w:hint="eastAsia"/>
                <w:color w:val="auto"/>
                <w:sz w:val="21"/>
                <w:szCs w:val="21"/>
                <w:highlight w:val="none"/>
                <w:lang w:eastAsia="en-US"/>
              </w:rPr>
            </w:pPr>
            <w:r>
              <w:rPr>
                <w:rFonts w:hint="eastAsia"/>
                <w:color w:val="auto"/>
                <w:sz w:val="21"/>
                <w:szCs w:val="21"/>
                <w:highlight w:val="none"/>
                <w:lang w:eastAsia="en-US"/>
              </w:rPr>
              <w:t>1）信用评价：5分；</w:t>
            </w:r>
          </w:p>
          <w:p w14:paraId="40D73BEE">
            <w:pPr>
              <w:pStyle w:val="103"/>
              <w:spacing w:line="360" w:lineRule="atLeast"/>
              <w:ind w:right="93"/>
              <w:jc w:val="left"/>
              <w:rPr>
                <w:rFonts w:hint="eastAsia"/>
                <w:color w:val="auto"/>
                <w:sz w:val="21"/>
                <w:szCs w:val="21"/>
                <w:highlight w:val="none"/>
                <w:lang w:eastAsia="en-US"/>
              </w:rPr>
            </w:pPr>
            <w:r>
              <w:rPr>
                <w:rFonts w:hint="eastAsia"/>
                <w:color w:val="auto"/>
                <w:sz w:val="21"/>
                <w:szCs w:val="21"/>
                <w:highlight w:val="none"/>
                <w:lang w:eastAsia="en-US"/>
              </w:rPr>
              <w:t>2）企业业绩：</w:t>
            </w:r>
            <w:r>
              <w:rPr>
                <w:rFonts w:hint="eastAsia"/>
                <w:color w:val="auto"/>
                <w:sz w:val="21"/>
                <w:szCs w:val="21"/>
                <w:highlight w:val="none"/>
                <w:lang w:val="en-US" w:eastAsia="zh-CN"/>
              </w:rPr>
              <w:t>20</w:t>
            </w:r>
            <w:r>
              <w:rPr>
                <w:rFonts w:hint="eastAsia"/>
                <w:color w:val="auto"/>
                <w:sz w:val="21"/>
                <w:szCs w:val="21"/>
                <w:highlight w:val="none"/>
                <w:lang w:eastAsia="en-US"/>
              </w:rPr>
              <w:t>分。</w:t>
            </w:r>
          </w:p>
          <w:p w14:paraId="787EB24C">
            <w:pPr>
              <w:pStyle w:val="103"/>
              <w:spacing w:line="360" w:lineRule="atLeast"/>
              <w:ind w:right="9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具体的评分标准见评标办法附件（第一个信封评分标准）</w:t>
            </w:r>
          </w:p>
        </w:tc>
      </w:tr>
      <w:tr w14:paraId="2A0D7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116" w:hRule="atLeast"/>
        </w:trPr>
        <w:tc>
          <w:tcPr>
            <w:tcW w:w="1159" w:type="pct"/>
            <w:gridSpan w:val="2"/>
            <w:vAlign w:val="center"/>
          </w:tcPr>
          <w:p w14:paraId="37ED349A">
            <w:pPr>
              <w:pStyle w:val="103"/>
              <w:spacing w:before="1"/>
              <w:ind w:left="678" w:right="669"/>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2.2.3</w:t>
            </w:r>
          </w:p>
        </w:tc>
        <w:tc>
          <w:tcPr>
            <w:tcW w:w="869" w:type="pct"/>
            <w:vAlign w:val="center"/>
          </w:tcPr>
          <w:p w14:paraId="3CBC7729">
            <w:pPr>
              <w:pStyle w:val="103"/>
              <w:spacing w:before="128" w:line="321" w:lineRule="auto"/>
              <w:ind w:left="124" w:right="11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第二个信封详细评审标准</w:t>
            </w:r>
          </w:p>
        </w:tc>
        <w:tc>
          <w:tcPr>
            <w:tcW w:w="2971" w:type="pct"/>
            <w:vAlign w:val="center"/>
          </w:tcPr>
          <w:p w14:paraId="33B62720">
            <w:pPr>
              <w:pStyle w:val="103"/>
              <w:spacing w:line="360" w:lineRule="atLeast"/>
              <w:ind w:right="93"/>
              <w:jc w:val="both"/>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评标价计算公式：</w:t>
            </w:r>
          </w:p>
          <w:p w14:paraId="32F0F543">
            <w:pPr>
              <w:pStyle w:val="103"/>
              <w:spacing w:line="360" w:lineRule="atLeast"/>
              <w:ind w:right="93"/>
              <w:jc w:val="both"/>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评标价＝投标函文字报价</w:t>
            </w:r>
          </w:p>
        </w:tc>
      </w:tr>
      <w:tr w14:paraId="24724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895" w:hRule="atLeast"/>
        </w:trPr>
        <w:tc>
          <w:tcPr>
            <w:tcW w:w="1159" w:type="pct"/>
            <w:gridSpan w:val="2"/>
            <w:vAlign w:val="center"/>
          </w:tcPr>
          <w:p w14:paraId="03093D55">
            <w:pPr>
              <w:pStyle w:val="103"/>
              <w:ind w:left="673" w:right="661"/>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val="en-US" w:eastAsia="en-US"/>
              </w:rPr>
              <w:t>2</w:t>
            </w:r>
            <w:r>
              <w:rPr>
                <w:rFonts w:hint="eastAsia" w:ascii="宋体" w:hAnsi="宋体" w:eastAsia="宋体" w:cs="宋体"/>
                <w:color w:val="auto"/>
                <w:sz w:val="21"/>
                <w:szCs w:val="21"/>
                <w:highlight w:val="none"/>
                <w:lang w:eastAsia="en-US"/>
              </w:rPr>
              <w:t>.2.4</w:t>
            </w:r>
          </w:p>
        </w:tc>
        <w:tc>
          <w:tcPr>
            <w:tcW w:w="869" w:type="pct"/>
            <w:vAlign w:val="center"/>
          </w:tcPr>
          <w:p w14:paraId="50D3B208">
            <w:pPr>
              <w:pStyle w:val="103"/>
              <w:spacing w:line="360" w:lineRule="exact"/>
              <w:ind w:left="125" w:right="113"/>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通过第一个信封详细评审的投标人数量</w:t>
            </w:r>
          </w:p>
        </w:tc>
        <w:tc>
          <w:tcPr>
            <w:tcW w:w="2971" w:type="pct"/>
            <w:vAlign w:val="center"/>
          </w:tcPr>
          <w:p w14:paraId="40BAE481">
            <w:pPr>
              <w:pStyle w:val="103"/>
              <w:spacing w:line="249" w:lineRule="exact"/>
              <w:ind w:left="108"/>
              <w:jc w:val="both"/>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按照投标人的商务和技术综合得分由高到低的顺序排序，选择前3名通过详细评审。</w:t>
            </w:r>
          </w:p>
        </w:tc>
      </w:tr>
      <w:tr w14:paraId="5EBFE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895" w:hRule="atLeast"/>
        </w:trPr>
        <w:tc>
          <w:tcPr>
            <w:tcW w:w="5000" w:type="pct"/>
            <w:gridSpan w:val="4"/>
            <w:vAlign w:val="center"/>
          </w:tcPr>
          <w:p w14:paraId="0DA61C25">
            <w:pPr>
              <w:pStyle w:val="103"/>
              <w:spacing w:line="360" w:lineRule="exact"/>
              <w:ind w:left="125" w:right="11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3.10需要补充的其他内容：</w:t>
            </w:r>
          </w:p>
          <w:p w14:paraId="3766283D">
            <w:pPr>
              <w:pStyle w:val="103"/>
              <w:spacing w:line="360" w:lineRule="exact"/>
              <w:ind w:left="125" w:right="11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3.10.1投标人的商务和技术得分相同时，评标委员会依次按照以下优先顺序确定通过第一个信封（商务及技术文件）详细评审的投标人名单：</w:t>
            </w:r>
          </w:p>
          <w:p w14:paraId="61D88522">
            <w:pPr>
              <w:pStyle w:val="103"/>
              <w:spacing w:line="360" w:lineRule="exact"/>
              <w:ind w:left="125" w:right="11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en-US"/>
              </w:rPr>
              <w:t>年被黑龙江省交通运输厅或202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en-US"/>
              </w:rPr>
              <w:t>年被交通运输部评为较高信用等级的投标人优先（如果省级和部级评价等级不一致，以最高的信用评价等级认定），应附投标人</w:t>
            </w:r>
            <w:r>
              <w:rPr>
                <w:rFonts w:hint="eastAsia" w:ascii="宋体" w:hAnsi="宋体" w:eastAsia="宋体" w:cs="宋体"/>
                <w:color w:val="auto"/>
                <w:sz w:val="21"/>
                <w:szCs w:val="21"/>
                <w:highlight w:val="none"/>
                <w:lang w:eastAsia="zh-CN"/>
              </w:rPr>
              <w:t>2023年度</w:t>
            </w:r>
            <w:r>
              <w:rPr>
                <w:rFonts w:hint="eastAsia" w:ascii="宋体" w:hAnsi="宋体" w:eastAsia="宋体" w:cs="宋体"/>
                <w:color w:val="auto"/>
                <w:sz w:val="21"/>
                <w:szCs w:val="21"/>
                <w:highlight w:val="none"/>
                <w:lang w:eastAsia="en-US"/>
              </w:rPr>
              <w:t>黑龙江省交通运输厅或交通运输部公路企业信用评价等级证明材料。</w:t>
            </w:r>
          </w:p>
          <w:p w14:paraId="5DDF44CE">
            <w:pPr>
              <w:pStyle w:val="103"/>
              <w:spacing w:line="360" w:lineRule="exact"/>
              <w:ind w:left="125" w:right="11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（2）商务和技术得分较高的投标人优先；</w:t>
            </w:r>
          </w:p>
          <w:p w14:paraId="0D078D97">
            <w:pPr>
              <w:pStyle w:val="103"/>
              <w:spacing w:line="360" w:lineRule="exact"/>
              <w:ind w:left="125" w:right="11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（3）投标人的2023年营业额高的优先；</w:t>
            </w:r>
          </w:p>
          <w:p w14:paraId="5CAEEBE4">
            <w:pPr>
              <w:pStyle w:val="103"/>
              <w:spacing w:line="360" w:lineRule="exact"/>
              <w:ind w:left="125" w:right="113"/>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3.10.2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tc>
      </w:tr>
    </w:tbl>
    <w:p w14:paraId="47F168BA">
      <w:pPr>
        <w:rPr>
          <w:rFonts w:hint="eastAsia" w:ascii="宋体" w:hAnsi="宋体" w:eastAsia="宋体" w:cs="宋体"/>
          <w:color w:val="auto"/>
          <w:highlight w:val="none"/>
        </w:rPr>
        <w:sectPr>
          <w:headerReference r:id="rId3" w:type="default"/>
          <w:footerReference r:id="rId4" w:type="default"/>
          <w:pgSz w:w="11911" w:h="16849"/>
          <w:pgMar w:top="1440" w:right="1803" w:bottom="1440" w:left="1803" w:header="737" w:footer="737" w:gutter="0"/>
          <w:pgNumType w:fmt="decimal"/>
          <w:cols w:space="0" w:num="1"/>
          <w:rtlGutter w:val="0"/>
          <w:docGrid w:linePitch="0" w:charSpace="0"/>
        </w:sectPr>
      </w:pPr>
      <w:bookmarkStart w:id="18" w:name="_GoBack"/>
      <w:bookmarkEnd w:id="18"/>
    </w:p>
    <w:p w14:paraId="0D610DCB">
      <w:pPr>
        <w:widowControl/>
        <w:jc w:val="center"/>
        <w:rPr>
          <w:rFonts w:hint="eastAsia" w:ascii="宋体" w:hAnsi="宋体" w:eastAsia="宋体" w:cs="宋体"/>
          <w:b/>
          <w:color w:val="auto"/>
          <w:highlight w:val="none"/>
        </w:rPr>
      </w:pPr>
      <w:r>
        <w:rPr>
          <w:rFonts w:hint="eastAsia" w:ascii="宋体" w:hAnsi="宋体" w:eastAsia="宋体" w:cs="宋体"/>
          <w:b/>
          <w:color w:val="auto"/>
          <w:sz w:val="30"/>
          <w:szCs w:val="30"/>
          <w:highlight w:val="none"/>
        </w:rPr>
        <w:t>第一个信封评审评分标准</w:t>
      </w:r>
    </w:p>
    <w:tbl>
      <w:tblPr>
        <w:tblStyle w:val="39"/>
        <w:tblpPr w:leftFromText="180" w:rightFromText="180" w:vertAnchor="text" w:horzAnchor="page" w:tblpX="1625" w:tblpY="611"/>
        <w:tblOverlap w:val="never"/>
        <w:tblW w:w="4998"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666"/>
        <w:gridCol w:w="396"/>
        <w:gridCol w:w="577"/>
        <w:gridCol w:w="840"/>
        <w:gridCol w:w="1082"/>
        <w:gridCol w:w="586"/>
        <w:gridCol w:w="4371"/>
      </w:tblGrid>
      <w:tr w14:paraId="1BE8FD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0" w:type="pct"/>
            <w:vMerge w:val="restart"/>
            <w:tcBorders>
              <w:right w:val="single" w:color="auto" w:sz="4" w:space="0"/>
            </w:tcBorders>
            <w:vAlign w:val="center"/>
          </w:tcPr>
          <w:p w14:paraId="42E777AF">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条</w:t>
            </w:r>
          </w:p>
          <w:p w14:paraId="634DDF92">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款</w:t>
            </w:r>
          </w:p>
          <w:p w14:paraId="691B4636">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号</w:t>
            </w:r>
          </w:p>
        </w:tc>
        <w:tc>
          <w:tcPr>
            <w:tcW w:w="2043" w:type="pct"/>
            <w:gridSpan w:val="5"/>
            <w:tcBorders>
              <w:left w:val="single" w:color="auto" w:sz="4" w:space="0"/>
              <w:right w:val="single" w:color="auto" w:sz="4" w:space="0"/>
            </w:tcBorders>
            <w:vAlign w:val="center"/>
          </w:tcPr>
          <w:p w14:paraId="0AE3801A">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评分因素与权重分值</w:t>
            </w:r>
          </w:p>
        </w:tc>
        <w:tc>
          <w:tcPr>
            <w:tcW w:w="2565" w:type="pct"/>
            <w:vMerge w:val="restart"/>
            <w:vAlign w:val="center"/>
          </w:tcPr>
          <w:p w14:paraId="6638DF95">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评分标准</w:t>
            </w:r>
          </w:p>
        </w:tc>
      </w:tr>
      <w:tr w14:paraId="78BE5B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390" w:type="pct"/>
            <w:vMerge w:val="continue"/>
            <w:tcBorders>
              <w:right w:val="single" w:color="auto" w:sz="4" w:space="0"/>
            </w:tcBorders>
            <w:vAlign w:val="center"/>
          </w:tcPr>
          <w:p w14:paraId="2806E3C0">
            <w:pPr>
              <w:spacing w:line="0" w:lineRule="atLeast"/>
              <w:jc w:val="center"/>
              <w:rPr>
                <w:rFonts w:hint="eastAsia" w:ascii="宋体" w:hAnsi="宋体" w:eastAsia="宋体" w:cs="宋体"/>
                <w:color w:val="auto"/>
                <w:sz w:val="18"/>
                <w:szCs w:val="18"/>
                <w:highlight w:val="none"/>
              </w:rPr>
            </w:pPr>
          </w:p>
        </w:tc>
        <w:tc>
          <w:tcPr>
            <w:tcW w:w="571" w:type="pct"/>
            <w:gridSpan w:val="2"/>
            <w:tcBorders>
              <w:left w:val="single" w:color="auto" w:sz="4" w:space="0"/>
            </w:tcBorders>
            <w:vAlign w:val="center"/>
          </w:tcPr>
          <w:p w14:paraId="24A5967F">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评分因素</w:t>
            </w:r>
          </w:p>
        </w:tc>
        <w:tc>
          <w:tcPr>
            <w:tcW w:w="493" w:type="pct"/>
            <w:vAlign w:val="center"/>
          </w:tcPr>
          <w:p w14:paraId="4545E9BA">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评分因素权重分值</w:t>
            </w:r>
          </w:p>
        </w:tc>
        <w:tc>
          <w:tcPr>
            <w:tcW w:w="635" w:type="pct"/>
            <w:vAlign w:val="center"/>
          </w:tcPr>
          <w:p w14:paraId="3E9FE87F">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各评分因素</w:t>
            </w:r>
          </w:p>
          <w:p w14:paraId="647DD962">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细分项</w:t>
            </w:r>
          </w:p>
        </w:tc>
        <w:tc>
          <w:tcPr>
            <w:tcW w:w="343" w:type="pct"/>
            <w:tcBorders>
              <w:right w:val="single" w:color="auto" w:sz="4" w:space="0"/>
            </w:tcBorders>
            <w:vAlign w:val="center"/>
          </w:tcPr>
          <w:p w14:paraId="03549575">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分值</w:t>
            </w:r>
          </w:p>
        </w:tc>
        <w:tc>
          <w:tcPr>
            <w:tcW w:w="2565" w:type="pct"/>
            <w:vMerge w:val="continue"/>
            <w:vAlign w:val="center"/>
          </w:tcPr>
          <w:p w14:paraId="42FDFB91">
            <w:pPr>
              <w:spacing w:line="0" w:lineRule="atLeast"/>
              <w:jc w:val="center"/>
              <w:rPr>
                <w:rFonts w:hint="eastAsia" w:ascii="宋体" w:hAnsi="宋体" w:eastAsia="宋体" w:cs="宋体"/>
                <w:color w:val="auto"/>
                <w:sz w:val="18"/>
                <w:szCs w:val="18"/>
                <w:highlight w:val="none"/>
              </w:rPr>
            </w:pPr>
          </w:p>
        </w:tc>
      </w:tr>
      <w:tr w14:paraId="7E9240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77" w:hRule="atLeast"/>
        </w:trPr>
        <w:tc>
          <w:tcPr>
            <w:tcW w:w="390" w:type="pct"/>
            <w:vMerge w:val="restart"/>
            <w:tcBorders>
              <w:right w:val="single" w:color="auto" w:sz="4" w:space="0"/>
            </w:tcBorders>
            <w:vAlign w:val="center"/>
          </w:tcPr>
          <w:p w14:paraId="557D570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2.2.2（1）</w:t>
            </w:r>
          </w:p>
        </w:tc>
        <w:tc>
          <w:tcPr>
            <w:tcW w:w="571" w:type="pct"/>
            <w:gridSpan w:val="2"/>
            <w:vMerge w:val="restart"/>
            <w:tcBorders>
              <w:left w:val="single" w:color="auto" w:sz="4" w:space="0"/>
            </w:tcBorders>
            <w:vAlign w:val="center"/>
          </w:tcPr>
          <w:p w14:paraId="4AF9ED9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施工组织设计</w:t>
            </w:r>
          </w:p>
        </w:tc>
        <w:tc>
          <w:tcPr>
            <w:tcW w:w="493" w:type="pct"/>
            <w:vMerge w:val="restart"/>
            <w:vAlign w:val="center"/>
          </w:tcPr>
          <w:p w14:paraId="069E83D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40分</w:t>
            </w:r>
          </w:p>
        </w:tc>
        <w:tc>
          <w:tcPr>
            <w:tcW w:w="635" w:type="pct"/>
            <w:vAlign w:val="center"/>
          </w:tcPr>
          <w:p w14:paraId="298CC657">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施工总体计划</w:t>
            </w:r>
          </w:p>
        </w:tc>
        <w:tc>
          <w:tcPr>
            <w:tcW w:w="343" w:type="pct"/>
            <w:tcBorders>
              <w:right w:val="single" w:color="auto" w:sz="4" w:space="0"/>
            </w:tcBorders>
            <w:vAlign w:val="center"/>
          </w:tcPr>
          <w:p w14:paraId="41C964D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565" w:type="pct"/>
            <w:vAlign w:val="center"/>
          </w:tcPr>
          <w:p w14:paraId="72B9C8C1">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项目进度计划、质量目标、工期目标、安全目标详细程度、合理性、针对性一般的，得4.8分；</w:t>
            </w:r>
          </w:p>
          <w:p w14:paraId="242E1C7D">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2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②</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项目进度计划、质量目标、工期目标、安全目标详细程度、合理性、针对性较好的，得4.8</w:t>
            </w:r>
            <w:r>
              <w:rPr>
                <w:rFonts w:hint="eastAsia" w:ascii="宋体" w:hAnsi="宋体" w:eastAsia="宋体" w:cs="宋体"/>
                <w:color w:val="auto"/>
                <w:highlight w:val="none"/>
              </w:rPr>
              <w:t>～</w:t>
            </w:r>
            <w:r>
              <w:rPr>
                <w:rFonts w:hint="eastAsia" w:ascii="宋体" w:hAnsi="宋体" w:eastAsia="宋体" w:cs="宋体"/>
                <w:color w:val="auto"/>
                <w:sz w:val="18"/>
                <w:szCs w:val="18"/>
                <w:highlight w:val="none"/>
              </w:rPr>
              <w:t>6.4分；</w:t>
            </w:r>
          </w:p>
          <w:p w14:paraId="6949587B">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3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③</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项目进度计划、质量目标、工期目标、安全目标详细程度、合理性、针对性好的，得6.4</w:t>
            </w:r>
            <w:r>
              <w:rPr>
                <w:rFonts w:hint="eastAsia" w:ascii="宋体" w:hAnsi="宋体" w:eastAsia="宋体" w:cs="宋体"/>
                <w:color w:val="auto"/>
                <w:highlight w:val="none"/>
              </w:rPr>
              <w:t>～</w:t>
            </w:r>
            <w:r>
              <w:rPr>
                <w:rFonts w:hint="eastAsia" w:ascii="宋体" w:hAnsi="宋体" w:eastAsia="宋体" w:cs="宋体"/>
                <w:color w:val="auto"/>
                <w:sz w:val="18"/>
                <w:szCs w:val="18"/>
                <w:highlight w:val="none"/>
              </w:rPr>
              <w:t>8分。</w:t>
            </w:r>
          </w:p>
        </w:tc>
      </w:tr>
      <w:tr w14:paraId="4E1D71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13" w:hRule="atLeast"/>
        </w:trPr>
        <w:tc>
          <w:tcPr>
            <w:tcW w:w="390" w:type="pct"/>
            <w:vMerge w:val="continue"/>
            <w:tcBorders>
              <w:right w:val="single" w:color="auto" w:sz="4" w:space="0"/>
            </w:tcBorders>
            <w:vAlign w:val="center"/>
          </w:tcPr>
          <w:p w14:paraId="7470B69F">
            <w:pPr>
              <w:jc w:val="center"/>
              <w:rPr>
                <w:rFonts w:hint="eastAsia" w:ascii="宋体" w:hAnsi="宋体" w:eastAsia="宋体" w:cs="宋体"/>
                <w:color w:val="auto"/>
                <w:sz w:val="18"/>
                <w:szCs w:val="18"/>
                <w:highlight w:val="none"/>
              </w:rPr>
            </w:pPr>
          </w:p>
        </w:tc>
        <w:tc>
          <w:tcPr>
            <w:tcW w:w="571" w:type="pct"/>
            <w:gridSpan w:val="2"/>
            <w:vMerge w:val="continue"/>
            <w:tcBorders>
              <w:left w:val="single" w:color="auto" w:sz="4" w:space="0"/>
            </w:tcBorders>
            <w:vAlign w:val="center"/>
          </w:tcPr>
          <w:p w14:paraId="03037AD0">
            <w:pPr>
              <w:jc w:val="center"/>
              <w:rPr>
                <w:rFonts w:hint="eastAsia" w:ascii="宋体" w:hAnsi="宋体" w:eastAsia="宋体" w:cs="宋体"/>
                <w:color w:val="auto"/>
                <w:sz w:val="18"/>
                <w:szCs w:val="18"/>
                <w:highlight w:val="none"/>
              </w:rPr>
            </w:pPr>
          </w:p>
        </w:tc>
        <w:tc>
          <w:tcPr>
            <w:tcW w:w="493" w:type="pct"/>
            <w:vMerge w:val="continue"/>
            <w:vAlign w:val="center"/>
          </w:tcPr>
          <w:p w14:paraId="5952F1F1">
            <w:pPr>
              <w:jc w:val="center"/>
              <w:rPr>
                <w:rFonts w:hint="eastAsia" w:ascii="宋体" w:hAnsi="宋体" w:eastAsia="宋体" w:cs="宋体"/>
                <w:color w:val="auto"/>
                <w:sz w:val="18"/>
                <w:szCs w:val="18"/>
                <w:highlight w:val="none"/>
              </w:rPr>
            </w:pPr>
          </w:p>
        </w:tc>
        <w:tc>
          <w:tcPr>
            <w:tcW w:w="635" w:type="pct"/>
            <w:vAlign w:val="center"/>
          </w:tcPr>
          <w:p w14:paraId="75628489">
            <w:pPr>
              <w:spacing w:line="0" w:lineRule="atLeast"/>
              <w:jc w:val="center"/>
              <w:rPr>
                <w:rFonts w:hint="eastAsia" w:ascii="宋体" w:hAnsi="宋体" w:eastAsia="宋体" w:cs="宋体"/>
                <w:color w:val="auto"/>
                <w:w w:val="98"/>
                <w:highlight w:val="none"/>
              </w:rPr>
            </w:pPr>
            <w:r>
              <w:rPr>
                <w:rFonts w:hint="eastAsia" w:ascii="宋体" w:hAnsi="宋体" w:eastAsia="宋体" w:cs="宋体"/>
                <w:color w:val="auto"/>
                <w:sz w:val="18"/>
                <w:szCs w:val="18"/>
                <w:highlight w:val="none"/>
              </w:rPr>
              <w:t>重点、关键和难点工程的施工方案、方法与技术措施</w:t>
            </w:r>
          </w:p>
        </w:tc>
        <w:tc>
          <w:tcPr>
            <w:tcW w:w="343" w:type="pct"/>
            <w:tcBorders>
              <w:right w:val="single" w:color="auto" w:sz="4" w:space="0"/>
            </w:tcBorders>
            <w:vAlign w:val="center"/>
          </w:tcPr>
          <w:p w14:paraId="6949495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2565" w:type="pct"/>
            <w:vAlign w:val="center"/>
          </w:tcPr>
          <w:p w14:paraId="24B9BE69">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重点、关键和难点工程的施工方案、方法与技术措施一般，得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w:t>
            </w:r>
          </w:p>
          <w:p w14:paraId="19167A9E">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2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②</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重点、关键和难点工程的施工方案、方法与技术措施比较详细、比较合理，操作性较强，得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分；</w:t>
            </w:r>
          </w:p>
          <w:p w14:paraId="56912B94">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3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③</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重点、关键和难点工程的施工方案、方法与技术措施详细、合理，操作性强，得</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sz w:val="18"/>
                <w:szCs w:val="18"/>
                <w:highlight w:val="none"/>
              </w:rPr>
              <w:t>10分。</w:t>
            </w:r>
          </w:p>
        </w:tc>
      </w:tr>
      <w:tr w14:paraId="547437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390" w:type="pct"/>
            <w:vMerge w:val="continue"/>
            <w:tcBorders>
              <w:right w:val="single" w:color="auto" w:sz="4" w:space="0"/>
            </w:tcBorders>
            <w:vAlign w:val="center"/>
          </w:tcPr>
          <w:p w14:paraId="5CB34C4F">
            <w:pPr>
              <w:jc w:val="center"/>
              <w:rPr>
                <w:rFonts w:hint="eastAsia" w:ascii="宋体" w:hAnsi="宋体" w:eastAsia="宋体" w:cs="宋体"/>
                <w:color w:val="auto"/>
                <w:sz w:val="18"/>
                <w:szCs w:val="18"/>
                <w:highlight w:val="none"/>
              </w:rPr>
            </w:pPr>
          </w:p>
        </w:tc>
        <w:tc>
          <w:tcPr>
            <w:tcW w:w="571" w:type="pct"/>
            <w:gridSpan w:val="2"/>
            <w:vMerge w:val="continue"/>
            <w:tcBorders>
              <w:left w:val="single" w:color="auto" w:sz="4" w:space="0"/>
            </w:tcBorders>
            <w:vAlign w:val="center"/>
          </w:tcPr>
          <w:p w14:paraId="4A2A3A4B">
            <w:pPr>
              <w:jc w:val="center"/>
              <w:rPr>
                <w:rFonts w:hint="eastAsia" w:ascii="宋体" w:hAnsi="宋体" w:eastAsia="宋体" w:cs="宋体"/>
                <w:color w:val="auto"/>
                <w:sz w:val="18"/>
                <w:szCs w:val="18"/>
                <w:highlight w:val="none"/>
              </w:rPr>
            </w:pPr>
          </w:p>
        </w:tc>
        <w:tc>
          <w:tcPr>
            <w:tcW w:w="493" w:type="pct"/>
            <w:vMerge w:val="continue"/>
            <w:vAlign w:val="center"/>
          </w:tcPr>
          <w:p w14:paraId="32275FF0">
            <w:pPr>
              <w:jc w:val="center"/>
              <w:rPr>
                <w:rFonts w:hint="eastAsia" w:ascii="宋体" w:hAnsi="宋体" w:eastAsia="宋体" w:cs="宋体"/>
                <w:color w:val="auto"/>
                <w:sz w:val="18"/>
                <w:szCs w:val="18"/>
                <w:highlight w:val="none"/>
              </w:rPr>
            </w:pPr>
          </w:p>
        </w:tc>
        <w:tc>
          <w:tcPr>
            <w:tcW w:w="635" w:type="pct"/>
            <w:vAlign w:val="center"/>
          </w:tcPr>
          <w:p w14:paraId="2FC98D51">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工期关键线路图及保证措施</w:t>
            </w:r>
          </w:p>
        </w:tc>
        <w:tc>
          <w:tcPr>
            <w:tcW w:w="343" w:type="pct"/>
            <w:tcBorders>
              <w:right w:val="single" w:color="auto" w:sz="4" w:space="0"/>
            </w:tcBorders>
            <w:vAlign w:val="center"/>
          </w:tcPr>
          <w:p w14:paraId="41DC343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565" w:type="pct"/>
            <w:vAlign w:val="center"/>
          </w:tcPr>
          <w:p w14:paraId="07D29290">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工期关键线路图及保证措施合理性、针对性一般的，得</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p w14:paraId="0B570E1F">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2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②</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工期关键线路图及保证措施合理性、针对性</w:t>
            </w:r>
            <w:r>
              <w:rPr>
                <w:rFonts w:hint="eastAsia" w:ascii="宋体" w:hAnsi="宋体" w:cs="宋体"/>
                <w:color w:val="auto"/>
                <w:sz w:val="18"/>
                <w:szCs w:val="18"/>
                <w:highlight w:val="none"/>
                <w:lang w:val="en-US" w:eastAsia="zh-CN"/>
              </w:rPr>
              <w:t>较好</w:t>
            </w:r>
            <w:r>
              <w:rPr>
                <w:rFonts w:hint="eastAsia" w:ascii="宋体" w:hAnsi="宋体" w:eastAsia="宋体" w:cs="宋体"/>
                <w:color w:val="auto"/>
                <w:sz w:val="18"/>
                <w:szCs w:val="18"/>
                <w:highlight w:val="none"/>
              </w:rPr>
              <w:t>的，得</w:t>
            </w:r>
            <w:r>
              <w:rPr>
                <w:rFonts w:hint="eastAsia" w:ascii="宋体" w:hAnsi="宋体" w:cs="宋体"/>
                <w:color w:val="auto"/>
                <w:sz w:val="18"/>
                <w:szCs w:val="18"/>
                <w:highlight w:val="none"/>
                <w:lang w:val="en-US" w:eastAsia="zh-CN"/>
              </w:rPr>
              <w:t>3</w:t>
            </w:r>
            <w:r>
              <w:rPr>
                <w:rFonts w:hint="eastAsia" w:ascii="宋体" w:hAnsi="宋体" w:eastAsia="宋体" w:cs="宋体"/>
                <w:color w:val="auto"/>
                <w:highlight w:val="none"/>
              </w:rPr>
              <w:t>～</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分；</w:t>
            </w:r>
          </w:p>
          <w:p w14:paraId="434BFB49">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3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③</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工期关键线路图及保证措施合理性、针对性</w:t>
            </w:r>
            <w:r>
              <w:rPr>
                <w:rFonts w:hint="eastAsia" w:ascii="宋体" w:hAnsi="宋体" w:cs="宋体"/>
                <w:color w:val="auto"/>
                <w:sz w:val="18"/>
                <w:szCs w:val="18"/>
                <w:highlight w:val="none"/>
                <w:lang w:val="en-US" w:eastAsia="zh-CN"/>
              </w:rPr>
              <w:t>好</w:t>
            </w:r>
            <w:r>
              <w:rPr>
                <w:rFonts w:hint="eastAsia" w:ascii="宋体" w:hAnsi="宋体" w:eastAsia="宋体" w:cs="宋体"/>
                <w:color w:val="auto"/>
                <w:sz w:val="18"/>
                <w:szCs w:val="18"/>
                <w:highlight w:val="none"/>
              </w:rPr>
              <w:t>的，得</w:t>
            </w:r>
            <w:r>
              <w:rPr>
                <w:rFonts w:hint="eastAsia" w:ascii="宋体" w:hAnsi="宋体" w:cs="宋体"/>
                <w:color w:val="auto"/>
                <w:sz w:val="18"/>
                <w:szCs w:val="18"/>
                <w:highlight w:val="none"/>
                <w:lang w:val="en-US" w:eastAsia="zh-CN"/>
              </w:rPr>
              <w:t>4</w:t>
            </w:r>
            <w:r>
              <w:rPr>
                <w:rFonts w:hint="eastAsia" w:ascii="宋体" w:hAnsi="宋体" w:eastAsia="宋体" w:cs="宋体"/>
                <w:color w:val="auto"/>
                <w:highlight w:val="none"/>
              </w:rPr>
              <w:t>～</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 xml:space="preserve">分。 </w:t>
            </w:r>
          </w:p>
        </w:tc>
      </w:tr>
      <w:tr w14:paraId="43F654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5" w:hRule="atLeast"/>
        </w:trPr>
        <w:tc>
          <w:tcPr>
            <w:tcW w:w="390" w:type="pct"/>
            <w:vMerge w:val="continue"/>
            <w:tcBorders>
              <w:right w:val="single" w:color="auto" w:sz="4" w:space="0"/>
            </w:tcBorders>
            <w:vAlign w:val="center"/>
          </w:tcPr>
          <w:p w14:paraId="180D0063">
            <w:pPr>
              <w:jc w:val="center"/>
              <w:rPr>
                <w:rFonts w:hint="eastAsia" w:ascii="宋体" w:hAnsi="宋体" w:eastAsia="宋体" w:cs="宋体"/>
                <w:color w:val="auto"/>
                <w:sz w:val="18"/>
                <w:szCs w:val="18"/>
                <w:highlight w:val="none"/>
              </w:rPr>
            </w:pPr>
          </w:p>
        </w:tc>
        <w:tc>
          <w:tcPr>
            <w:tcW w:w="571" w:type="pct"/>
            <w:gridSpan w:val="2"/>
            <w:vMerge w:val="continue"/>
            <w:tcBorders>
              <w:left w:val="single" w:color="auto" w:sz="4" w:space="0"/>
            </w:tcBorders>
            <w:vAlign w:val="center"/>
          </w:tcPr>
          <w:p w14:paraId="63C5BA1C">
            <w:pPr>
              <w:jc w:val="center"/>
              <w:rPr>
                <w:rFonts w:hint="eastAsia" w:ascii="宋体" w:hAnsi="宋体" w:eastAsia="宋体" w:cs="宋体"/>
                <w:color w:val="auto"/>
                <w:sz w:val="18"/>
                <w:szCs w:val="18"/>
                <w:highlight w:val="none"/>
              </w:rPr>
            </w:pPr>
          </w:p>
        </w:tc>
        <w:tc>
          <w:tcPr>
            <w:tcW w:w="493" w:type="pct"/>
            <w:vMerge w:val="continue"/>
            <w:vAlign w:val="center"/>
          </w:tcPr>
          <w:p w14:paraId="04E18297">
            <w:pPr>
              <w:jc w:val="center"/>
              <w:rPr>
                <w:rFonts w:hint="eastAsia" w:ascii="宋体" w:hAnsi="宋体" w:eastAsia="宋体" w:cs="宋体"/>
                <w:color w:val="auto"/>
                <w:sz w:val="18"/>
                <w:szCs w:val="18"/>
                <w:highlight w:val="none"/>
              </w:rPr>
            </w:pPr>
          </w:p>
        </w:tc>
        <w:tc>
          <w:tcPr>
            <w:tcW w:w="635" w:type="pct"/>
            <w:vAlign w:val="center"/>
          </w:tcPr>
          <w:p w14:paraId="1BC57F75">
            <w:pPr>
              <w:spacing w:line="0" w:lineRule="atLeast"/>
              <w:jc w:val="center"/>
              <w:rPr>
                <w:rFonts w:hint="eastAsia" w:ascii="宋体" w:hAnsi="宋体" w:eastAsia="宋体" w:cs="宋体"/>
                <w:color w:val="auto"/>
                <w:w w:val="98"/>
                <w:highlight w:val="none"/>
              </w:rPr>
            </w:pPr>
            <w:r>
              <w:rPr>
                <w:rFonts w:hint="eastAsia" w:ascii="宋体" w:hAnsi="宋体" w:eastAsia="宋体" w:cs="宋体"/>
                <w:color w:val="auto"/>
                <w:sz w:val="18"/>
                <w:szCs w:val="18"/>
                <w:highlight w:val="none"/>
              </w:rPr>
              <w:t>质量、安全、环保、文明施工、进度保证措施及合理化建议</w:t>
            </w:r>
          </w:p>
        </w:tc>
        <w:tc>
          <w:tcPr>
            <w:tcW w:w="343" w:type="pct"/>
            <w:tcBorders>
              <w:right w:val="single" w:color="auto" w:sz="4" w:space="0"/>
            </w:tcBorders>
            <w:vAlign w:val="center"/>
          </w:tcPr>
          <w:p w14:paraId="07CF3B5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2565" w:type="pct"/>
            <w:vAlign w:val="center"/>
          </w:tcPr>
          <w:p w14:paraId="3766790D">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质量、安全、环保、文明施工、进度保证措施及合理化建议详细程度、合理性、针对性一般的，得7.2分；</w:t>
            </w:r>
          </w:p>
          <w:p w14:paraId="6E1795B1">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2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②</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质量、安全、环保、文明施工、进度保证措施及合理化建议详细程度、合理性、针对性较好的，得7.2</w:t>
            </w:r>
            <w:r>
              <w:rPr>
                <w:rFonts w:hint="eastAsia" w:ascii="宋体" w:hAnsi="宋体" w:eastAsia="宋体" w:cs="宋体"/>
                <w:color w:val="auto"/>
                <w:highlight w:val="none"/>
              </w:rPr>
              <w:t>～</w:t>
            </w:r>
            <w:r>
              <w:rPr>
                <w:rFonts w:hint="eastAsia" w:ascii="宋体" w:hAnsi="宋体" w:eastAsia="宋体" w:cs="宋体"/>
                <w:color w:val="auto"/>
                <w:sz w:val="18"/>
                <w:szCs w:val="18"/>
                <w:highlight w:val="none"/>
              </w:rPr>
              <w:t>9.6分；</w:t>
            </w:r>
          </w:p>
          <w:p w14:paraId="79E92AE6">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3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③</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质量、安全、环保、文明施工、进度保证措施及合理化建议详细程度、合理性、针对性好的，得9.6</w:t>
            </w:r>
            <w:r>
              <w:rPr>
                <w:rFonts w:hint="eastAsia" w:ascii="宋体" w:hAnsi="宋体" w:eastAsia="宋体" w:cs="宋体"/>
                <w:color w:val="auto"/>
                <w:highlight w:val="none"/>
              </w:rPr>
              <w:t>～</w:t>
            </w:r>
            <w:r>
              <w:rPr>
                <w:rFonts w:hint="eastAsia" w:ascii="宋体" w:hAnsi="宋体" w:eastAsia="宋体" w:cs="宋体"/>
                <w:color w:val="auto"/>
                <w:sz w:val="18"/>
                <w:szCs w:val="18"/>
                <w:highlight w:val="none"/>
              </w:rPr>
              <w:t>12分。</w:t>
            </w:r>
          </w:p>
        </w:tc>
      </w:tr>
      <w:tr w14:paraId="1D7568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390" w:type="pct"/>
            <w:vMerge w:val="continue"/>
            <w:tcBorders>
              <w:right w:val="single" w:color="auto" w:sz="4" w:space="0"/>
            </w:tcBorders>
            <w:vAlign w:val="center"/>
          </w:tcPr>
          <w:p w14:paraId="6E854DD9">
            <w:pPr>
              <w:jc w:val="center"/>
              <w:rPr>
                <w:rFonts w:hint="eastAsia" w:ascii="宋体" w:hAnsi="宋体" w:eastAsia="宋体" w:cs="宋体"/>
                <w:color w:val="auto"/>
                <w:sz w:val="18"/>
                <w:szCs w:val="18"/>
                <w:highlight w:val="none"/>
              </w:rPr>
            </w:pPr>
          </w:p>
        </w:tc>
        <w:tc>
          <w:tcPr>
            <w:tcW w:w="571" w:type="pct"/>
            <w:gridSpan w:val="2"/>
            <w:vMerge w:val="continue"/>
            <w:tcBorders>
              <w:left w:val="single" w:color="auto" w:sz="4" w:space="0"/>
            </w:tcBorders>
            <w:vAlign w:val="center"/>
          </w:tcPr>
          <w:p w14:paraId="2A21924A">
            <w:pPr>
              <w:jc w:val="center"/>
              <w:rPr>
                <w:rFonts w:hint="eastAsia" w:ascii="宋体" w:hAnsi="宋体" w:eastAsia="宋体" w:cs="宋体"/>
                <w:color w:val="auto"/>
                <w:sz w:val="18"/>
                <w:szCs w:val="18"/>
                <w:highlight w:val="none"/>
              </w:rPr>
            </w:pPr>
          </w:p>
        </w:tc>
        <w:tc>
          <w:tcPr>
            <w:tcW w:w="493" w:type="pct"/>
            <w:vMerge w:val="continue"/>
            <w:vAlign w:val="center"/>
          </w:tcPr>
          <w:p w14:paraId="225E1026">
            <w:pPr>
              <w:jc w:val="center"/>
              <w:rPr>
                <w:rFonts w:hint="eastAsia" w:ascii="宋体" w:hAnsi="宋体" w:eastAsia="宋体" w:cs="宋体"/>
                <w:color w:val="auto"/>
                <w:sz w:val="18"/>
                <w:szCs w:val="18"/>
                <w:highlight w:val="none"/>
              </w:rPr>
            </w:pPr>
          </w:p>
        </w:tc>
        <w:tc>
          <w:tcPr>
            <w:tcW w:w="635" w:type="pct"/>
            <w:vAlign w:val="center"/>
          </w:tcPr>
          <w:p w14:paraId="15D0011F">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项目风险预测与防范，事故</w:t>
            </w:r>
          </w:p>
          <w:p w14:paraId="48D92EE0">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应急预案</w:t>
            </w:r>
          </w:p>
        </w:tc>
        <w:tc>
          <w:tcPr>
            <w:tcW w:w="343" w:type="pct"/>
            <w:tcBorders>
              <w:right w:val="single" w:color="auto" w:sz="4" w:space="0"/>
            </w:tcBorders>
            <w:vAlign w:val="center"/>
          </w:tcPr>
          <w:p w14:paraId="142A5E48">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565" w:type="pct"/>
            <w:vAlign w:val="center"/>
          </w:tcPr>
          <w:p w14:paraId="4462AA51">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项目风险预测与防范，事故应急预案一般，得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w:t>
            </w:r>
          </w:p>
          <w:p w14:paraId="1258288F">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2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②</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项目风险预测与防范，事故应急预案比较详细、比较合理，操作性较强，得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分；</w:t>
            </w:r>
          </w:p>
          <w:p w14:paraId="4B7D699A">
            <w:pPr>
              <w:spacing w:line="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3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③</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项目风险预测与防范，事故应急预案详细、合理，操作性强，得</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sz w:val="18"/>
                <w:szCs w:val="18"/>
                <w:highlight w:val="none"/>
              </w:rPr>
              <w:t>10分。</w:t>
            </w:r>
          </w:p>
        </w:tc>
      </w:tr>
      <w:tr w14:paraId="069CA2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73" w:hRule="atLeast"/>
        </w:trPr>
        <w:tc>
          <w:tcPr>
            <w:tcW w:w="390" w:type="pct"/>
            <w:vMerge w:val="restart"/>
            <w:tcBorders>
              <w:right w:val="single" w:color="auto" w:sz="4" w:space="0"/>
            </w:tcBorders>
            <w:vAlign w:val="center"/>
          </w:tcPr>
          <w:p w14:paraId="315114C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2.2.2（2）</w:t>
            </w:r>
          </w:p>
        </w:tc>
        <w:tc>
          <w:tcPr>
            <w:tcW w:w="571" w:type="pct"/>
            <w:gridSpan w:val="2"/>
            <w:vMerge w:val="restart"/>
            <w:tcBorders>
              <w:left w:val="single" w:color="auto" w:sz="4" w:space="0"/>
            </w:tcBorders>
            <w:vAlign w:val="center"/>
          </w:tcPr>
          <w:p w14:paraId="65E13A2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主要人员</w:t>
            </w:r>
          </w:p>
        </w:tc>
        <w:tc>
          <w:tcPr>
            <w:tcW w:w="493" w:type="pct"/>
            <w:vMerge w:val="restart"/>
            <w:vAlign w:val="center"/>
          </w:tcPr>
          <w:p w14:paraId="486BC1B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25分</w:t>
            </w:r>
          </w:p>
        </w:tc>
        <w:tc>
          <w:tcPr>
            <w:tcW w:w="635" w:type="pct"/>
            <w:tcBorders>
              <w:bottom w:val="single" w:color="auto" w:sz="4" w:space="0"/>
            </w:tcBorders>
            <w:vAlign w:val="center"/>
          </w:tcPr>
          <w:p w14:paraId="172860B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项目经理</w:t>
            </w:r>
          </w:p>
          <w:p w14:paraId="0653DFC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任职资格与业绩</w:t>
            </w:r>
          </w:p>
        </w:tc>
        <w:tc>
          <w:tcPr>
            <w:tcW w:w="343" w:type="pct"/>
            <w:tcBorders>
              <w:bottom w:val="single" w:color="auto" w:sz="4" w:space="0"/>
              <w:right w:val="single" w:color="auto" w:sz="4" w:space="0"/>
            </w:tcBorders>
            <w:vAlign w:val="center"/>
          </w:tcPr>
          <w:p w14:paraId="09B9A1D4">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2565" w:type="pct"/>
            <w:tcBorders>
              <w:bottom w:val="single" w:color="auto" w:sz="4" w:space="0"/>
            </w:tcBorders>
            <w:vAlign w:val="center"/>
          </w:tcPr>
          <w:p w14:paraId="32C4B83B">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满足资格审查条件（项目经理最低要求），得</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分，加分情况如下：</w:t>
            </w:r>
          </w:p>
          <w:p w14:paraId="7495D743">
            <w:pPr>
              <w:spacing w:line="240" w:lineRule="exact"/>
              <w:rPr>
                <w:rFonts w:hint="eastAsia" w:ascii="宋体" w:hAnsi="宋体" w:eastAsia="宋体" w:cs="宋体"/>
                <w:color w:val="auto"/>
                <w:sz w:val="18"/>
                <w:szCs w:val="18"/>
                <w:highlight w:val="none"/>
                <w:lang w:eastAsia="zh-CN"/>
              </w:rPr>
            </w:pPr>
            <w:r>
              <w:rPr>
                <w:rFonts w:hint="default" w:ascii="宋体" w:hAnsi="宋体" w:eastAsia="宋体" w:cs="宋体"/>
                <w:color w:val="auto"/>
                <w:sz w:val="18"/>
                <w:szCs w:val="18"/>
                <w:highlight w:val="none"/>
                <w:lang w:eastAsia="zh-CN"/>
              </w:rPr>
              <w:t>①项目经理职称为高级工程师及以上的，加</w:t>
            </w:r>
            <w:r>
              <w:rPr>
                <w:rFonts w:hint="eastAsia" w:ascii="宋体" w:hAnsi="宋体" w:cs="宋体"/>
                <w:color w:val="auto"/>
                <w:sz w:val="18"/>
                <w:szCs w:val="18"/>
                <w:highlight w:val="none"/>
                <w:lang w:val="en-US" w:eastAsia="zh-CN"/>
              </w:rPr>
              <w:t>2</w:t>
            </w:r>
            <w:r>
              <w:rPr>
                <w:rFonts w:hint="default" w:ascii="宋体" w:hAnsi="宋体" w:eastAsia="宋体" w:cs="宋体"/>
                <w:color w:val="auto"/>
                <w:sz w:val="18"/>
                <w:szCs w:val="18"/>
                <w:highlight w:val="none"/>
                <w:lang w:eastAsia="zh-CN"/>
              </w:rPr>
              <w:t>分。</w:t>
            </w:r>
          </w:p>
          <w:p w14:paraId="550CC2D9">
            <w:pPr>
              <w:spacing w:line="240" w:lineRule="exact"/>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eastAsia="zh-CN"/>
              </w:rPr>
              <w:t>②</w:t>
            </w:r>
            <w:r>
              <w:rPr>
                <w:rFonts w:hint="eastAsia" w:ascii="宋体" w:hAnsi="宋体" w:eastAsia="宋体" w:cs="宋体"/>
                <w:color w:val="auto"/>
                <w:sz w:val="18"/>
                <w:szCs w:val="18"/>
                <w:highlight w:val="none"/>
                <w:lang w:eastAsia="zh-CN"/>
              </w:rPr>
              <w:t>项目经理完成的业绩，</w:t>
            </w:r>
            <w:r>
              <w:rPr>
                <w:rFonts w:hint="eastAsia" w:ascii="宋体" w:hAnsi="宋体" w:cs="宋体"/>
                <w:color w:val="auto"/>
                <w:sz w:val="18"/>
                <w:szCs w:val="18"/>
                <w:highlight w:val="none"/>
                <w:lang w:val="en-US" w:eastAsia="zh-CN"/>
              </w:rPr>
              <w:t>提供1项二级及以上公路工程（同时含有路基工程、沥青混凝土路面工程）相关施工且交工验收达到合格标准</w:t>
            </w:r>
            <w:r>
              <w:rPr>
                <w:rFonts w:hint="eastAsia" w:ascii="宋体" w:hAnsi="宋体" w:eastAsia="宋体" w:cs="宋体"/>
                <w:color w:val="auto"/>
                <w:sz w:val="18"/>
                <w:szCs w:val="18"/>
                <w:highlight w:val="none"/>
                <w:lang w:val="en-US" w:eastAsia="zh-CN"/>
              </w:rPr>
              <w:t>加</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分。</w:t>
            </w:r>
          </w:p>
          <w:p w14:paraId="094902A9">
            <w:pPr>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eastAsia="zh-CN"/>
              </w:rPr>
              <w:t>注：</w:t>
            </w:r>
            <w:r>
              <w:rPr>
                <w:rFonts w:hint="default" w:ascii="宋体" w:hAnsi="宋体" w:eastAsia="宋体" w:cs="宋体"/>
                <w:color w:val="auto"/>
                <w:sz w:val="18"/>
                <w:szCs w:val="18"/>
                <w:highlight w:val="none"/>
                <w:lang w:eastAsia="zh-CN"/>
              </w:rPr>
              <w:t>项目经理</w:t>
            </w:r>
            <w:r>
              <w:rPr>
                <w:rFonts w:hint="eastAsia" w:ascii="宋体" w:hAnsi="宋体" w:eastAsia="宋体" w:cs="宋体"/>
                <w:color w:val="auto"/>
                <w:sz w:val="18"/>
                <w:szCs w:val="18"/>
                <w:highlight w:val="none"/>
                <w:lang w:eastAsia="zh-CN"/>
              </w:rPr>
              <w:t>个人业绩加分条件中，加分项不设年限要求。业绩要求中的公路工程是指新建、改扩建（不含养护工程项目</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所提供业绩截图需能体现项目经理。)</w:t>
            </w:r>
          </w:p>
        </w:tc>
      </w:tr>
      <w:tr w14:paraId="7242B2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390" w:type="pct"/>
            <w:vMerge w:val="continue"/>
            <w:tcBorders>
              <w:right w:val="single" w:color="auto" w:sz="4" w:space="0"/>
            </w:tcBorders>
            <w:vAlign w:val="center"/>
          </w:tcPr>
          <w:p w14:paraId="09910C93">
            <w:pPr>
              <w:jc w:val="center"/>
              <w:rPr>
                <w:rFonts w:hint="eastAsia" w:ascii="宋体" w:hAnsi="宋体" w:eastAsia="宋体" w:cs="宋体"/>
                <w:color w:val="auto"/>
                <w:sz w:val="18"/>
                <w:szCs w:val="18"/>
                <w:highlight w:val="none"/>
              </w:rPr>
            </w:pPr>
          </w:p>
        </w:tc>
        <w:tc>
          <w:tcPr>
            <w:tcW w:w="571" w:type="pct"/>
            <w:gridSpan w:val="2"/>
            <w:vMerge w:val="continue"/>
            <w:tcBorders>
              <w:left w:val="single" w:color="auto" w:sz="4" w:space="0"/>
            </w:tcBorders>
            <w:vAlign w:val="center"/>
          </w:tcPr>
          <w:p w14:paraId="3810C1F6">
            <w:pPr>
              <w:jc w:val="center"/>
              <w:rPr>
                <w:rFonts w:hint="eastAsia" w:ascii="宋体" w:hAnsi="宋体" w:eastAsia="宋体" w:cs="宋体"/>
                <w:color w:val="auto"/>
                <w:sz w:val="18"/>
                <w:szCs w:val="18"/>
                <w:highlight w:val="none"/>
              </w:rPr>
            </w:pPr>
          </w:p>
        </w:tc>
        <w:tc>
          <w:tcPr>
            <w:tcW w:w="493" w:type="pct"/>
            <w:vMerge w:val="continue"/>
            <w:vAlign w:val="center"/>
          </w:tcPr>
          <w:p w14:paraId="1A19CBC1">
            <w:pPr>
              <w:jc w:val="center"/>
              <w:rPr>
                <w:rFonts w:hint="eastAsia" w:ascii="宋体" w:hAnsi="宋体" w:eastAsia="宋体" w:cs="宋体"/>
                <w:color w:val="auto"/>
                <w:sz w:val="18"/>
                <w:szCs w:val="18"/>
                <w:highlight w:val="none"/>
              </w:rPr>
            </w:pPr>
          </w:p>
        </w:tc>
        <w:tc>
          <w:tcPr>
            <w:tcW w:w="635" w:type="pct"/>
            <w:tcBorders>
              <w:top w:val="single" w:color="auto" w:sz="4" w:space="0"/>
              <w:bottom w:val="single" w:color="auto" w:sz="4" w:space="0"/>
            </w:tcBorders>
            <w:vAlign w:val="center"/>
          </w:tcPr>
          <w:p w14:paraId="639DD44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项目总工</w:t>
            </w:r>
          </w:p>
          <w:p w14:paraId="21A7150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任职资格与业绩</w:t>
            </w:r>
          </w:p>
        </w:tc>
        <w:tc>
          <w:tcPr>
            <w:tcW w:w="343" w:type="pct"/>
            <w:tcBorders>
              <w:top w:val="single" w:color="auto" w:sz="4" w:space="0"/>
              <w:bottom w:val="single" w:color="auto" w:sz="4" w:space="0"/>
              <w:right w:val="single" w:color="auto" w:sz="4" w:space="0"/>
            </w:tcBorders>
            <w:vAlign w:val="center"/>
          </w:tcPr>
          <w:p w14:paraId="09A60DBF">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p>
        </w:tc>
        <w:tc>
          <w:tcPr>
            <w:tcW w:w="2565" w:type="pct"/>
            <w:tcBorders>
              <w:top w:val="single" w:color="auto" w:sz="4" w:space="0"/>
              <w:bottom w:val="single" w:color="auto" w:sz="4" w:space="0"/>
            </w:tcBorders>
            <w:vAlign w:val="center"/>
          </w:tcPr>
          <w:p w14:paraId="3BDE6B5B">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满足资格审查条件（项目总工最低要求），得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分，加分情况如下：</w:t>
            </w:r>
          </w:p>
          <w:p w14:paraId="59F22AD8">
            <w:pPr>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项目总工完成的业绩，</w:t>
            </w:r>
            <w:r>
              <w:rPr>
                <w:rFonts w:hint="eastAsia" w:ascii="宋体" w:hAnsi="宋体" w:cs="宋体"/>
                <w:color w:val="auto"/>
                <w:sz w:val="18"/>
                <w:szCs w:val="18"/>
                <w:highlight w:val="none"/>
                <w:lang w:val="en-US" w:eastAsia="zh-CN"/>
              </w:rPr>
              <w:t>提供1项二级及以上公路工程（同时含有路基工程、沥青混凝土路面工程）相关施工且交工验收达到合格标准</w:t>
            </w:r>
            <w:r>
              <w:rPr>
                <w:rFonts w:hint="eastAsia" w:ascii="宋体" w:hAnsi="宋体" w:eastAsia="宋体" w:cs="宋体"/>
                <w:color w:val="auto"/>
                <w:sz w:val="18"/>
                <w:szCs w:val="18"/>
                <w:highlight w:val="none"/>
                <w:lang w:val="en-US" w:eastAsia="zh-CN"/>
              </w:rPr>
              <w:t>加</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分。</w:t>
            </w:r>
          </w:p>
          <w:p w14:paraId="127339E5">
            <w:pPr>
              <w:spacing w:line="240" w:lineRule="exact"/>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eastAsia="zh-CN"/>
              </w:rPr>
              <w:t>注：项目总工个人业绩加分条件中，加分项不设年限要求。业绩要求中的公路工程是指新建、改扩建（不含养护工程项目</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所提供业绩截图需能体现</w:t>
            </w:r>
            <w:r>
              <w:rPr>
                <w:rFonts w:hint="eastAsia" w:ascii="宋体" w:hAnsi="宋体" w:eastAsia="宋体" w:cs="宋体"/>
                <w:color w:val="auto"/>
                <w:sz w:val="18"/>
                <w:szCs w:val="18"/>
                <w:highlight w:val="none"/>
                <w:lang w:eastAsia="zh-CN"/>
              </w:rPr>
              <w:t>项目总工</w:t>
            </w:r>
            <w:r>
              <w:rPr>
                <w:rFonts w:hint="eastAsia" w:ascii="宋体" w:hAnsi="宋体" w:eastAsia="宋体" w:cs="宋体"/>
                <w:color w:val="auto"/>
                <w:sz w:val="18"/>
                <w:szCs w:val="18"/>
                <w:highlight w:val="none"/>
                <w:lang w:val="en-US" w:eastAsia="zh-CN"/>
              </w:rPr>
              <w:t>。)</w:t>
            </w:r>
          </w:p>
        </w:tc>
      </w:tr>
      <w:tr w14:paraId="6C46CE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390" w:type="pct"/>
            <w:vMerge w:val="restart"/>
            <w:tcBorders>
              <w:right w:val="single" w:color="auto" w:sz="4" w:space="0"/>
            </w:tcBorders>
            <w:vAlign w:val="center"/>
          </w:tcPr>
          <w:p w14:paraId="7035DA7A">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2.2.2（3）</w:t>
            </w:r>
          </w:p>
        </w:tc>
        <w:tc>
          <w:tcPr>
            <w:tcW w:w="232" w:type="pct"/>
            <w:vMerge w:val="restart"/>
            <w:tcBorders>
              <w:left w:val="single" w:color="auto" w:sz="4" w:space="0"/>
            </w:tcBorders>
            <w:vAlign w:val="center"/>
          </w:tcPr>
          <w:p w14:paraId="752A7305">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其他因素</w:t>
            </w:r>
          </w:p>
        </w:tc>
        <w:tc>
          <w:tcPr>
            <w:tcW w:w="338" w:type="pct"/>
            <w:tcBorders>
              <w:left w:val="single" w:color="auto" w:sz="4" w:space="0"/>
            </w:tcBorders>
            <w:vAlign w:val="center"/>
          </w:tcPr>
          <w:p w14:paraId="55B580E1">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技术能力</w:t>
            </w:r>
          </w:p>
        </w:tc>
        <w:tc>
          <w:tcPr>
            <w:tcW w:w="493" w:type="pct"/>
            <w:tcBorders>
              <w:top w:val="single" w:color="auto" w:sz="6" w:space="0"/>
            </w:tcBorders>
            <w:vAlign w:val="center"/>
          </w:tcPr>
          <w:p w14:paraId="77E93C0D">
            <w:pPr>
              <w:spacing w:line="0" w:lineRule="atLeas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r>
              <w:rPr>
                <w:rFonts w:hint="eastAsia" w:ascii="宋体" w:hAnsi="宋体" w:eastAsia="宋体" w:cs="宋体"/>
                <w:color w:val="auto"/>
                <w:sz w:val="18"/>
                <w:szCs w:val="18"/>
                <w:highlight w:val="none"/>
                <w:lang w:val="en-US" w:eastAsia="zh-CN"/>
              </w:rPr>
              <w:t>分</w:t>
            </w:r>
          </w:p>
        </w:tc>
        <w:tc>
          <w:tcPr>
            <w:tcW w:w="635" w:type="pct"/>
            <w:tcBorders>
              <w:top w:val="single" w:color="auto" w:sz="6" w:space="0"/>
              <w:bottom w:val="single" w:color="auto" w:sz="4" w:space="0"/>
            </w:tcBorders>
            <w:vAlign w:val="center"/>
          </w:tcPr>
          <w:p w14:paraId="243BF53F">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技术能力</w:t>
            </w:r>
          </w:p>
        </w:tc>
        <w:tc>
          <w:tcPr>
            <w:tcW w:w="343" w:type="pct"/>
            <w:tcBorders>
              <w:top w:val="single" w:color="auto" w:sz="6" w:space="0"/>
              <w:bottom w:val="single" w:color="auto" w:sz="4" w:space="0"/>
              <w:right w:val="single" w:color="auto" w:sz="4" w:space="0"/>
            </w:tcBorders>
            <w:vAlign w:val="center"/>
          </w:tcPr>
          <w:p w14:paraId="427C898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2565" w:type="pct"/>
            <w:tcBorders>
              <w:top w:val="single" w:color="auto" w:sz="6" w:space="0"/>
              <w:left w:val="single" w:color="auto" w:sz="4" w:space="0"/>
              <w:bottom w:val="single" w:color="auto" w:sz="4" w:space="0"/>
            </w:tcBorders>
            <w:vAlign w:val="center"/>
          </w:tcPr>
          <w:p w14:paraId="2E6DE782">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投标人均得10分。</w:t>
            </w:r>
          </w:p>
        </w:tc>
      </w:tr>
      <w:tr w14:paraId="0155E8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390" w:type="pct"/>
            <w:vMerge w:val="continue"/>
            <w:tcBorders>
              <w:right w:val="single" w:color="auto" w:sz="4" w:space="0"/>
            </w:tcBorders>
            <w:vAlign w:val="center"/>
          </w:tcPr>
          <w:p w14:paraId="1F759DD1">
            <w:pPr>
              <w:spacing w:line="0" w:lineRule="atLeast"/>
              <w:jc w:val="center"/>
              <w:rPr>
                <w:rFonts w:hint="eastAsia" w:ascii="宋体" w:hAnsi="宋体" w:eastAsia="宋体" w:cs="宋体"/>
                <w:color w:val="auto"/>
                <w:sz w:val="18"/>
                <w:szCs w:val="18"/>
                <w:highlight w:val="none"/>
              </w:rPr>
            </w:pPr>
          </w:p>
        </w:tc>
        <w:tc>
          <w:tcPr>
            <w:tcW w:w="232" w:type="pct"/>
            <w:vMerge w:val="continue"/>
            <w:tcBorders>
              <w:left w:val="single" w:color="auto" w:sz="4" w:space="0"/>
            </w:tcBorders>
            <w:vAlign w:val="center"/>
          </w:tcPr>
          <w:p w14:paraId="03EB886E">
            <w:pPr>
              <w:spacing w:line="0" w:lineRule="atLeast"/>
              <w:jc w:val="center"/>
              <w:rPr>
                <w:rFonts w:hint="eastAsia" w:ascii="宋体" w:hAnsi="宋体" w:eastAsia="宋体" w:cs="宋体"/>
                <w:color w:val="auto"/>
                <w:sz w:val="18"/>
                <w:szCs w:val="18"/>
                <w:highlight w:val="none"/>
              </w:rPr>
            </w:pPr>
          </w:p>
        </w:tc>
        <w:tc>
          <w:tcPr>
            <w:tcW w:w="338" w:type="pct"/>
            <w:vMerge w:val="restart"/>
            <w:tcBorders>
              <w:left w:val="single" w:color="auto" w:sz="4" w:space="0"/>
            </w:tcBorders>
            <w:vAlign w:val="center"/>
          </w:tcPr>
          <w:p w14:paraId="59E6F85D">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履约信誉</w:t>
            </w:r>
          </w:p>
        </w:tc>
        <w:tc>
          <w:tcPr>
            <w:tcW w:w="493" w:type="pct"/>
            <w:vAlign w:val="center"/>
          </w:tcPr>
          <w:p w14:paraId="323F2458">
            <w:pPr>
              <w:spacing w:line="0" w:lineRule="atLeas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w:t>
            </w:r>
            <w:r>
              <w:rPr>
                <w:rFonts w:hint="eastAsia" w:ascii="宋体" w:hAnsi="宋体" w:eastAsia="宋体" w:cs="宋体"/>
                <w:color w:val="auto"/>
                <w:sz w:val="18"/>
                <w:szCs w:val="18"/>
                <w:highlight w:val="none"/>
                <w:lang w:val="en-US" w:eastAsia="zh-CN"/>
              </w:rPr>
              <w:t>分</w:t>
            </w:r>
          </w:p>
        </w:tc>
        <w:tc>
          <w:tcPr>
            <w:tcW w:w="635" w:type="pct"/>
            <w:tcBorders>
              <w:top w:val="single" w:color="auto" w:sz="6" w:space="0"/>
              <w:bottom w:val="single" w:color="auto" w:sz="4" w:space="0"/>
            </w:tcBorders>
            <w:shd w:val="clear" w:color="auto" w:fill="auto"/>
            <w:vAlign w:val="center"/>
          </w:tcPr>
          <w:p w14:paraId="3F44D898">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企业业绩</w:t>
            </w:r>
          </w:p>
        </w:tc>
        <w:tc>
          <w:tcPr>
            <w:tcW w:w="343" w:type="pct"/>
            <w:tcBorders>
              <w:top w:val="single" w:color="auto" w:sz="6" w:space="0"/>
              <w:bottom w:val="single" w:color="auto" w:sz="4" w:space="0"/>
              <w:right w:val="single" w:color="auto" w:sz="4" w:space="0"/>
            </w:tcBorders>
            <w:shd w:val="clear" w:color="auto" w:fill="auto"/>
            <w:vAlign w:val="center"/>
          </w:tcPr>
          <w:p w14:paraId="73D36BDA">
            <w:pPr>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20</w:t>
            </w:r>
          </w:p>
        </w:tc>
        <w:tc>
          <w:tcPr>
            <w:tcW w:w="2565" w:type="pct"/>
            <w:tcBorders>
              <w:top w:val="single" w:color="auto" w:sz="6" w:space="0"/>
              <w:left w:val="single" w:color="auto" w:sz="4" w:space="0"/>
              <w:bottom w:val="single" w:color="auto" w:sz="4" w:space="0"/>
            </w:tcBorders>
            <w:shd w:val="clear" w:color="auto" w:fill="auto"/>
            <w:vAlign w:val="center"/>
          </w:tcPr>
          <w:p w14:paraId="4C35EAB1">
            <w:pPr>
              <w:spacing w:line="276"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满足资格审查条件（项目业绩最低要求），得</w:t>
            </w:r>
            <w:r>
              <w:rPr>
                <w:rFonts w:hint="eastAsia" w:ascii="宋体" w:hAnsi="宋体" w:cs="宋体"/>
                <w:color w:val="auto"/>
                <w:sz w:val="18"/>
                <w:szCs w:val="18"/>
                <w:highlight w:val="none"/>
                <w:lang w:val="en-US" w:eastAsia="zh-CN"/>
              </w:rPr>
              <w:t>12</w:t>
            </w:r>
            <w:r>
              <w:rPr>
                <w:rFonts w:hint="eastAsia" w:ascii="宋体" w:hAnsi="宋体" w:eastAsia="宋体" w:cs="宋体"/>
                <w:color w:val="auto"/>
                <w:sz w:val="18"/>
                <w:szCs w:val="18"/>
                <w:highlight w:val="none"/>
              </w:rPr>
              <w:t>分，在满足最低资格要求基础上，加分情况如下：</w:t>
            </w:r>
          </w:p>
          <w:p w14:paraId="669075C4">
            <w:pPr>
              <w:spacing w:line="276" w:lineRule="auto"/>
              <w:rPr>
                <w:rFonts w:hint="eastAsia" w:ascii="宋体" w:hAnsi="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近五年(</w:t>
            </w:r>
            <w:r>
              <w:rPr>
                <w:rFonts w:hint="eastAsia" w:ascii="宋体" w:hAnsi="宋体" w:cs="宋体"/>
                <w:color w:val="auto"/>
                <w:sz w:val="18"/>
                <w:szCs w:val="18"/>
                <w:highlight w:val="none"/>
                <w:lang w:val="en-US" w:eastAsia="zh-CN"/>
              </w:rPr>
              <w:t>2020年1月1日</w:t>
            </w:r>
            <w:r>
              <w:rPr>
                <w:rFonts w:hint="eastAsia" w:ascii="宋体" w:hAnsi="宋体" w:eastAsia="宋体" w:cs="宋体"/>
                <w:color w:val="auto"/>
                <w:sz w:val="18"/>
                <w:szCs w:val="18"/>
                <w:highlight w:val="none"/>
                <w:lang w:val="en-US" w:eastAsia="zh-CN"/>
              </w:rPr>
              <w:t>~递交投标文件截止时间)完成的业绩(以实际交工验收日期为准)，</w:t>
            </w:r>
            <w:r>
              <w:rPr>
                <w:rFonts w:hint="eastAsia" w:ascii="宋体" w:hAnsi="宋体" w:cs="宋体"/>
                <w:color w:val="auto"/>
                <w:sz w:val="18"/>
                <w:szCs w:val="18"/>
                <w:highlight w:val="none"/>
                <w:lang w:val="en-US" w:eastAsia="zh-CN"/>
              </w:rPr>
              <w:t>每提供</w:t>
            </w:r>
            <w:r>
              <w:rPr>
                <w:rFonts w:hint="eastAsia" w:ascii="宋体" w:hAnsi="宋体" w:eastAsia="宋体" w:cs="宋体"/>
                <w:color w:val="auto"/>
                <w:sz w:val="18"/>
                <w:szCs w:val="18"/>
                <w:highlight w:val="none"/>
                <w:lang w:val="en-US" w:eastAsia="zh-CN"/>
              </w:rPr>
              <w:t>1项不少于20公里的二级及以上公路工程（同时含有路基工程、沥青混凝土路面工程）相关施工且交工验收达到合格标准加</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分，最多加</w:t>
            </w: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lang w:val="en-US" w:eastAsia="zh-CN"/>
              </w:rPr>
              <w:t>分。</w:t>
            </w:r>
          </w:p>
          <w:p w14:paraId="6649BF0B">
            <w:pPr>
              <w:spacing w:line="276"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w:t>
            </w:r>
            <w:r>
              <w:rPr>
                <w:rFonts w:hint="eastAsia" w:ascii="宋体" w:hAnsi="宋体" w:eastAsia="宋体" w:cs="宋体"/>
                <w:color w:val="auto"/>
                <w:sz w:val="18"/>
                <w:szCs w:val="18"/>
                <w:highlight w:val="none"/>
                <w:lang w:eastAsia="zh-CN"/>
              </w:rPr>
              <w:t>业绩要求中的公路工程是指新建、改扩建（不含养护工程项目</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如投标人提供高速公路、一级公路业绩的，其里程可折算成2倍的二级公路里程。)</w:t>
            </w:r>
          </w:p>
        </w:tc>
      </w:tr>
      <w:tr w14:paraId="23D2A1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390" w:type="pct"/>
            <w:vMerge w:val="continue"/>
            <w:tcBorders>
              <w:bottom w:val="single" w:color="auto" w:sz="6" w:space="0"/>
              <w:right w:val="single" w:color="auto" w:sz="4" w:space="0"/>
            </w:tcBorders>
            <w:vAlign w:val="center"/>
          </w:tcPr>
          <w:p w14:paraId="72C066CA">
            <w:pPr>
              <w:spacing w:line="0" w:lineRule="atLeast"/>
              <w:jc w:val="center"/>
              <w:rPr>
                <w:rFonts w:hint="eastAsia" w:ascii="宋体" w:hAnsi="宋体" w:eastAsia="宋体" w:cs="宋体"/>
                <w:color w:val="auto"/>
                <w:sz w:val="18"/>
                <w:szCs w:val="18"/>
                <w:highlight w:val="none"/>
              </w:rPr>
            </w:pPr>
          </w:p>
        </w:tc>
        <w:tc>
          <w:tcPr>
            <w:tcW w:w="232" w:type="pct"/>
            <w:vMerge w:val="continue"/>
            <w:tcBorders>
              <w:left w:val="single" w:color="auto" w:sz="4" w:space="0"/>
              <w:bottom w:val="single" w:color="auto" w:sz="6" w:space="0"/>
            </w:tcBorders>
            <w:vAlign w:val="center"/>
          </w:tcPr>
          <w:p w14:paraId="32560FB9">
            <w:pPr>
              <w:spacing w:line="0" w:lineRule="atLeast"/>
              <w:jc w:val="center"/>
              <w:rPr>
                <w:rFonts w:hint="eastAsia" w:ascii="宋体" w:hAnsi="宋体" w:eastAsia="宋体" w:cs="宋体"/>
                <w:color w:val="auto"/>
                <w:sz w:val="18"/>
                <w:szCs w:val="18"/>
                <w:highlight w:val="none"/>
              </w:rPr>
            </w:pPr>
          </w:p>
        </w:tc>
        <w:tc>
          <w:tcPr>
            <w:tcW w:w="338" w:type="pct"/>
            <w:vMerge w:val="continue"/>
            <w:tcBorders>
              <w:left w:val="single" w:color="auto" w:sz="4" w:space="0"/>
              <w:bottom w:val="single" w:color="auto" w:sz="6" w:space="0"/>
            </w:tcBorders>
            <w:vAlign w:val="center"/>
          </w:tcPr>
          <w:p w14:paraId="02A870DA">
            <w:pPr>
              <w:spacing w:line="0" w:lineRule="atLeast"/>
              <w:jc w:val="center"/>
              <w:rPr>
                <w:rFonts w:hint="eastAsia" w:ascii="宋体" w:hAnsi="宋体" w:eastAsia="宋体" w:cs="宋体"/>
                <w:color w:val="auto"/>
                <w:sz w:val="18"/>
                <w:szCs w:val="18"/>
                <w:highlight w:val="none"/>
              </w:rPr>
            </w:pPr>
          </w:p>
        </w:tc>
        <w:tc>
          <w:tcPr>
            <w:tcW w:w="493" w:type="pct"/>
            <w:tcBorders>
              <w:bottom w:val="single" w:color="auto" w:sz="6" w:space="0"/>
            </w:tcBorders>
            <w:vAlign w:val="center"/>
          </w:tcPr>
          <w:p w14:paraId="1712DA69">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分</w:t>
            </w:r>
          </w:p>
        </w:tc>
        <w:tc>
          <w:tcPr>
            <w:tcW w:w="635" w:type="pct"/>
            <w:tcBorders>
              <w:top w:val="single" w:color="auto" w:sz="2" w:space="0"/>
              <w:bottom w:val="single" w:color="auto" w:sz="2" w:space="0"/>
            </w:tcBorders>
            <w:vAlign w:val="center"/>
          </w:tcPr>
          <w:p w14:paraId="16988DDE">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信用评价</w:t>
            </w:r>
          </w:p>
        </w:tc>
        <w:tc>
          <w:tcPr>
            <w:tcW w:w="343" w:type="pct"/>
            <w:tcBorders>
              <w:top w:val="single" w:color="auto" w:sz="2" w:space="0"/>
              <w:bottom w:val="single" w:color="auto" w:sz="2" w:space="0"/>
              <w:right w:val="single" w:color="auto" w:sz="4" w:space="0"/>
            </w:tcBorders>
            <w:vAlign w:val="center"/>
          </w:tcPr>
          <w:p w14:paraId="3681CF31">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2565" w:type="pct"/>
            <w:tcBorders>
              <w:top w:val="single" w:color="auto" w:sz="2" w:space="0"/>
              <w:left w:val="single" w:color="auto" w:sz="4" w:space="0"/>
              <w:bottom w:val="single" w:color="auto" w:sz="2" w:space="0"/>
            </w:tcBorders>
            <w:vAlign w:val="center"/>
          </w:tcPr>
          <w:p w14:paraId="1F889905">
            <w:pPr>
              <w:spacing w:line="276"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满足资格审查条件，得</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分；加分条件如下：</w:t>
            </w:r>
          </w:p>
          <w:p w14:paraId="3967FABA">
            <w:pPr>
              <w:spacing w:line="276"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①在</w:t>
            </w:r>
            <w:r>
              <w:rPr>
                <w:rFonts w:hint="eastAsia" w:ascii="宋体" w:hAnsi="宋体" w:eastAsia="宋体" w:cs="宋体"/>
                <w:color w:val="auto"/>
                <w:sz w:val="18"/>
                <w:szCs w:val="18"/>
                <w:highlight w:val="none"/>
                <w:lang w:eastAsia="zh-CN"/>
              </w:rPr>
              <w:t>2023年度</w:t>
            </w:r>
            <w:r>
              <w:rPr>
                <w:rFonts w:hint="eastAsia" w:ascii="宋体" w:hAnsi="宋体" w:eastAsia="宋体" w:cs="宋体"/>
                <w:color w:val="auto"/>
                <w:sz w:val="18"/>
                <w:szCs w:val="18"/>
                <w:highlight w:val="none"/>
              </w:rPr>
              <w:t>黑龙江省交通运输厅公路施工企业信用评价或202</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年交通运输部公路施工企业全国综合信用评价中被评定为A级的，加</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w:t>
            </w:r>
          </w:p>
          <w:p w14:paraId="296F6D9A">
            <w:pPr>
              <w:spacing w:line="276"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②在</w:t>
            </w:r>
            <w:r>
              <w:rPr>
                <w:rFonts w:hint="eastAsia" w:ascii="宋体" w:hAnsi="宋体" w:eastAsia="宋体" w:cs="宋体"/>
                <w:color w:val="auto"/>
                <w:sz w:val="18"/>
                <w:szCs w:val="18"/>
                <w:highlight w:val="none"/>
                <w:lang w:eastAsia="zh-CN"/>
              </w:rPr>
              <w:t>2023年度</w:t>
            </w:r>
            <w:r>
              <w:rPr>
                <w:rFonts w:hint="eastAsia" w:ascii="宋体" w:hAnsi="宋体" w:eastAsia="宋体" w:cs="宋体"/>
                <w:color w:val="auto"/>
                <w:sz w:val="18"/>
                <w:szCs w:val="18"/>
                <w:highlight w:val="none"/>
              </w:rPr>
              <w:t>黑龙江省交通运输厅公路施工企业信用评价或202</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年交通运输部公路施工企业全国综合信用评价中被评定为AA级的，加</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p w14:paraId="002A7A27">
            <w:pPr>
              <w:spacing w:line="276"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注：a.加分不累加，①②只计一次最高分,本项最高加</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p w14:paraId="6953546B">
            <w:pPr>
              <w:spacing w:line="276"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b.投标人未参加</w:t>
            </w:r>
            <w:r>
              <w:rPr>
                <w:rFonts w:hint="eastAsia" w:ascii="宋体" w:hAnsi="宋体" w:eastAsia="宋体" w:cs="宋体"/>
                <w:color w:val="auto"/>
                <w:sz w:val="18"/>
                <w:szCs w:val="18"/>
                <w:highlight w:val="none"/>
                <w:lang w:eastAsia="zh-CN"/>
              </w:rPr>
              <w:t>2023年度</w:t>
            </w:r>
            <w:r>
              <w:rPr>
                <w:rFonts w:hint="eastAsia" w:ascii="宋体" w:hAnsi="宋体" w:eastAsia="宋体" w:cs="宋体"/>
                <w:color w:val="auto"/>
                <w:sz w:val="18"/>
                <w:szCs w:val="18"/>
                <w:highlight w:val="none"/>
              </w:rPr>
              <w:t>黑龙江省交通运输厅公路施工企业信用评价或交通运输部202</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年公路施工企业全国综合信用评价的，采用202</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年黑龙江省交通运输厅公路施工企业信用评价或202</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年交通运输部公路施工企业全国综合信用评价结果。国务院有关部门许可资质的公路施工企业初次进入黑龙江省，其信用评价等级按照交通运输部公路施工企业全国综合信用评价结果确定；尚无交通运输部公路施工企业全国综合信用评价的企业，若无不良信用记录，按A级对待。（如果省级和部级评价等级不一致，以最高的信用评价等级认定）。</w:t>
            </w:r>
          </w:p>
        </w:tc>
      </w:tr>
    </w:tbl>
    <w:p w14:paraId="4805DBF3">
      <w:pPr>
        <w:jc w:val="left"/>
        <w:rPr>
          <w:rFonts w:hint="eastAsia" w:ascii="宋体" w:hAnsi="宋体" w:eastAsia="宋体" w:cs="宋体"/>
          <w:color w:val="auto"/>
          <w:sz w:val="18"/>
          <w:szCs w:val="18"/>
          <w:highlight w:val="none"/>
        </w:rPr>
      </w:pPr>
    </w:p>
    <w:p w14:paraId="4CC2CD71">
      <w:pPr>
        <w:bidi w:val="0"/>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w:t>注：1</w:t>
      </w:r>
      <w:r>
        <w:rPr>
          <w:rFonts w:hint="eastAsia" w:ascii="宋体" w:hAnsi="宋体" w:eastAsia="宋体" w:cs="宋体"/>
          <w:color w:val="auto"/>
          <w:sz w:val="18"/>
          <w:szCs w:val="20"/>
          <w:highlight w:val="none"/>
          <w:lang w:eastAsia="zh-CN"/>
        </w:rPr>
        <w:t>、</w:t>
      </w:r>
      <w:r>
        <w:rPr>
          <w:rFonts w:hint="eastAsia" w:ascii="宋体" w:hAnsi="宋体" w:eastAsia="宋体" w:cs="宋体"/>
          <w:color w:val="auto"/>
          <w:sz w:val="18"/>
          <w:szCs w:val="20"/>
          <w:highlight w:val="none"/>
        </w:rPr>
        <w:t>各评分因素得分以评标委员会各成员的打分平均值确定，各成员的单项打分分值小数点后保留一位，计算过程及计算结果小数点后保留两位小数，小数点后第三位“四舍五入”。</w:t>
      </w:r>
      <w:r>
        <w:rPr>
          <w:rFonts w:hint="eastAsia" w:ascii="宋体" w:hAnsi="宋体" w:eastAsia="宋体" w:cs="宋体"/>
          <w:color w:val="auto"/>
          <w:sz w:val="18"/>
          <w:szCs w:val="20"/>
          <w:highlight w:val="none"/>
          <w:lang w:val="en-US" w:eastAsia="zh-CN"/>
        </w:rPr>
        <w:t>“各评分因素（评标价和履约信誉评分项除外）得分一般不得低于其权重分值的60%”。</w:t>
      </w:r>
    </w:p>
    <w:p w14:paraId="57FF3425">
      <w:pPr>
        <w:bidi w:val="0"/>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lang w:val="en-US" w:eastAsia="zh-CN"/>
        </w:rPr>
        <w:t>2、</w:t>
      </w:r>
      <w:r>
        <w:rPr>
          <w:rFonts w:hint="eastAsia" w:ascii="宋体" w:hAnsi="宋体" w:eastAsia="宋体" w:cs="宋体"/>
          <w:color w:val="auto"/>
          <w:sz w:val="18"/>
          <w:szCs w:val="20"/>
          <w:highlight w:val="none"/>
        </w:rPr>
        <w:t>表中区间分值下限为不含，上限为包含。</w:t>
      </w:r>
    </w:p>
    <w:p w14:paraId="61511122">
      <w:pPr>
        <w:bidi w:val="0"/>
        <w:rPr>
          <w:rFonts w:hint="eastAsia" w:ascii="宋体" w:hAnsi="宋体" w:eastAsia="宋体" w:cs="宋体"/>
          <w:color w:val="auto"/>
          <w:sz w:val="18"/>
          <w:szCs w:val="20"/>
          <w:highlight w:val="none"/>
          <w:lang w:val="en-US" w:eastAsia="zh-CN"/>
        </w:rPr>
      </w:pPr>
      <w:r>
        <w:rPr>
          <w:rFonts w:hint="eastAsia" w:ascii="宋体" w:hAnsi="宋体" w:eastAsia="宋体" w:cs="宋体"/>
          <w:color w:val="auto"/>
          <w:sz w:val="18"/>
          <w:szCs w:val="20"/>
          <w:highlight w:val="none"/>
          <w:lang w:val="en-US" w:eastAsia="zh-CN"/>
        </w:rPr>
        <w:t>3、类似公路工程：指公路工程施工业绩。</w:t>
      </w:r>
    </w:p>
    <w:p w14:paraId="4B6AA8D6">
      <w:pPr>
        <w:bidi w:val="0"/>
        <w:rPr>
          <w:rFonts w:hint="eastAsia" w:ascii="宋体" w:hAnsi="宋体" w:eastAsia="宋体" w:cs="宋体"/>
          <w:b/>
          <w:bCs/>
          <w:color w:val="auto"/>
          <w:sz w:val="18"/>
          <w:szCs w:val="20"/>
          <w:highlight w:val="none"/>
          <w:lang w:val="en-US" w:eastAsia="zh-CN"/>
        </w:rPr>
      </w:pPr>
      <w:r>
        <w:rPr>
          <w:rFonts w:hint="eastAsia" w:ascii="宋体" w:hAnsi="宋体" w:eastAsia="宋体" w:cs="宋体"/>
          <w:b/>
          <w:bCs/>
          <w:color w:val="auto"/>
          <w:sz w:val="18"/>
          <w:szCs w:val="20"/>
          <w:highlight w:val="none"/>
          <w:lang w:val="en-US" w:eastAsia="zh-CN"/>
        </w:rPr>
        <w:t>4、上述业绩要求在交通运输部网站“全国公路建设市场信用信息管理系统”（https://hwdms.mot.gov.cn/BMWebSite/）或黑龙江省交通运输厅网站的“黑龙江省公路水路建设市场信用信息管理系统”中能够查询（提供查询截图）。</w:t>
      </w:r>
    </w:p>
    <w:p w14:paraId="224166CE">
      <w:pPr>
        <w:bidi w:val="0"/>
        <w:rPr>
          <w:rFonts w:hint="eastAsia" w:ascii="宋体" w:hAnsi="宋体" w:eastAsia="宋体" w:cs="宋体"/>
          <w:color w:val="auto"/>
          <w:sz w:val="18"/>
          <w:szCs w:val="20"/>
          <w:highlight w:val="none"/>
          <w:lang w:val="en-US" w:eastAsia="zh-CN"/>
        </w:rPr>
      </w:pPr>
      <w:r>
        <w:rPr>
          <w:rFonts w:hint="eastAsia" w:ascii="宋体" w:hAnsi="宋体" w:eastAsia="宋体" w:cs="宋体"/>
          <w:color w:val="auto"/>
          <w:sz w:val="18"/>
          <w:szCs w:val="20"/>
          <w:highlight w:val="none"/>
          <w:lang w:val="en-US" w:eastAsia="zh-CN"/>
        </w:rPr>
        <w:t>4、如企业业绩中“项目经理或项目总工”为本项目“项目经理或项目总工”，该业绩可作为企业业绩和人员业绩分别生效</w:t>
      </w:r>
      <w:r>
        <w:rPr>
          <w:rFonts w:hint="eastAsia" w:ascii="宋体" w:hAnsi="宋体" w:cs="宋体"/>
          <w:color w:val="auto"/>
          <w:sz w:val="18"/>
          <w:szCs w:val="20"/>
          <w:highlight w:val="none"/>
          <w:lang w:val="en-US" w:eastAsia="zh-CN"/>
        </w:rPr>
        <w:t>。</w:t>
      </w:r>
    </w:p>
    <w:p w14:paraId="3D901B00">
      <w:pPr>
        <w:spacing w:line="380" w:lineRule="exact"/>
        <w:ind w:left="210" w:leftChars="100"/>
        <w:jc w:val="left"/>
        <w:rPr>
          <w:rFonts w:hint="eastAsia" w:ascii="宋体" w:hAnsi="宋体" w:eastAsia="宋体" w:cs="宋体"/>
          <w:color w:val="auto"/>
          <w:highlight w:val="none"/>
        </w:rPr>
      </w:pPr>
    </w:p>
    <w:sectPr>
      <w:headerReference r:id="rId5" w:type="default"/>
      <w:footerReference r:id="rId6" w:type="default"/>
      <w:pgSz w:w="11911" w:h="16849"/>
      <w:pgMar w:top="1440" w:right="1803" w:bottom="1440" w:left="1803" w:header="737" w:footer="737" w:gutter="0"/>
      <w:pgNumType w:fmt="decimal"/>
      <w:cols w:space="0" w:num="1"/>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4C4F">
    <w:pPr>
      <w:pStyle w:val="16"/>
      <w:spacing w:line="14" w:lineRule="auto"/>
      <w:jc w:val="right"/>
      <w:rPr>
        <w:sz w:val="2"/>
      </w:rPr>
    </w:pPr>
    <w:r>
      <w:rPr>
        <w:sz w:val="2"/>
      </w:rP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75BB533">
                <w:pPr>
                  <w:pStyle w:val="2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F6C88">
    <w:pPr>
      <w:pStyle w:val="16"/>
      <w:spacing w:line="14" w:lineRule="auto"/>
      <w:jc w:val="right"/>
      <w:rPr>
        <w:sz w:val="2"/>
      </w:rPr>
    </w:pPr>
    <w:r>
      <w:rPr>
        <w:sz w:val="2"/>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536C3A2">
                <w:pPr>
                  <w:pStyle w:val="2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3325">
    <w:pPr>
      <w:pStyle w:val="26"/>
      <w:pBdr>
        <w:bottom w:val="none" w:color="auto" w:sz="0" w:space="1"/>
      </w:pBdr>
      <w:jc w:val="center"/>
      <w:rPr>
        <w:rFonts w:asci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C739D">
    <w:pPr>
      <w:pStyle w:val="26"/>
      <w:pBdr>
        <w:bottom w:val="none" w:color="auto" w:sz="0" w:space="1"/>
      </w:pBdr>
      <w:jc w:val="center"/>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F4C22"/>
    <w:multiLevelType w:val="singleLevel"/>
    <w:tmpl w:val="E9FF4C22"/>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NiYjViZTkzOWFkODUzYmI4Zjc3YTQ2NDExNzgwZDEifQ=="/>
  </w:docVars>
  <w:rsids>
    <w:rsidRoot w:val="005F0406"/>
    <w:rsid w:val="00113C74"/>
    <w:rsid w:val="005F0406"/>
    <w:rsid w:val="007430B7"/>
    <w:rsid w:val="008A396B"/>
    <w:rsid w:val="00920B10"/>
    <w:rsid w:val="00923BB4"/>
    <w:rsid w:val="00953212"/>
    <w:rsid w:val="009964D2"/>
    <w:rsid w:val="00B30C45"/>
    <w:rsid w:val="00D459DC"/>
    <w:rsid w:val="00D55A6C"/>
    <w:rsid w:val="00E70D2E"/>
    <w:rsid w:val="00F27926"/>
    <w:rsid w:val="01176EA7"/>
    <w:rsid w:val="013712F7"/>
    <w:rsid w:val="01763BCE"/>
    <w:rsid w:val="01A41F03"/>
    <w:rsid w:val="01DA7527"/>
    <w:rsid w:val="01F36AD4"/>
    <w:rsid w:val="01F80A87"/>
    <w:rsid w:val="023F0464"/>
    <w:rsid w:val="0241242E"/>
    <w:rsid w:val="026043E7"/>
    <w:rsid w:val="02A816E8"/>
    <w:rsid w:val="03326D9B"/>
    <w:rsid w:val="03870314"/>
    <w:rsid w:val="03A32C74"/>
    <w:rsid w:val="047D34C5"/>
    <w:rsid w:val="04B13FD8"/>
    <w:rsid w:val="04DA26C6"/>
    <w:rsid w:val="05322A19"/>
    <w:rsid w:val="053973EC"/>
    <w:rsid w:val="0564417B"/>
    <w:rsid w:val="05A70E2C"/>
    <w:rsid w:val="05D87B53"/>
    <w:rsid w:val="064774C9"/>
    <w:rsid w:val="07AA7607"/>
    <w:rsid w:val="07B62F76"/>
    <w:rsid w:val="07EA4D8C"/>
    <w:rsid w:val="07F2177F"/>
    <w:rsid w:val="08273E74"/>
    <w:rsid w:val="08A77005"/>
    <w:rsid w:val="09066741"/>
    <w:rsid w:val="091A6460"/>
    <w:rsid w:val="09271C52"/>
    <w:rsid w:val="093D137F"/>
    <w:rsid w:val="094321E4"/>
    <w:rsid w:val="09626445"/>
    <w:rsid w:val="09AD4542"/>
    <w:rsid w:val="09AF2342"/>
    <w:rsid w:val="09C37BCC"/>
    <w:rsid w:val="0A0F5205"/>
    <w:rsid w:val="0A161053"/>
    <w:rsid w:val="0A3463D4"/>
    <w:rsid w:val="0AB0572E"/>
    <w:rsid w:val="0ACB4F8A"/>
    <w:rsid w:val="0AD32091"/>
    <w:rsid w:val="0B3C19E4"/>
    <w:rsid w:val="0B3E1849"/>
    <w:rsid w:val="0B4A0416"/>
    <w:rsid w:val="0B5507FD"/>
    <w:rsid w:val="0B995C7B"/>
    <w:rsid w:val="0C9F66CF"/>
    <w:rsid w:val="0CED21F8"/>
    <w:rsid w:val="0D0F4ED6"/>
    <w:rsid w:val="0D9F3123"/>
    <w:rsid w:val="0DDD6E21"/>
    <w:rsid w:val="0DE9184E"/>
    <w:rsid w:val="0E2624D8"/>
    <w:rsid w:val="0E2B3F92"/>
    <w:rsid w:val="0EC66C1A"/>
    <w:rsid w:val="0F5337A0"/>
    <w:rsid w:val="0F8100C3"/>
    <w:rsid w:val="0F8B31ED"/>
    <w:rsid w:val="0FD20B69"/>
    <w:rsid w:val="10321232"/>
    <w:rsid w:val="10707B13"/>
    <w:rsid w:val="10C5422A"/>
    <w:rsid w:val="110C0A2D"/>
    <w:rsid w:val="117D4B05"/>
    <w:rsid w:val="117E1FF7"/>
    <w:rsid w:val="11904838"/>
    <w:rsid w:val="1191473A"/>
    <w:rsid w:val="12A762DD"/>
    <w:rsid w:val="13516249"/>
    <w:rsid w:val="143860A5"/>
    <w:rsid w:val="14556768"/>
    <w:rsid w:val="149B2878"/>
    <w:rsid w:val="15C90318"/>
    <w:rsid w:val="16852812"/>
    <w:rsid w:val="16A253D2"/>
    <w:rsid w:val="16FE2244"/>
    <w:rsid w:val="16FF0295"/>
    <w:rsid w:val="17173305"/>
    <w:rsid w:val="17876A07"/>
    <w:rsid w:val="17E73AC9"/>
    <w:rsid w:val="180C273E"/>
    <w:rsid w:val="183B3195"/>
    <w:rsid w:val="187B0805"/>
    <w:rsid w:val="18D834A6"/>
    <w:rsid w:val="18E4166C"/>
    <w:rsid w:val="196547FC"/>
    <w:rsid w:val="1977008B"/>
    <w:rsid w:val="19D57AAD"/>
    <w:rsid w:val="19DF011D"/>
    <w:rsid w:val="1A3A5650"/>
    <w:rsid w:val="1A3E2D1A"/>
    <w:rsid w:val="1A4374EC"/>
    <w:rsid w:val="1A6D00C7"/>
    <w:rsid w:val="1AA650CC"/>
    <w:rsid w:val="1AC54CA7"/>
    <w:rsid w:val="1B6C00C4"/>
    <w:rsid w:val="1BBB530E"/>
    <w:rsid w:val="1BF94AAB"/>
    <w:rsid w:val="1CA9716D"/>
    <w:rsid w:val="1CAC78FA"/>
    <w:rsid w:val="1D0B1216"/>
    <w:rsid w:val="1D835251"/>
    <w:rsid w:val="1DCB4E4A"/>
    <w:rsid w:val="1E8D45EA"/>
    <w:rsid w:val="1EEE0DF0"/>
    <w:rsid w:val="200A7EAB"/>
    <w:rsid w:val="203F5FEF"/>
    <w:rsid w:val="205A7CA3"/>
    <w:rsid w:val="206360A7"/>
    <w:rsid w:val="207A1406"/>
    <w:rsid w:val="2128339D"/>
    <w:rsid w:val="216F4E90"/>
    <w:rsid w:val="218F0141"/>
    <w:rsid w:val="21AC561C"/>
    <w:rsid w:val="21B712D5"/>
    <w:rsid w:val="21BF4CC5"/>
    <w:rsid w:val="21DB7F36"/>
    <w:rsid w:val="22066450"/>
    <w:rsid w:val="227E0461"/>
    <w:rsid w:val="22CE4297"/>
    <w:rsid w:val="22FA4207"/>
    <w:rsid w:val="2355143D"/>
    <w:rsid w:val="252C4420"/>
    <w:rsid w:val="25613EAC"/>
    <w:rsid w:val="25BD776E"/>
    <w:rsid w:val="25CC5A3B"/>
    <w:rsid w:val="2607436F"/>
    <w:rsid w:val="261246A4"/>
    <w:rsid w:val="263F0183"/>
    <w:rsid w:val="26CF7759"/>
    <w:rsid w:val="27AE2F66"/>
    <w:rsid w:val="2914146A"/>
    <w:rsid w:val="29D532D8"/>
    <w:rsid w:val="29E95A0B"/>
    <w:rsid w:val="2A8D770F"/>
    <w:rsid w:val="2AD63914"/>
    <w:rsid w:val="2AEA394D"/>
    <w:rsid w:val="2B604E23"/>
    <w:rsid w:val="2B822FEC"/>
    <w:rsid w:val="2BC25ADE"/>
    <w:rsid w:val="2C5F6625"/>
    <w:rsid w:val="2C624996"/>
    <w:rsid w:val="2C864D5D"/>
    <w:rsid w:val="2CB43679"/>
    <w:rsid w:val="2D202ABC"/>
    <w:rsid w:val="2DA3549B"/>
    <w:rsid w:val="2E782484"/>
    <w:rsid w:val="2F0D52C2"/>
    <w:rsid w:val="2F8A246F"/>
    <w:rsid w:val="301461DC"/>
    <w:rsid w:val="30212116"/>
    <w:rsid w:val="303321F6"/>
    <w:rsid w:val="30EB33E1"/>
    <w:rsid w:val="30F75CD3"/>
    <w:rsid w:val="31630035"/>
    <w:rsid w:val="31CD37D8"/>
    <w:rsid w:val="323C003C"/>
    <w:rsid w:val="325D3E6B"/>
    <w:rsid w:val="32773A5E"/>
    <w:rsid w:val="33F629D9"/>
    <w:rsid w:val="347D6A46"/>
    <w:rsid w:val="34B379AF"/>
    <w:rsid w:val="356E2833"/>
    <w:rsid w:val="35A70F55"/>
    <w:rsid w:val="36130B03"/>
    <w:rsid w:val="36251143"/>
    <w:rsid w:val="363C16DB"/>
    <w:rsid w:val="36552BB1"/>
    <w:rsid w:val="36E55F46"/>
    <w:rsid w:val="37955E55"/>
    <w:rsid w:val="37C93D50"/>
    <w:rsid w:val="37CF1C23"/>
    <w:rsid w:val="38920186"/>
    <w:rsid w:val="38C67D11"/>
    <w:rsid w:val="397D6B0A"/>
    <w:rsid w:val="3ABB7AB0"/>
    <w:rsid w:val="3AE25E35"/>
    <w:rsid w:val="3B895CD0"/>
    <w:rsid w:val="3B961B91"/>
    <w:rsid w:val="3BE04FBF"/>
    <w:rsid w:val="3CE71424"/>
    <w:rsid w:val="3DAC05CD"/>
    <w:rsid w:val="3E057BEF"/>
    <w:rsid w:val="3E524A9F"/>
    <w:rsid w:val="3E966574"/>
    <w:rsid w:val="3ECD3B9B"/>
    <w:rsid w:val="3F3E7AE2"/>
    <w:rsid w:val="3F56236D"/>
    <w:rsid w:val="3F626F64"/>
    <w:rsid w:val="3F631B80"/>
    <w:rsid w:val="3FD51503"/>
    <w:rsid w:val="40624D42"/>
    <w:rsid w:val="40742A97"/>
    <w:rsid w:val="40BE44E3"/>
    <w:rsid w:val="40D30C94"/>
    <w:rsid w:val="40EE567B"/>
    <w:rsid w:val="41260724"/>
    <w:rsid w:val="42716438"/>
    <w:rsid w:val="42A5582D"/>
    <w:rsid w:val="42DA0FB6"/>
    <w:rsid w:val="42E61C5A"/>
    <w:rsid w:val="43014CE6"/>
    <w:rsid w:val="43055919"/>
    <w:rsid w:val="43713C1A"/>
    <w:rsid w:val="439B2A45"/>
    <w:rsid w:val="447A08AC"/>
    <w:rsid w:val="44A43B7B"/>
    <w:rsid w:val="44BB64B1"/>
    <w:rsid w:val="45212197"/>
    <w:rsid w:val="452B204C"/>
    <w:rsid w:val="4543393B"/>
    <w:rsid w:val="455139E6"/>
    <w:rsid w:val="45634846"/>
    <w:rsid w:val="45721801"/>
    <w:rsid w:val="45D3296A"/>
    <w:rsid w:val="45D73769"/>
    <w:rsid w:val="45EE1552"/>
    <w:rsid w:val="4616658E"/>
    <w:rsid w:val="46295832"/>
    <w:rsid w:val="46BF6A4A"/>
    <w:rsid w:val="46DF6FA4"/>
    <w:rsid w:val="47190850"/>
    <w:rsid w:val="475B0299"/>
    <w:rsid w:val="4768109D"/>
    <w:rsid w:val="47981DBF"/>
    <w:rsid w:val="47A86347"/>
    <w:rsid w:val="483803B2"/>
    <w:rsid w:val="48E96000"/>
    <w:rsid w:val="491237A9"/>
    <w:rsid w:val="49C96DEF"/>
    <w:rsid w:val="4A4A6F73"/>
    <w:rsid w:val="4A87090C"/>
    <w:rsid w:val="4AA504E8"/>
    <w:rsid w:val="4B1F21AD"/>
    <w:rsid w:val="4BBC5C4E"/>
    <w:rsid w:val="4BEB59CE"/>
    <w:rsid w:val="4C6A7458"/>
    <w:rsid w:val="4C7A2396"/>
    <w:rsid w:val="4C804ECE"/>
    <w:rsid w:val="4CD62D3F"/>
    <w:rsid w:val="4D363B02"/>
    <w:rsid w:val="4D716E23"/>
    <w:rsid w:val="4DAE7818"/>
    <w:rsid w:val="4DE978B2"/>
    <w:rsid w:val="4E0B2164"/>
    <w:rsid w:val="4E113D5D"/>
    <w:rsid w:val="4E3F65F4"/>
    <w:rsid w:val="4E772300"/>
    <w:rsid w:val="4F1404EA"/>
    <w:rsid w:val="4F7D3461"/>
    <w:rsid w:val="4FD52511"/>
    <w:rsid w:val="4FF43C08"/>
    <w:rsid w:val="505521CD"/>
    <w:rsid w:val="505C3E06"/>
    <w:rsid w:val="506F17F0"/>
    <w:rsid w:val="50AC3938"/>
    <w:rsid w:val="50CE2312"/>
    <w:rsid w:val="51094F88"/>
    <w:rsid w:val="513A420A"/>
    <w:rsid w:val="516F0C45"/>
    <w:rsid w:val="51E27DCD"/>
    <w:rsid w:val="525F5585"/>
    <w:rsid w:val="52AB2578"/>
    <w:rsid w:val="52F537F4"/>
    <w:rsid w:val="530B125F"/>
    <w:rsid w:val="53320650"/>
    <w:rsid w:val="533B1B4E"/>
    <w:rsid w:val="535C3F6B"/>
    <w:rsid w:val="53C70AF0"/>
    <w:rsid w:val="53EE4E13"/>
    <w:rsid w:val="54370292"/>
    <w:rsid w:val="54AB70EF"/>
    <w:rsid w:val="56334D5F"/>
    <w:rsid w:val="565E3B43"/>
    <w:rsid w:val="56A619D5"/>
    <w:rsid w:val="56B70EC3"/>
    <w:rsid w:val="56EE66F9"/>
    <w:rsid w:val="576948A4"/>
    <w:rsid w:val="57BB1FCF"/>
    <w:rsid w:val="584B2834"/>
    <w:rsid w:val="586D0112"/>
    <w:rsid w:val="588D13EF"/>
    <w:rsid w:val="58B43CAD"/>
    <w:rsid w:val="58DF1825"/>
    <w:rsid w:val="58E67E22"/>
    <w:rsid w:val="59267F09"/>
    <w:rsid w:val="594F7445"/>
    <w:rsid w:val="5964106E"/>
    <w:rsid w:val="598C07EB"/>
    <w:rsid w:val="5A242637"/>
    <w:rsid w:val="5A981526"/>
    <w:rsid w:val="5AD43CE2"/>
    <w:rsid w:val="5AFB5A70"/>
    <w:rsid w:val="5B1038C0"/>
    <w:rsid w:val="5B38460D"/>
    <w:rsid w:val="5B5544AE"/>
    <w:rsid w:val="5B6B6D49"/>
    <w:rsid w:val="5B7D45EA"/>
    <w:rsid w:val="5BCB6776"/>
    <w:rsid w:val="5BCF72D8"/>
    <w:rsid w:val="5C1F2CC9"/>
    <w:rsid w:val="5C5F68AD"/>
    <w:rsid w:val="5D480AC5"/>
    <w:rsid w:val="5DBC3D09"/>
    <w:rsid w:val="5DF75DF1"/>
    <w:rsid w:val="5EA91839"/>
    <w:rsid w:val="5EDD6A47"/>
    <w:rsid w:val="5F507F6E"/>
    <w:rsid w:val="5F795F65"/>
    <w:rsid w:val="5FA20BE3"/>
    <w:rsid w:val="5FE82FA7"/>
    <w:rsid w:val="603D6F06"/>
    <w:rsid w:val="603E2A53"/>
    <w:rsid w:val="606731F0"/>
    <w:rsid w:val="60885312"/>
    <w:rsid w:val="612760B8"/>
    <w:rsid w:val="61430134"/>
    <w:rsid w:val="622F3B5D"/>
    <w:rsid w:val="625106E3"/>
    <w:rsid w:val="6281620D"/>
    <w:rsid w:val="62B31701"/>
    <w:rsid w:val="63E61662"/>
    <w:rsid w:val="652A557F"/>
    <w:rsid w:val="65535663"/>
    <w:rsid w:val="65576E25"/>
    <w:rsid w:val="6569169E"/>
    <w:rsid w:val="6695218F"/>
    <w:rsid w:val="68E36170"/>
    <w:rsid w:val="68FE11FC"/>
    <w:rsid w:val="692E3D88"/>
    <w:rsid w:val="694E17D6"/>
    <w:rsid w:val="69721B1D"/>
    <w:rsid w:val="6A075F3D"/>
    <w:rsid w:val="6A2618D1"/>
    <w:rsid w:val="6A303637"/>
    <w:rsid w:val="6A667059"/>
    <w:rsid w:val="6AE9245B"/>
    <w:rsid w:val="6AF446A2"/>
    <w:rsid w:val="6C1D7BEB"/>
    <w:rsid w:val="6C44161C"/>
    <w:rsid w:val="6C573BA1"/>
    <w:rsid w:val="6C635F46"/>
    <w:rsid w:val="6C814974"/>
    <w:rsid w:val="6CCF5389"/>
    <w:rsid w:val="6D3C6797"/>
    <w:rsid w:val="6D4B5E42"/>
    <w:rsid w:val="6D6E6851"/>
    <w:rsid w:val="6D8048D6"/>
    <w:rsid w:val="6D9D5488"/>
    <w:rsid w:val="6DA70840"/>
    <w:rsid w:val="6DD8201C"/>
    <w:rsid w:val="6EDE7B06"/>
    <w:rsid w:val="6EE803D8"/>
    <w:rsid w:val="6F7B35A7"/>
    <w:rsid w:val="704C31BF"/>
    <w:rsid w:val="70501732"/>
    <w:rsid w:val="7068507E"/>
    <w:rsid w:val="706E6FAD"/>
    <w:rsid w:val="7094447D"/>
    <w:rsid w:val="70D429B5"/>
    <w:rsid w:val="714A6275"/>
    <w:rsid w:val="71C75A48"/>
    <w:rsid w:val="71CF7BDA"/>
    <w:rsid w:val="71E73175"/>
    <w:rsid w:val="726F6CC7"/>
    <w:rsid w:val="72705729"/>
    <w:rsid w:val="729550B6"/>
    <w:rsid w:val="747E57F8"/>
    <w:rsid w:val="75105C58"/>
    <w:rsid w:val="76051E1C"/>
    <w:rsid w:val="762B42A5"/>
    <w:rsid w:val="7728063E"/>
    <w:rsid w:val="77BE13A9"/>
    <w:rsid w:val="77CB43B9"/>
    <w:rsid w:val="7848156B"/>
    <w:rsid w:val="78E55F35"/>
    <w:rsid w:val="79485DCC"/>
    <w:rsid w:val="79533C02"/>
    <w:rsid w:val="7996457A"/>
    <w:rsid w:val="799E0113"/>
    <w:rsid w:val="79FE72AE"/>
    <w:rsid w:val="7A675C06"/>
    <w:rsid w:val="7AD95625"/>
    <w:rsid w:val="7B1C1955"/>
    <w:rsid w:val="7B392A5E"/>
    <w:rsid w:val="7B8533A3"/>
    <w:rsid w:val="7B937ECA"/>
    <w:rsid w:val="7C85754F"/>
    <w:rsid w:val="7CE113BB"/>
    <w:rsid w:val="7D060AB1"/>
    <w:rsid w:val="7D8E2749"/>
    <w:rsid w:val="7D951CD7"/>
    <w:rsid w:val="7DB7386B"/>
    <w:rsid w:val="7DE4297A"/>
    <w:rsid w:val="7E066731"/>
    <w:rsid w:val="7E447613"/>
    <w:rsid w:val="7E5F22E5"/>
    <w:rsid w:val="7E72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57"/>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58"/>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59"/>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80"/>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0"/>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1"/>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2"/>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3"/>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link w:val="69"/>
    <w:autoRedefine/>
    <w:qFormat/>
    <w:uiPriority w:val="0"/>
    <w:rPr>
      <w:rFonts w:ascii="宋体" w:cs="宋体"/>
      <w:sz w:val="18"/>
      <w:szCs w:val="18"/>
    </w:rPr>
  </w:style>
  <w:style w:type="paragraph" w:styleId="14">
    <w:name w:val="annotation text"/>
    <w:basedOn w:val="1"/>
    <w:link w:val="67"/>
    <w:autoRedefine/>
    <w:qFormat/>
    <w:uiPriority w:val="0"/>
    <w:pPr>
      <w:jc w:val="left"/>
    </w:pPr>
    <w:rPr>
      <w:rFonts w:ascii="Times New Roman" w:hAnsi="Times New Roman"/>
      <w:szCs w:val="20"/>
    </w:rPr>
  </w:style>
  <w:style w:type="paragraph" w:styleId="15">
    <w:name w:val="Body Text 3"/>
    <w:basedOn w:val="1"/>
    <w:link w:val="71"/>
    <w:autoRedefine/>
    <w:qFormat/>
    <w:uiPriority w:val="0"/>
    <w:rPr>
      <w:rFonts w:ascii="宋体"/>
      <w:sz w:val="24"/>
      <w:szCs w:val="20"/>
    </w:rPr>
  </w:style>
  <w:style w:type="paragraph" w:styleId="16">
    <w:name w:val="Body Text"/>
    <w:basedOn w:val="1"/>
    <w:next w:val="1"/>
    <w:link w:val="86"/>
    <w:autoRedefine/>
    <w:qFormat/>
    <w:uiPriority w:val="0"/>
    <w:pPr>
      <w:spacing w:after="120"/>
    </w:pPr>
    <w:rPr>
      <w:rFonts w:ascii="Times New Roman" w:hAnsi="Times New Roman"/>
      <w:szCs w:val="20"/>
    </w:rPr>
  </w:style>
  <w:style w:type="paragraph" w:styleId="17">
    <w:name w:val="Body Text Indent"/>
    <w:basedOn w:val="1"/>
    <w:link w:val="88"/>
    <w:autoRedefine/>
    <w:qFormat/>
    <w:uiPriority w:val="0"/>
    <w:pPr>
      <w:spacing w:after="120"/>
      <w:ind w:left="420" w:leftChars="200"/>
    </w:pPr>
    <w:rPr>
      <w:rFonts w:ascii="Times New Roman" w:hAnsi="Times New Roman"/>
      <w:szCs w:val="20"/>
    </w:rPr>
  </w:style>
  <w:style w:type="paragraph" w:styleId="18">
    <w:name w:val="toc 5"/>
    <w:basedOn w:val="1"/>
    <w:next w:val="1"/>
    <w:autoRedefine/>
    <w:qFormat/>
    <w:uiPriority w:val="39"/>
    <w:pPr>
      <w:ind w:left="800" w:leftChars="800"/>
    </w:pPr>
  </w:style>
  <w:style w:type="paragraph" w:styleId="19">
    <w:name w:val="toc 3"/>
    <w:basedOn w:val="1"/>
    <w:next w:val="1"/>
    <w:autoRedefine/>
    <w:qFormat/>
    <w:uiPriority w:val="39"/>
    <w:pPr>
      <w:ind w:left="400" w:leftChars="400"/>
    </w:pPr>
  </w:style>
  <w:style w:type="paragraph" w:styleId="20">
    <w:name w:val="Plain Text"/>
    <w:basedOn w:val="1"/>
    <w:link w:val="106"/>
    <w:autoRedefine/>
    <w:qFormat/>
    <w:uiPriority w:val="0"/>
    <w:rPr>
      <w:rFonts w:ascii="宋体"/>
    </w:rPr>
  </w:style>
  <w:style w:type="paragraph" w:styleId="21">
    <w:name w:val="toc 8"/>
    <w:basedOn w:val="1"/>
    <w:next w:val="1"/>
    <w:autoRedefine/>
    <w:qFormat/>
    <w:uiPriority w:val="39"/>
    <w:pPr>
      <w:ind w:left="1400" w:leftChars="1400"/>
    </w:pPr>
  </w:style>
  <w:style w:type="paragraph" w:styleId="22">
    <w:name w:val="Date"/>
    <w:basedOn w:val="1"/>
    <w:next w:val="1"/>
    <w:link w:val="75"/>
    <w:autoRedefine/>
    <w:qFormat/>
    <w:uiPriority w:val="0"/>
    <w:pPr>
      <w:ind w:left="2500" w:leftChars="2500"/>
    </w:pPr>
    <w:rPr>
      <w:rFonts w:ascii="Times New Roman" w:hAnsi="Times New Roman"/>
      <w:szCs w:val="20"/>
    </w:rPr>
  </w:style>
  <w:style w:type="paragraph" w:styleId="23">
    <w:name w:val="Body Text Indent 2"/>
    <w:basedOn w:val="1"/>
    <w:link w:val="105"/>
    <w:autoRedefine/>
    <w:qFormat/>
    <w:uiPriority w:val="0"/>
    <w:pPr>
      <w:spacing w:after="120" w:line="480" w:lineRule="auto"/>
      <w:ind w:left="420" w:leftChars="200"/>
    </w:pPr>
  </w:style>
  <w:style w:type="paragraph" w:styleId="24">
    <w:name w:val="Balloon Text"/>
    <w:basedOn w:val="1"/>
    <w:link w:val="74"/>
    <w:autoRedefine/>
    <w:qFormat/>
    <w:uiPriority w:val="0"/>
    <w:rPr>
      <w:rFonts w:ascii="Times New Roman" w:hAnsi="Times New Roman"/>
      <w:sz w:val="18"/>
      <w:szCs w:val="20"/>
    </w:rPr>
  </w:style>
  <w:style w:type="paragraph" w:styleId="25">
    <w:name w:val="footer"/>
    <w:basedOn w:val="1"/>
    <w:link w:val="70"/>
    <w:autoRedefine/>
    <w:qFormat/>
    <w:uiPriority w:val="99"/>
    <w:pPr>
      <w:tabs>
        <w:tab w:val="center" w:pos="4153"/>
        <w:tab w:val="right" w:pos="8306"/>
      </w:tabs>
      <w:snapToGrid w:val="0"/>
      <w:jc w:val="left"/>
    </w:pPr>
    <w:rPr>
      <w:sz w:val="18"/>
    </w:rPr>
  </w:style>
  <w:style w:type="paragraph" w:styleId="26">
    <w:name w:val="header"/>
    <w:basedOn w:val="1"/>
    <w:link w:val="73"/>
    <w:autoRedefine/>
    <w:qFormat/>
    <w:uiPriority w:val="99"/>
    <w:pPr>
      <w:tabs>
        <w:tab w:val="center" w:pos="4153"/>
        <w:tab w:val="right" w:pos="8306"/>
      </w:tabs>
      <w:snapToGrid w:val="0"/>
    </w:pPr>
    <w:rPr>
      <w:rFonts w:ascii="Times New Roman" w:hAnsi="Times New Roman"/>
      <w:sz w:val="18"/>
      <w:szCs w:val="20"/>
    </w:rPr>
  </w:style>
  <w:style w:type="paragraph" w:styleId="27">
    <w:name w:val="toc 1"/>
    <w:basedOn w:val="1"/>
    <w:next w:val="1"/>
    <w:autoRedefine/>
    <w:qFormat/>
    <w:uiPriority w:val="39"/>
  </w:style>
  <w:style w:type="paragraph" w:styleId="28">
    <w:name w:val="toc 4"/>
    <w:basedOn w:val="1"/>
    <w:next w:val="1"/>
    <w:autoRedefine/>
    <w:qFormat/>
    <w:uiPriority w:val="39"/>
    <w:pPr>
      <w:ind w:left="600" w:leftChars="600"/>
    </w:pPr>
  </w:style>
  <w:style w:type="paragraph" w:styleId="29">
    <w:name w:val="toc 6"/>
    <w:basedOn w:val="1"/>
    <w:next w:val="1"/>
    <w:autoRedefine/>
    <w:qFormat/>
    <w:uiPriority w:val="39"/>
    <w:pPr>
      <w:ind w:left="1000" w:leftChars="1000"/>
    </w:pPr>
  </w:style>
  <w:style w:type="paragraph" w:styleId="30">
    <w:name w:val="Body Text Indent 3"/>
    <w:basedOn w:val="1"/>
    <w:link w:val="72"/>
    <w:autoRedefine/>
    <w:qFormat/>
    <w:uiPriority w:val="0"/>
    <w:pPr>
      <w:spacing w:after="120"/>
      <w:ind w:left="200" w:leftChars="200"/>
    </w:pPr>
    <w:rPr>
      <w:sz w:val="16"/>
      <w:szCs w:val="16"/>
    </w:rPr>
  </w:style>
  <w:style w:type="paragraph" w:styleId="31">
    <w:name w:val="toc 2"/>
    <w:basedOn w:val="1"/>
    <w:next w:val="1"/>
    <w:autoRedefine/>
    <w:qFormat/>
    <w:uiPriority w:val="39"/>
    <w:pPr>
      <w:ind w:left="200" w:leftChars="200"/>
    </w:pPr>
  </w:style>
  <w:style w:type="paragraph" w:styleId="32">
    <w:name w:val="toc 9"/>
    <w:basedOn w:val="1"/>
    <w:next w:val="1"/>
    <w:autoRedefine/>
    <w:qFormat/>
    <w:uiPriority w:val="39"/>
    <w:pPr>
      <w:ind w:left="1600" w:leftChars="1600"/>
    </w:pPr>
  </w:style>
  <w:style w:type="paragraph" w:styleId="33">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4">
    <w:name w:val="index 1"/>
    <w:basedOn w:val="1"/>
    <w:next w:val="1"/>
    <w:autoRedefine/>
    <w:qFormat/>
    <w:uiPriority w:val="0"/>
    <w:pPr>
      <w:spacing w:line="220" w:lineRule="exact"/>
      <w:jc w:val="center"/>
    </w:pPr>
    <w:rPr>
      <w:rFonts w:ascii="仿宋_GB2312" w:hAnsi="Times New Roman" w:eastAsia="仿宋_GB2312"/>
      <w:szCs w:val="21"/>
    </w:rPr>
  </w:style>
  <w:style w:type="paragraph" w:styleId="35">
    <w:name w:val="Title"/>
    <w:basedOn w:val="1"/>
    <w:link w:val="9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68"/>
    <w:autoRedefine/>
    <w:qFormat/>
    <w:uiPriority w:val="0"/>
  </w:style>
  <w:style w:type="paragraph" w:styleId="37">
    <w:name w:val="Body Text First Indent"/>
    <w:basedOn w:val="16"/>
    <w:link w:val="87"/>
    <w:autoRedefine/>
    <w:qFormat/>
    <w:uiPriority w:val="0"/>
    <w:pPr>
      <w:spacing w:line="312" w:lineRule="auto"/>
      <w:ind w:firstLine="420"/>
    </w:pPr>
    <w:rPr>
      <w:rFonts w:ascii="Times New Roman" w:hAnsi="Times New Roman"/>
      <w:szCs w:val="24"/>
    </w:rPr>
  </w:style>
  <w:style w:type="paragraph" w:styleId="38">
    <w:name w:val="Body Text First Indent 2"/>
    <w:basedOn w:val="1"/>
    <w:next w:val="16"/>
    <w:autoRedefine/>
    <w:qFormat/>
    <w:uiPriority w:val="0"/>
    <w:pPr>
      <w:ind w:firstLine="420" w:firstLineChars="200"/>
    </w:pPr>
  </w:style>
  <w:style w:type="table" w:styleId="40">
    <w:name w:val="Table Grid"/>
    <w:basedOn w:val="3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basedOn w:val="41"/>
    <w:autoRedefine/>
    <w:qFormat/>
    <w:uiPriority w:val="0"/>
    <w:rPr>
      <w:color w:val="800080"/>
      <w:u w:val="none"/>
    </w:rPr>
  </w:style>
  <w:style w:type="character" w:styleId="45">
    <w:name w:val="HTML Definition"/>
    <w:basedOn w:val="41"/>
    <w:autoRedefine/>
    <w:qFormat/>
    <w:uiPriority w:val="0"/>
  </w:style>
  <w:style w:type="character" w:styleId="46">
    <w:name w:val="HTML Typewriter"/>
    <w:basedOn w:val="41"/>
    <w:autoRedefine/>
    <w:qFormat/>
    <w:uiPriority w:val="0"/>
    <w:rPr>
      <w:rFonts w:hint="default" w:ascii="monospace" w:hAnsi="monospace" w:eastAsia="monospace" w:cs="monospace"/>
      <w:sz w:val="20"/>
    </w:rPr>
  </w:style>
  <w:style w:type="character" w:styleId="47">
    <w:name w:val="HTML Acronym"/>
    <w:basedOn w:val="41"/>
    <w:autoRedefine/>
    <w:qFormat/>
    <w:uiPriority w:val="0"/>
  </w:style>
  <w:style w:type="character" w:styleId="48">
    <w:name w:val="HTML Variable"/>
    <w:basedOn w:val="41"/>
    <w:autoRedefine/>
    <w:qFormat/>
    <w:uiPriority w:val="0"/>
  </w:style>
  <w:style w:type="character" w:styleId="49">
    <w:name w:val="Hyperlink"/>
    <w:basedOn w:val="41"/>
    <w:autoRedefine/>
    <w:qFormat/>
    <w:uiPriority w:val="99"/>
    <w:rPr>
      <w:color w:val="0000FF"/>
      <w:u w:val="none"/>
    </w:rPr>
  </w:style>
  <w:style w:type="character" w:styleId="50">
    <w:name w:val="HTML Code"/>
    <w:basedOn w:val="41"/>
    <w:autoRedefine/>
    <w:qFormat/>
    <w:uiPriority w:val="0"/>
    <w:rPr>
      <w:rFonts w:hint="default" w:ascii="monospace" w:hAnsi="monospace" w:eastAsia="monospace" w:cs="monospace"/>
      <w:sz w:val="20"/>
    </w:rPr>
  </w:style>
  <w:style w:type="character" w:styleId="51">
    <w:name w:val="annotation reference"/>
    <w:autoRedefine/>
    <w:qFormat/>
    <w:uiPriority w:val="0"/>
    <w:rPr>
      <w:sz w:val="21"/>
    </w:rPr>
  </w:style>
  <w:style w:type="character" w:styleId="52">
    <w:name w:val="HTML Cite"/>
    <w:basedOn w:val="41"/>
    <w:autoRedefine/>
    <w:qFormat/>
    <w:uiPriority w:val="0"/>
  </w:style>
  <w:style w:type="character" w:styleId="53">
    <w:name w:val="footnote reference"/>
    <w:autoRedefine/>
    <w:qFormat/>
    <w:uiPriority w:val="0"/>
    <w:rPr>
      <w:vertAlign w:val="superscript"/>
    </w:rPr>
  </w:style>
  <w:style w:type="character" w:styleId="54">
    <w:name w:val="HTML Keyboard"/>
    <w:basedOn w:val="41"/>
    <w:autoRedefine/>
    <w:qFormat/>
    <w:uiPriority w:val="0"/>
    <w:rPr>
      <w:rFonts w:ascii="monospace" w:hAnsi="monospace" w:eastAsia="monospace" w:cs="monospace"/>
      <w:sz w:val="20"/>
    </w:rPr>
  </w:style>
  <w:style w:type="character" w:styleId="55">
    <w:name w:val="HTML Sample"/>
    <w:basedOn w:val="41"/>
    <w:autoRedefine/>
    <w:qFormat/>
    <w:uiPriority w:val="0"/>
    <w:rPr>
      <w:rFonts w:hint="default" w:ascii="monospace" w:hAnsi="monospace" w:eastAsia="monospace" w:cs="monospace"/>
    </w:rPr>
  </w:style>
  <w:style w:type="character" w:customStyle="1" w:styleId="56">
    <w:name w:val="标题 1 字符"/>
    <w:basedOn w:val="41"/>
    <w:link w:val="2"/>
    <w:autoRedefine/>
    <w:qFormat/>
    <w:uiPriority w:val="0"/>
    <w:rPr>
      <w:rFonts w:eastAsia="宋体"/>
      <w:b/>
      <w:kern w:val="44"/>
      <w:sz w:val="44"/>
    </w:rPr>
  </w:style>
  <w:style w:type="character" w:customStyle="1" w:styleId="57">
    <w:name w:val="标题 2 字符"/>
    <w:basedOn w:val="41"/>
    <w:link w:val="3"/>
    <w:autoRedefine/>
    <w:qFormat/>
    <w:uiPriority w:val="0"/>
    <w:rPr>
      <w:rFonts w:ascii="Arial" w:hAnsi="Arial" w:eastAsia="黑体"/>
      <w:b/>
      <w:kern w:val="2"/>
      <w:sz w:val="32"/>
    </w:rPr>
  </w:style>
  <w:style w:type="character" w:customStyle="1" w:styleId="58">
    <w:name w:val="标题 3 字符"/>
    <w:basedOn w:val="41"/>
    <w:link w:val="4"/>
    <w:autoRedefine/>
    <w:qFormat/>
    <w:uiPriority w:val="0"/>
    <w:rPr>
      <w:rFonts w:ascii="黑体" w:hAnsi="Calibri" w:eastAsia="黑体"/>
      <w:kern w:val="2"/>
      <w:sz w:val="28"/>
    </w:rPr>
  </w:style>
  <w:style w:type="character" w:customStyle="1" w:styleId="59">
    <w:name w:val="标题 4 字符"/>
    <w:basedOn w:val="41"/>
    <w:link w:val="5"/>
    <w:autoRedefine/>
    <w:qFormat/>
    <w:uiPriority w:val="0"/>
    <w:rPr>
      <w:rFonts w:ascii="Arial" w:hAnsi="Arial" w:eastAsia="黑体"/>
      <w:b/>
      <w:bCs/>
      <w:kern w:val="2"/>
      <w:sz w:val="28"/>
      <w:szCs w:val="28"/>
    </w:rPr>
  </w:style>
  <w:style w:type="character" w:customStyle="1" w:styleId="60">
    <w:name w:val="标题 6 字符"/>
    <w:basedOn w:val="41"/>
    <w:link w:val="7"/>
    <w:autoRedefine/>
    <w:qFormat/>
    <w:uiPriority w:val="0"/>
    <w:rPr>
      <w:rFonts w:ascii="Arial" w:hAnsi="Arial" w:eastAsia="黑体"/>
      <w:b/>
      <w:bCs/>
      <w:sz w:val="24"/>
    </w:rPr>
  </w:style>
  <w:style w:type="character" w:customStyle="1" w:styleId="61">
    <w:name w:val="标题 7 字符"/>
    <w:basedOn w:val="41"/>
    <w:link w:val="8"/>
    <w:autoRedefine/>
    <w:qFormat/>
    <w:uiPriority w:val="0"/>
    <w:rPr>
      <w:rFonts w:eastAsia="宋体"/>
      <w:b/>
      <w:bCs/>
      <w:sz w:val="24"/>
    </w:rPr>
  </w:style>
  <w:style w:type="character" w:customStyle="1" w:styleId="62">
    <w:name w:val="标题 8 字符"/>
    <w:basedOn w:val="41"/>
    <w:link w:val="9"/>
    <w:autoRedefine/>
    <w:qFormat/>
    <w:uiPriority w:val="0"/>
    <w:rPr>
      <w:rFonts w:ascii="Arial" w:hAnsi="Arial" w:eastAsia="黑体"/>
      <w:sz w:val="24"/>
    </w:rPr>
  </w:style>
  <w:style w:type="character" w:customStyle="1" w:styleId="63">
    <w:name w:val="标题 9 字符"/>
    <w:basedOn w:val="41"/>
    <w:link w:val="10"/>
    <w:autoRedefine/>
    <w:qFormat/>
    <w:uiPriority w:val="0"/>
    <w:rPr>
      <w:rFonts w:ascii="Arial" w:hAnsi="Arial" w:eastAsia="黑体"/>
      <w:sz w:val="21"/>
      <w:szCs w:val="21"/>
    </w:rPr>
  </w:style>
  <w:style w:type="character" w:customStyle="1" w:styleId="64">
    <w:name w:val="style_kwd"/>
    <w:basedOn w:val="41"/>
    <w:autoRedefine/>
    <w:qFormat/>
    <w:uiPriority w:val="0"/>
  </w:style>
  <w:style w:type="character" w:customStyle="1" w:styleId="65">
    <w:name w:val="批注文字 Char1"/>
    <w:autoRedefine/>
    <w:qFormat/>
    <w:uiPriority w:val="0"/>
    <w:rPr>
      <w:rFonts w:ascii="Times New Roman" w:hAnsi="Times New Roman" w:eastAsia="宋体" w:cs="Times New Roman"/>
      <w:sz w:val="20"/>
      <w:szCs w:val="20"/>
      <w:lang w:bidi="ar-SA"/>
    </w:rPr>
  </w:style>
  <w:style w:type="character" w:customStyle="1" w:styleId="66">
    <w:name w:val="Comment Text Char"/>
    <w:autoRedefine/>
    <w:qFormat/>
    <w:uiPriority w:val="0"/>
  </w:style>
  <w:style w:type="character" w:customStyle="1" w:styleId="67">
    <w:name w:val="批注文字 字符"/>
    <w:basedOn w:val="41"/>
    <w:link w:val="14"/>
    <w:autoRedefine/>
    <w:qFormat/>
    <w:uiPriority w:val="0"/>
    <w:rPr>
      <w:rFonts w:eastAsia="宋体"/>
      <w:kern w:val="2"/>
      <w:sz w:val="21"/>
    </w:rPr>
  </w:style>
  <w:style w:type="character" w:customStyle="1" w:styleId="68">
    <w:name w:val="批注主题 字符"/>
    <w:link w:val="36"/>
    <w:autoRedefine/>
    <w:qFormat/>
    <w:uiPriority w:val="0"/>
    <w:rPr>
      <w:rFonts w:eastAsia="宋体"/>
      <w:kern w:val="2"/>
      <w:sz w:val="21"/>
    </w:rPr>
  </w:style>
  <w:style w:type="character" w:customStyle="1" w:styleId="69">
    <w:name w:val="文档结构图 字符"/>
    <w:link w:val="13"/>
    <w:autoRedefine/>
    <w:qFormat/>
    <w:uiPriority w:val="0"/>
    <w:rPr>
      <w:rFonts w:ascii="宋体" w:hAnsi="Calibri" w:eastAsia="宋体" w:cs="宋体"/>
      <w:kern w:val="2"/>
      <w:sz w:val="18"/>
      <w:szCs w:val="18"/>
    </w:rPr>
  </w:style>
  <w:style w:type="character" w:customStyle="1" w:styleId="70">
    <w:name w:val="页脚 字符"/>
    <w:link w:val="25"/>
    <w:autoRedefine/>
    <w:qFormat/>
    <w:uiPriority w:val="99"/>
    <w:rPr>
      <w:rFonts w:ascii="Calibri" w:hAnsi="Calibri" w:eastAsia="宋体"/>
      <w:kern w:val="2"/>
      <w:sz w:val="18"/>
      <w:szCs w:val="22"/>
    </w:rPr>
  </w:style>
  <w:style w:type="character" w:customStyle="1" w:styleId="71">
    <w:name w:val="正文文本 3 字符"/>
    <w:basedOn w:val="41"/>
    <w:link w:val="15"/>
    <w:autoRedefine/>
    <w:qFormat/>
    <w:uiPriority w:val="0"/>
    <w:rPr>
      <w:rFonts w:ascii="宋体" w:hAnsi="Calibri" w:eastAsia="宋体"/>
      <w:kern w:val="2"/>
      <w:sz w:val="24"/>
    </w:rPr>
  </w:style>
  <w:style w:type="character" w:customStyle="1" w:styleId="72">
    <w:name w:val="正文文本缩进 3 字符"/>
    <w:basedOn w:val="41"/>
    <w:link w:val="30"/>
    <w:autoRedefine/>
    <w:qFormat/>
    <w:uiPriority w:val="0"/>
    <w:rPr>
      <w:rFonts w:ascii="Calibri" w:hAnsi="Calibri" w:eastAsia="宋体"/>
      <w:kern w:val="2"/>
      <w:sz w:val="16"/>
      <w:szCs w:val="16"/>
    </w:rPr>
  </w:style>
  <w:style w:type="character" w:customStyle="1" w:styleId="73">
    <w:name w:val="页眉 字符"/>
    <w:link w:val="26"/>
    <w:autoRedefine/>
    <w:qFormat/>
    <w:uiPriority w:val="99"/>
    <w:rPr>
      <w:rFonts w:eastAsia="宋体"/>
      <w:kern w:val="2"/>
      <w:sz w:val="18"/>
    </w:rPr>
  </w:style>
  <w:style w:type="character" w:customStyle="1" w:styleId="74">
    <w:name w:val="批注框文本 字符"/>
    <w:link w:val="24"/>
    <w:autoRedefine/>
    <w:qFormat/>
    <w:uiPriority w:val="0"/>
    <w:rPr>
      <w:rFonts w:eastAsia="宋体"/>
      <w:kern w:val="2"/>
      <w:sz w:val="18"/>
    </w:rPr>
  </w:style>
  <w:style w:type="character" w:customStyle="1" w:styleId="75">
    <w:name w:val="日期 字符"/>
    <w:link w:val="22"/>
    <w:autoRedefine/>
    <w:qFormat/>
    <w:uiPriority w:val="0"/>
    <w:rPr>
      <w:rFonts w:eastAsia="宋体"/>
      <w:kern w:val="2"/>
      <w:sz w:val="21"/>
    </w:rPr>
  </w:style>
  <w:style w:type="paragraph" w:customStyle="1" w:styleId="76">
    <w:name w:val="修订1"/>
    <w:autoRedefine/>
    <w:qFormat/>
    <w:uiPriority w:val="0"/>
    <w:rPr>
      <w:rFonts w:ascii="Times New Roman" w:hAnsi="Times New Roman" w:eastAsia="宋体" w:cs="Times New Roman"/>
      <w:kern w:val="2"/>
      <w:sz w:val="21"/>
      <w:lang w:val="en-US" w:eastAsia="zh-CN" w:bidi="ar-SA"/>
    </w:rPr>
  </w:style>
  <w:style w:type="paragraph" w:customStyle="1" w:styleId="77">
    <w:name w:val="_Style 23"/>
    <w:basedOn w:val="1"/>
    <w:autoRedefine/>
    <w:qFormat/>
    <w:uiPriority w:val="0"/>
    <w:pPr>
      <w:widowControl/>
      <w:spacing w:after="160" w:line="240" w:lineRule="exact"/>
      <w:jc w:val="left"/>
    </w:pPr>
  </w:style>
  <w:style w:type="paragraph" w:customStyle="1" w:styleId="78">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character" w:customStyle="1" w:styleId="79">
    <w:name w:val="font161"/>
    <w:autoRedefine/>
    <w:qFormat/>
    <w:uiPriority w:val="0"/>
    <w:rPr>
      <w:b/>
      <w:bCs/>
      <w:sz w:val="32"/>
      <w:szCs w:val="32"/>
    </w:rPr>
  </w:style>
  <w:style w:type="character" w:customStyle="1" w:styleId="80">
    <w:name w:val="标题 5 字符"/>
    <w:basedOn w:val="41"/>
    <w:link w:val="6"/>
    <w:autoRedefine/>
    <w:qFormat/>
    <w:uiPriority w:val="9"/>
    <w:rPr>
      <w:rFonts w:eastAsia="宋体"/>
      <w:b/>
      <w:bCs/>
      <w:kern w:val="2"/>
      <w:sz w:val="28"/>
      <w:szCs w:val="28"/>
    </w:rPr>
  </w:style>
  <w:style w:type="character" w:customStyle="1" w:styleId="81">
    <w:name w:val="正文首行缩进 Char"/>
    <w:basedOn w:val="82"/>
    <w:autoRedefine/>
    <w:qFormat/>
    <w:uiPriority w:val="0"/>
    <w:rPr>
      <w:rFonts w:eastAsia="宋体"/>
      <w:kern w:val="2"/>
      <w:sz w:val="21"/>
      <w:szCs w:val="24"/>
      <w:lang w:val="en-US" w:eastAsia="zh-CN" w:bidi="ar-SA"/>
    </w:rPr>
  </w:style>
  <w:style w:type="character" w:customStyle="1" w:styleId="82">
    <w:name w:val="正文文本 Char"/>
    <w:autoRedefine/>
    <w:qFormat/>
    <w:uiPriority w:val="0"/>
    <w:rPr>
      <w:rFonts w:eastAsia="宋体"/>
      <w:kern w:val="2"/>
      <w:sz w:val="21"/>
      <w:szCs w:val="24"/>
      <w:lang w:val="en-US" w:eastAsia="zh-CN" w:bidi="ar-SA"/>
    </w:rPr>
  </w:style>
  <w:style w:type="paragraph" w:customStyle="1" w:styleId="83">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84">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列出段落1"/>
    <w:basedOn w:val="1"/>
    <w:autoRedefine/>
    <w:qFormat/>
    <w:uiPriority w:val="0"/>
    <w:pPr>
      <w:ind w:firstLine="420" w:firstLineChars="200"/>
    </w:pPr>
  </w:style>
  <w:style w:type="character" w:customStyle="1" w:styleId="86">
    <w:name w:val="正文文本 字符"/>
    <w:basedOn w:val="41"/>
    <w:link w:val="16"/>
    <w:autoRedefine/>
    <w:qFormat/>
    <w:uiPriority w:val="0"/>
    <w:rPr>
      <w:rFonts w:eastAsia="宋体"/>
      <w:kern w:val="2"/>
      <w:sz w:val="21"/>
    </w:rPr>
  </w:style>
  <w:style w:type="character" w:customStyle="1" w:styleId="87">
    <w:name w:val="正文文本首行缩进 字符"/>
    <w:basedOn w:val="86"/>
    <w:link w:val="37"/>
    <w:autoRedefine/>
    <w:qFormat/>
    <w:uiPriority w:val="99"/>
    <w:rPr>
      <w:rFonts w:eastAsia="宋体"/>
      <w:kern w:val="2"/>
      <w:sz w:val="21"/>
    </w:rPr>
  </w:style>
  <w:style w:type="character" w:customStyle="1" w:styleId="88">
    <w:name w:val="正文文本缩进 字符"/>
    <w:basedOn w:val="41"/>
    <w:link w:val="17"/>
    <w:autoRedefine/>
    <w:qFormat/>
    <w:uiPriority w:val="0"/>
    <w:rPr>
      <w:rFonts w:eastAsia="宋体"/>
      <w:kern w:val="2"/>
      <w:sz w:val="21"/>
    </w:rPr>
  </w:style>
  <w:style w:type="paragraph" w:customStyle="1" w:styleId="89">
    <w:name w:val="我的正文"/>
    <w:basedOn w:val="1"/>
    <w:autoRedefine/>
    <w:qFormat/>
    <w:uiPriority w:val="0"/>
    <w:rPr>
      <w:rFonts w:ascii="宋体" w:hAnsi="宋体"/>
      <w:sz w:val="24"/>
      <w:szCs w:val="24"/>
    </w:rPr>
  </w:style>
  <w:style w:type="paragraph" w:customStyle="1" w:styleId="9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customStyle="1" w:styleId="91">
    <w:name w:val="样式2"/>
    <w:basedOn w:val="4"/>
    <w:autoRedefine/>
    <w:qFormat/>
    <w:uiPriority w:val="0"/>
    <w:pPr>
      <w:spacing w:line="415" w:lineRule="auto"/>
      <w:ind w:firstLine="137"/>
    </w:pPr>
    <w:rPr>
      <w:rFonts w:hAnsi="Times New Roman"/>
      <w:bCs/>
      <w:i/>
      <w:szCs w:val="28"/>
    </w:rPr>
  </w:style>
  <w:style w:type="character" w:customStyle="1" w:styleId="92">
    <w:name w:val="标题 字符"/>
    <w:basedOn w:val="41"/>
    <w:link w:val="35"/>
    <w:autoRedefine/>
    <w:qFormat/>
    <w:uiPriority w:val="0"/>
    <w:rPr>
      <w:rFonts w:ascii="Arial" w:hAnsi="Arial" w:eastAsia="宋体"/>
      <w:b/>
      <w:sz w:val="32"/>
    </w:rPr>
  </w:style>
  <w:style w:type="paragraph" w:customStyle="1" w:styleId="93">
    <w:name w:val="Char1"/>
    <w:basedOn w:val="1"/>
    <w:autoRedefine/>
    <w:qFormat/>
    <w:uiPriority w:val="0"/>
    <w:pPr>
      <w:tabs>
        <w:tab w:val="left" w:pos="360"/>
      </w:tabs>
    </w:pPr>
    <w:rPr>
      <w:rFonts w:ascii="Times New Roman" w:hAnsi="Times New Roman"/>
      <w:sz w:val="24"/>
      <w:szCs w:val="20"/>
    </w:rPr>
  </w:style>
  <w:style w:type="paragraph" w:customStyle="1" w:styleId="94">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95">
    <w:name w:val="样式1"/>
    <w:basedOn w:val="1"/>
    <w:next w:val="5"/>
    <w:autoRedefine/>
    <w:qFormat/>
    <w:uiPriority w:val="0"/>
    <w:pPr>
      <w:spacing w:line="360" w:lineRule="auto"/>
      <w:ind w:firstLine="420" w:firstLineChars="200"/>
    </w:pPr>
    <w:rPr>
      <w:rFonts w:ascii="宋体" w:hAnsi="宋体"/>
      <w:szCs w:val="21"/>
    </w:rPr>
  </w:style>
  <w:style w:type="paragraph" w:customStyle="1" w:styleId="96">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7">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98">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99">
    <w:name w:val="1"/>
    <w:basedOn w:val="1"/>
    <w:autoRedefine/>
    <w:qFormat/>
    <w:uiPriority w:val="0"/>
    <w:rPr>
      <w:rFonts w:ascii="Times New Roman" w:hAnsi="Times New Roman"/>
      <w:szCs w:val="20"/>
    </w:rPr>
  </w:style>
  <w:style w:type="paragraph" w:customStyle="1" w:styleId="100">
    <w:name w:val="表格"/>
    <w:basedOn w:val="1"/>
    <w:autoRedefine/>
    <w:qFormat/>
    <w:uiPriority w:val="0"/>
    <w:pPr>
      <w:jc w:val="center"/>
      <w:textAlignment w:val="center"/>
    </w:pPr>
    <w:rPr>
      <w:rFonts w:ascii="华文细黑" w:hAnsi="华文细黑"/>
      <w:kern w:val="0"/>
      <w:szCs w:val="20"/>
    </w:rPr>
  </w:style>
  <w:style w:type="paragraph" w:customStyle="1" w:styleId="101">
    <w:name w:val="修订2"/>
    <w:autoRedefine/>
    <w:qFormat/>
    <w:uiPriority w:val="0"/>
    <w:rPr>
      <w:rFonts w:ascii="Times New Roman" w:hAnsi="Times New Roman" w:eastAsia="宋体" w:cs="Times New Roman"/>
      <w:kern w:val="2"/>
      <w:sz w:val="21"/>
      <w:szCs w:val="24"/>
      <w:lang w:val="en-US" w:eastAsia="zh-CN" w:bidi="ar-SA"/>
    </w:rPr>
  </w:style>
  <w:style w:type="table" w:customStyle="1" w:styleId="102">
    <w:name w:val="Table Normal"/>
    <w:autoRedefine/>
    <w:qFormat/>
    <w:uiPriority w:val="2"/>
    <w:pPr>
      <w:jc w:val="center"/>
    </w:pPr>
    <w:rPr>
      <w:rFonts w:ascii="Calibri" w:hAnsi="Calibri" w:cs="宋体"/>
      <w:sz w:val="22"/>
      <w:szCs w:val="22"/>
      <w:lang w:eastAsia="en-US"/>
    </w:rPr>
    <w:tblPr>
      <w:tblCellMar>
        <w:top w:w="0" w:type="dxa"/>
        <w:left w:w="0" w:type="dxa"/>
        <w:bottom w:w="0" w:type="dxa"/>
        <w:right w:w="0" w:type="dxa"/>
      </w:tblCellMar>
    </w:tblPr>
  </w:style>
  <w:style w:type="paragraph" w:customStyle="1" w:styleId="103">
    <w:name w:val="Table Paragraph"/>
    <w:basedOn w:val="1"/>
    <w:autoRedefine/>
    <w:qFormat/>
    <w:uiPriority w:val="1"/>
    <w:pPr>
      <w:widowControl/>
      <w:jc w:val="center"/>
    </w:pPr>
    <w:rPr>
      <w:rFonts w:ascii="宋体" w:hAnsi="宋体" w:cs="宋体"/>
      <w:kern w:val="0"/>
      <w:sz w:val="22"/>
      <w:lang w:val="zh-CN" w:bidi="zh-CN"/>
    </w:rPr>
  </w:style>
  <w:style w:type="paragraph" w:styleId="104">
    <w:name w:val="List Paragraph"/>
    <w:basedOn w:val="1"/>
    <w:autoRedefine/>
    <w:qFormat/>
    <w:uiPriority w:val="34"/>
    <w:pPr>
      <w:ind w:firstLine="420" w:firstLineChars="200"/>
    </w:pPr>
  </w:style>
  <w:style w:type="character" w:customStyle="1" w:styleId="105">
    <w:name w:val="正文文本缩进 2 字符"/>
    <w:basedOn w:val="41"/>
    <w:link w:val="23"/>
    <w:autoRedefine/>
    <w:qFormat/>
    <w:uiPriority w:val="0"/>
    <w:rPr>
      <w:rFonts w:ascii="Calibri" w:hAnsi="Calibri" w:eastAsia="宋体"/>
      <w:kern w:val="2"/>
      <w:sz w:val="21"/>
      <w:szCs w:val="22"/>
    </w:rPr>
  </w:style>
  <w:style w:type="character" w:customStyle="1" w:styleId="106">
    <w:name w:val="纯文本 字符"/>
    <w:link w:val="20"/>
    <w:autoRedefine/>
    <w:qFormat/>
    <w:uiPriority w:val="0"/>
    <w:rPr>
      <w:rFonts w:ascii="宋体" w:hAnsi="Calibri" w:eastAsia="宋体"/>
      <w:kern w:val="2"/>
      <w:sz w:val="21"/>
      <w:szCs w:val="22"/>
    </w:rPr>
  </w:style>
  <w:style w:type="paragraph" w:customStyle="1" w:styleId="107">
    <w:name w:val="Char Char Char Char Char Char"/>
    <w:basedOn w:val="1"/>
    <w:autoRedefine/>
    <w:qFormat/>
    <w:uiPriority w:val="0"/>
    <w:rPr>
      <w:rFonts w:ascii="Times New Roman" w:hAnsi="Times New Roman"/>
      <w:szCs w:val="24"/>
    </w:rPr>
  </w:style>
  <w:style w:type="character" w:customStyle="1" w:styleId="108">
    <w:name w:val="正文文本 (2) + 非粗体"/>
    <w:basedOn w:val="109"/>
    <w:autoRedefine/>
    <w:qFormat/>
    <w:uiPriority w:val="0"/>
    <w:rPr>
      <w:rFonts w:ascii="MingLiU" w:hAnsi="MingLiU" w:eastAsia="MingLiU" w:cs="MingLiU"/>
      <w:color w:val="000000"/>
      <w:spacing w:val="0"/>
      <w:w w:val="100"/>
      <w:position w:val="0"/>
      <w:sz w:val="20"/>
      <w:szCs w:val="20"/>
      <w:shd w:val="clear" w:color="auto" w:fill="FFFFFF"/>
      <w:lang w:val="zh-TW" w:eastAsia="zh-TW" w:bidi="zh-TW"/>
    </w:rPr>
  </w:style>
  <w:style w:type="character" w:customStyle="1" w:styleId="109">
    <w:name w:val="正文文本 (2)_"/>
    <w:basedOn w:val="41"/>
    <w:autoRedefine/>
    <w:qFormat/>
    <w:uiPriority w:val="0"/>
    <w:rPr>
      <w:rFonts w:ascii="MingLiU" w:hAnsi="MingLiU" w:eastAsia="MingLiU" w:cs="MingLiU"/>
      <w:b/>
      <w:bCs/>
      <w:sz w:val="20"/>
      <w:szCs w:val="20"/>
      <w:shd w:val="clear" w:color="auto" w:fill="FFFFFF"/>
    </w:rPr>
  </w:style>
  <w:style w:type="paragraph" w:customStyle="1" w:styleId="110">
    <w:name w:val="修订3"/>
    <w:autoRedefine/>
    <w:qFormat/>
    <w:uiPriority w:val="99"/>
    <w:rPr>
      <w:rFonts w:ascii="Calibri" w:hAnsi="Calibri" w:eastAsia="宋体" w:cs="Times New Roman"/>
      <w:kern w:val="2"/>
      <w:sz w:val="21"/>
      <w:szCs w:val="22"/>
      <w:lang w:val="en-US" w:eastAsia="zh-CN" w:bidi="ar-SA"/>
    </w:rPr>
  </w:style>
  <w:style w:type="character" w:customStyle="1" w:styleId="111">
    <w:name w:val="正文文本 (2) + 10 pt"/>
    <w:basedOn w:val="41"/>
    <w:autoRedefine/>
    <w:qFormat/>
    <w:uiPriority w:val="0"/>
    <w:rPr>
      <w:rFonts w:ascii="MingLiU" w:hAnsi="MingLiU" w:eastAsia="MingLiU" w:cs="MingLiU"/>
      <w:color w:val="000000"/>
      <w:spacing w:val="0"/>
      <w:w w:val="100"/>
      <w:position w:val="0"/>
      <w:sz w:val="20"/>
      <w:szCs w:val="20"/>
      <w:u w:val="none"/>
      <w:shd w:val="clear" w:color="auto" w:fill="FFFFFF"/>
      <w:lang w:val="zh-TW" w:eastAsia="zh-TW" w:bidi="zh-TW"/>
    </w:rPr>
  </w:style>
  <w:style w:type="paragraph" w:customStyle="1" w:styleId="112">
    <w:name w:val="正文文本 (2)"/>
    <w:basedOn w:val="1"/>
    <w:autoRedefine/>
    <w:qFormat/>
    <w:uiPriority w:val="0"/>
    <w:pPr>
      <w:shd w:val="clear" w:color="auto" w:fill="FFFFFF"/>
      <w:spacing w:line="0" w:lineRule="atLeast"/>
      <w:jc w:val="left"/>
    </w:pPr>
    <w:rPr>
      <w:rFonts w:ascii="MingLiU" w:hAnsi="MingLiU" w:eastAsia="MingLiU" w:cs="MingLiU"/>
      <w:szCs w:val="21"/>
    </w:rPr>
  </w:style>
  <w:style w:type="character" w:customStyle="1" w:styleId="113">
    <w:name w:val="font81"/>
    <w:basedOn w:val="41"/>
    <w:qFormat/>
    <w:uiPriority w:val="0"/>
    <w:rPr>
      <w:rFonts w:hint="eastAsia" w:ascii="宋体" w:hAnsi="宋体" w:eastAsia="宋体" w:cs="宋体"/>
      <w:b/>
      <w:bCs/>
      <w:color w:val="000000"/>
      <w:sz w:val="20"/>
      <w:szCs w:val="20"/>
      <w:u w:val="none"/>
    </w:rPr>
  </w:style>
  <w:style w:type="character" w:customStyle="1" w:styleId="114">
    <w:name w:val="font91"/>
    <w:basedOn w:val="41"/>
    <w:qFormat/>
    <w:uiPriority w:val="0"/>
    <w:rPr>
      <w:rFonts w:hint="eastAsia" w:ascii="宋体" w:hAnsi="宋体" w:eastAsia="宋体" w:cs="宋体"/>
      <w:b/>
      <w:bCs/>
      <w:color w:val="000000"/>
      <w:sz w:val="20"/>
      <w:szCs w:val="20"/>
      <w:u w:val="none"/>
    </w:rPr>
  </w:style>
  <w:style w:type="character" w:customStyle="1" w:styleId="115">
    <w:name w:val="font101"/>
    <w:basedOn w:val="41"/>
    <w:qFormat/>
    <w:uiPriority w:val="0"/>
    <w:rPr>
      <w:rFonts w:hint="eastAsia" w:ascii="宋体" w:hAnsi="宋体" w:eastAsia="宋体" w:cs="宋体"/>
      <w:color w:val="000000"/>
      <w:sz w:val="20"/>
      <w:szCs w:val="20"/>
      <w:u w:val="none"/>
    </w:rPr>
  </w:style>
  <w:style w:type="character" w:customStyle="1" w:styleId="116">
    <w:name w:val="正文文本 (2) + 9.5 pt"/>
    <w:basedOn w:val="109"/>
    <w:qFormat/>
    <w:uiPriority w:val="0"/>
    <w:rPr>
      <w:rFonts w:ascii="MingLiU" w:hAnsi="MingLiU" w:eastAsia="MingLiU" w:cs="MingLiU"/>
      <w:color w:val="000000"/>
      <w:spacing w:val="0"/>
      <w:w w:val="100"/>
      <w:position w:val="0"/>
      <w:sz w:val="19"/>
      <w:szCs w:val="19"/>
      <w:shd w:val="clear" w:color="auto" w:fill="FFFFFF"/>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835</Words>
  <Characters>865</Characters>
  <Lines>387</Lines>
  <Paragraphs>109</Paragraphs>
  <TotalTime>0</TotalTime>
  <ScaleCrop>false</ScaleCrop>
  <LinksUpToDate>false</LinksUpToDate>
  <CharactersWithSpaces>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2019-05-07T08:10:00Z</dcterms:created>
  <dc:creator>袁静</dc:creator>
  <cp:lastModifiedBy>Administrator</cp:lastModifiedBy>
  <cp:lastPrinted>2018-10-19T07:50:00Z</cp:lastPrinted>
  <dcterms:modified xsi:type="dcterms:W3CDTF">2025-03-27T05:02:35Z</dcterms:modified>
  <dc:title>中华人民共和国</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DE8E88303B70418ABB0BC914BE70AE06</vt:lpwstr>
  </property>
  <property fmtid="{D5CDD505-2E9C-101B-9397-08002B2CF9AE}" pid="4" name="KSOTemplateDocerSaveRecord">
    <vt:lpwstr>eyJoZGlkIjoiOTNiYjViZTkzOWFkODUzYmI4Zjc3YTQ2NDExNzgwZDEiLCJ1c2VySWQiOiI0MTQ0ODM4MDcifQ==</vt:lpwstr>
  </property>
</Properties>
</file>