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FFE01">
      <w:pPr>
        <w:pageBreakBefore w:val="0"/>
        <w:widowControl w:val="0"/>
        <w:kinsoku/>
        <w:overflowPunct/>
        <w:autoSpaceDE/>
        <w:autoSpaceDN/>
        <w:bidi w:val="0"/>
        <w:adjustRightInd/>
        <w:snapToGrid/>
        <w:spacing w:before="120" w:beforeLines="50" w:after="120" w:afterLines="50" w:line="440" w:lineRule="exact"/>
        <w:jc w:val="center"/>
        <w:textAlignment w:val="auto"/>
        <w:rPr>
          <w:rFonts w:hint="default" w:ascii="宋体" w:hAnsi="宋体" w:cs="宋体"/>
          <w:color w:val="auto"/>
          <w:sz w:val="28"/>
          <w:szCs w:val="28"/>
          <w:lang w:val="en-US" w:eastAsia="zh-CN"/>
        </w:rPr>
      </w:pPr>
      <w:bookmarkStart w:id="0" w:name="OLE_LINK1"/>
      <w:r>
        <w:rPr>
          <w:rFonts w:hint="eastAsia" w:ascii="宋体" w:hAnsi="宋体" w:cs="宋体"/>
          <w:color w:val="auto"/>
          <w:sz w:val="28"/>
          <w:szCs w:val="28"/>
          <w:lang w:eastAsia="zh-CN"/>
        </w:rPr>
        <w:t>国道集贤至当壁公路宝清界至兴凯镇段、临河至当壁镇口岸段和省道名山至兴凯湖公路兴光至兴凯湖博物馆段路面改造工程施工</w:t>
      </w:r>
      <w:r>
        <w:rPr>
          <w:rFonts w:hint="eastAsia" w:ascii="宋体" w:hAnsi="宋体" w:cs="宋体"/>
          <w:color w:val="auto"/>
          <w:sz w:val="28"/>
          <w:szCs w:val="28"/>
          <w:lang w:val="en-US" w:eastAsia="zh-CN"/>
        </w:rPr>
        <w:t>.</w:t>
      </w:r>
      <w:bookmarkStart w:id="28" w:name="_GoBack"/>
      <w:bookmarkEnd w:id="28"/>
    </w:p>
    <w:p w14:paraId="25D7EC27">
      <w:pPr>
        <w:pageBreakBefore w:val="0"/>
        <w:widowControl w:val="0"/>
        <w:kinsoku/>
        <w:overflowPunct/>
        <w:autoSpaceDE/>
        <w:autoSpaceDN/>
        <w:bidi w:val="0"/>
        <w:adjustRightInd/>
        <w:snapToGrid/>
        <w:spacing w:before="120" w:beforeLines="50" w:after="120" w:afterLines="50" w:line="440" w:lineRule="exact"/>
        <w:jc w:val="center"/>
        <w:textAlignment w:val="auto"/>
        <w:rPr>
          <w:rFonts w:hint="eastAsia" w:ascii="宋体" w:hAnsi="宋体" w:cs="宋体"/>
          <w:color w:val="auto"/>
          <w:sz w:val="28"/>
          <w:szCs w:val="28"/>
        </w:rPr>
      </w:pPr>
      <w:r>
        <w:rPr>
          <w:rFonts w:hint="eastAsia" w:ascii="宋体" w:hAnsi="宋体" w:cs="宋体"/>
          <w:color w:val="auto"/>
          <w:sz w:val="28"/>
          <w:szCs w:val="28"/>
        </w:rPr>
        <w:t>招标公告</w:t>
      </w:r>
    </w:p>
    <w:p w14:paraId="521254AC">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color w:val="auto"/>
          <w:szCs w:val="21"/>
        </w:rPr>
      </w:pPr>
      <w:r>
        <w:rPr>
          <w:rFonts w:hint="eastAsia" w:ascii="宋体" w:hAnsi="宋体" w:cs="宋体"/>
          <w:color w:val="auto"/>
          <w:szCs w:val="21"/>
        </w:rPr>
        <w:t>招标编号：DCZX2025-HLJ-0047</w:t>
      </w:r>
    </w:p>
    <w:p w14:paraId="59EC10F9">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1" w:name="_Toc509334288"/>
      <w:bookmarkStart w:id="2" w:name="_Toc509819250"/>
      <w:r>
        <w:rPr>
          <w:rFonts w:hint="eastAsia" w:ascii="宋体" w:hAnsi="宋体" w:cs="宋体"/>
          <w:b/>
          <w:bCs/>
          <w:color w:val="auto"/>
          <w:szCs w:val="21"/>
        </w:rPr>
        <w:t>1.招标条件</w:t>
      </w:r>
      <w:bookmarkEnd w:id="1"/>
      <w:bookmarkEnd w:id="2"/>
    </w:p>
    <w:p w14:paraId="0903289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bookmarkStart w:id="3" w:name="_Toc509334289"/>
      <w:bookmarkStart w:id="4" w:name="_Toc509819251"/>
      <w:r>
        <w:rPr>
          <w:rFonts w:hint="eastAsia" w:ascii="宋体" w:hAnsi="宋体" w:cs="宋体"/>
          <w:color w:val="auto"/>
          <w:szCs w:val="21"/>
        </w:rPr>
        <w:t>本招标项目</w:t>
      </w:r>
      <w:r>
        <w:rPr>
          <w:rFonts w:hint="eastAsia" w:ascii="宋体" w:hAnsi="宋体" w:cs="宋体"/>
          <w:color w:val="auto"/>
          <w:szCs w:val="21"/>
          <w:u w:val="single"/>
        </w:rPr>
        <w:t>国道集贤至当壁公路宝清界至兴凯镇段、临河至当壁镇口岸段和省道名山至兴凯湖公路兴光至兴凯湖博物馆段路面改造工程施工</w:t>
      </w:r>
      <w:r>
        <w:rPr>
          <w:rFonts w:hint="eastAsia" w:ascii="宋体" w:hAnsi="宋体" w:cs="宋体"/>
          <w:color w:val="auto"/>
          <w:szCs w:val="21"/>
        </w:rPr>
        <w:t>（以下简称“本项目”）已由</w:t>
      </w:r>
      <w:r>
        <w:rPr>
          <w:rFonts w:hint="eastAsia" w:ascii="宋体" w:hAnsi="宋体" w:eastAsia="宋体" w:cs="宋体"/>
          <w:szCs w:val="21"/>
          <w:u w:val="single"/>
        </w:rPr>
        <w:t>黑龙江省交通运输厅</w:t>
      </w:r>
      <w:r>
        <w:rPr>
          <w:rFonts w:hint="eastAsia" w:ascii="宋体" w:hAnsi="宋体" w:eastAsia="宋体" w:cs="宋体"/>
          <w:szCs w:val="21"/>
        </w:rPr>
        <w:t>以</w:t>
      </w:r>
      <w:r>
        <w:rPr>
          <w:rFonts w:hint="eastAsia" w:ascii="宋体" w:hAnsi="宋体" w:eastAsia="宋体" w:cs="宋体"/>
          <w:szCs w:val="21"/>
          <w:u w:val="single"/>
        </w:rPr>
        <w:t>《黑龙江省交通运输厅关于国道集贤至当壁公路宝清界至兴凯镇段路面改造工程施工图设计的批复》（黑交发[2024]205号）、《黑龙江省交通运输厅关于国道集贤至当壁公路临河至当壁镇口岸段路面改造工程施工图设计的批复》（黑交发[2024]204号）、《黑龙江省交通运输厅关于省道名山至兴凯湖公路兴光至兴凯湖博物馆段路面改造工程施工图设计的批复》（黑交发[2024]203号</w:t>
      </w:r>
      <w:r>
        <w:rPr>
          <w:rFonts w:hint="eastAsia" w:ascii="宋体" w:hAnsi="宋体" w:eastAsia="宋体" w:cs="宋体"/>
          <w:szCs w:val="21"/>
        </w:rPr>
        <w:t>）</w:t>
      </w:r>
      <w:r>
        <w:rPr>
          <w:rFonts w:hint="eastAsia" w:ascii="宋体" w:hAnsi="宋体" w:cs="宋体"/>
          <w:szCs w:val="21"/>
          <w:lang w:val="en-US" w:eastAsia="zh-CN"/>
        </w:rPr>
        <w:t>及</w:t>
      </w:r>
      <w:r>
        <w:rPr>
          <w:rFonts w:hint="eastAsia" w:ascii="宋体" w:hAnsi="宋体" w:cs="宋体"/>
          <w:szCs w:val="21"/>
          <w:u w:val="single"/>
          <w:lang w:val="en-US" w:eastAsia="zh-CN"/>
        </w:rPr>
        <w:t>密山市交通运输局</w:t>
      </w:r>
      <w:r>
        <w:rPr>
          <w:rFonts w:hint="eastAsia" w:ascii="宋体" w:hAnsi="宋体" w:cs="宋体"/>
          <w:szCs w:val="21"/>
          <w:lang w:val="en-US" w:eastAsia="zh-CN"/>
        </w:rPr>
        <w:t>以</w:t>
      </w:r>
      <w:r>
        <w:rPr>
          <w:rFonts w:hint="eastAsia" w:ascii="宋体" w:hAnsi="宋体" w:cs="宋体"/>
          <w:szCs w:val="21"/>
          <w:u w:val="single"/>
          <w:lang w:val="en-US" w:eastAsia="zh-CN"/>
        </w:rPr>
        <w:t>《关于国道集贤至当壁公路宝清界至兴凯镇段路面改造项目补充设计预算评审及履行招采程序的请示》</w:t>
      </w:r>
      <w:r>
        <w:rPr>
          <w:rFonts w:hint="eastAsia" w:ascii="宋体" w:hAnsi="宋体" w:eastAsia="宋体" w:cs="宋体"/>
          <w:szCs w:val="21"/>
          <w:u w:val="single"/>
        </w:rPr>
        <w:t>（</w:t>
      </w:r>
      <w:r>
        <w:rPr>
          <w:rFonts w:hint="eastAsia" w:ascii="宋体" w:hAnsi="宋体" w:cs="宋体"/>
          <w:szCs w:val="21"/>
          <w:u w:val="single"/>
          <w:lang w:val="en-US" w:eastAsia="zh-CN"/>
        </w:rPr>
        <w:t>密交政呈</w:t>
      </w:r>
      <w:r>
        <w:rPr>
          <w:rFonts w:hint="eastAsia" w:ascii="宋体" w:hAnsi="宋体" w:eastAsia="宋体" w:cs="宋体"/>
          <w:szCs w:val="21"/>
          <w:u w:val="single"/>
        </w:rPr>
        <w:t>[</w:t>
      </w:r>
      <w:r>
        <w:rPr>
          <w:rFonts w:hint="eastAsia" w:ascii="宋体" w:hAnsi="宋体" w:cs="宋体"/>
          <w:szCs w:val="21"/>
          <w:u w:val="single"/>
          <w:lang w:val="en-US" w:eastAsia="zh-CN"/>
        </w:rPr>
        <w:t>2025</w:t>
      </w:r>
      <w:r>
        <w:rPr>
          <w:rFonts w:hint="eastAsia" w:ascii="宋体" w:hAnsi="宋体" w:eastAsia="宋体" w:cs="宋体"/>
          <w:szCs w:val="21"/>
          <w:u w:val="single"/>
        </w:rPr>
        <w:t>]</w:t>
      </w:r>
      <w:r>
        <w:rPr>
          <w:rFonts w:hint="eastAsia" w:ascii="宋体" w:hAnsi="宋体" w:cs="宋体"/>
          <w:szCs w:val="21"/>
          <w:u w:val="single"/>
          <w:lang w:val="en-US" w:eastAsia="zh-CN"/>
        </w:rPr>
        <w:t>62</w:t>
      </w:r>
      <w:r>
        <w:rPr>
          <w:rFonts w:hint="eastAsia" w:ascii="宋体" w:hAnsi="宋体" w:eastAsia="宋体" w:cs="宋体"/>
          <w:szCs w:val="21"/>
          <w:u w:val="single"/>
        </w:rPr>
        <w:t>号）、</w:t>
      </w:r>
      <w:r>
        <w:rPr>
          <w:rFonts w:hint="eastAsia" w:ascii="宋体" w:hAnsi="宋体" w:cs="宋体"/>
          <w:szCs w:val="21"/>
          <w:u w:val="single"/>
          <w:lang w:eastAsia="zh-CN"/>
        </w:rPr>
        <w:t>《关于国道集贤至当壁公路临河至当壁镇口岸段路面改造项目补充设计施工图预算评审及履行招采程序的请示》</w:t>
      </w:r>
      <w:r>
        <w:rPr>
          <w:rFonts w:hint="eastAsia" w:ascii="宋体" w:hAnsi="宋体" w:eastAsia="宋体" w:cs="宋体"/>
          <w:szCs w:val="21"/>
          <w:u w:val="single"/>
        </w:rPr>
        <w:t>（</w:t>
      </w:r>
      <w:r>
        <w:rPr>
          <w:rFonts w:hint="eastAsia" w:ascii="宋体" w:hAnsi="宋体" w:cs="宋体"/>
          <w:szCs w:val="21"/>
          <w:u w:val="single"/>
          <w:lang w:val="en-US" w:eastAsia="zh-CN"/>
        </w:rPr>
        <w:t>密交政呈</w:t>
      </w:r>
      <w:r>
        <w:rPr>
          <w:rFonts w:hint="eastAsia" w:ascii="宋体" w:hAnsi="宋体" w:eastAsia="宋体" w:cs="宋体"/>
          <w:szCs w:val="21"/>
          <w:u w:val="single"/>
        </w:rPr>
        <w:t>[</w:t>
      </w:r>
      <w:r>
        <w:rPr>
          <w:rFonts w:hint="eastAsia" w:ascii="宋体" w:hAnsi="宋体" w:cs="宋体"/>
          <w:szCs w:val="21"/>
          <w:u w:val="single"/>
          <w:lang w:val="en-US" w:eastAsia="zh-CN"/>
        </w:rPr>
        <w:t>2025</w:t>
      </w:r>
      <w:r>
        <w:rPr>
          <w:rFonts w:hint="eastAsia" w:ascii="宋体" w:hAnsi="宋体" w:eastAsia="宋体" w:cs="宋体"/>
          <w:szCs w:val="21"/>
          <w:u w:val="single"/>
        </w:rPr>
        <w:t>]</w:t>
      </w:r>
      <w:r>
        <w:rPr>
          <w:rFonts w:hint="eastAsia" w:ascii="宋体" w:hAnsi="宋体" w:cs="宋体"/>
          <w:szCs w:val="21"/>
          <w:u w:val="single"/>
          <w:lang w:val="en-US" w:eastAsia="zh-CN"/>
        </w:rPr>
        <w:t>61</w:t>
      </w:r>
      <w:r>
        <w:rPr>
          <w:rFonts w:hint="eastAsia" w:ascii="宋体" w:hAnsi="宋体" w:eastAsia="宋体" w:cs="宋体"/>
          <w:szCs w:val="21"/>
          <w:u w:val="single"/>
        </w:rPr>
        <w:t>号）、</w:t>
      </w:r>
      <w:r>
        <w:rPr>
          <w:rFonts w:hint="eastAsia" w:ascii="宋体" w:hAnsi="宋体" w:cs="宋体"/>
          <w:szCs w:val="21"/>
          <w:u w:val="single"/>
          <w:lang w:eastAsia="zh-CN"/>
        </w:rPr>
        <w:t>《关于省道名山至兴凯湖公路兴光至兴凯湖博物馆段路面改造工程补充设计施工图预算评审及履行招采程序的请示》</w:t>
      </w:r>
      <w:r>
        <w:rPr>
          <w:rFonts w:hint="eastAsia" w:ascii="宋体" w:hAnsi="宋体" w:eastAsia="宋体" w:cs="宋体"/>
          <w:szCs w:val="21"/>
          <w:u w:val="single"/>
        </w:rPr>
        <w:t>（</w:t>
      </w:r>
      <w:r>
        <w:rPr>
          <w:rFonts w:hint="eastAsia" w:ascii="宋体" w:hAnsi="宋体" w:cs="宋体"/>
          <w:szCs w:val="21"/>
          <w:u w:val="single"/>
          <w:lang w:val="en-US" w:eastAsia="zh-CN"/>
        </w:rPr>
        <w:t>密交政呈</w:t>
      </w:r>
      <w:r>
        <w:rPr>
          <w:rFonts w:hint="eastAsia" w:ascii="宋体" w:hAnsi="宋体" w:eastAsia="宋体" w:cs="宋体"/>
          <w:szCs w:val="21"/>
          <w:u w:val="single"/>
        </w:rPr>
        <w:t>[</w:t>
      </w:r>
      <w:r>
        <w:rPr>
          <w:rFonts w:hint="eastAsia" w:ascii="宋体" w:hAnsi="宋体" w:cs="宋体"/>
          <w:szCs w:val="21"/>
          <w:u w:val="single"/>
          <w:lang w:val="en-US" w:eastAsia="zh-CN"/>
        </w:rPr>
        <w:t>2025</w:t>
      </w:r>
      <w:r>
        <w:rPr>
          <w:rFonts w:hint="eastAsia" w:ascii="宋体" w:hAnsi="宋体" w:eastAsia="宋体" w:cs="宋体"/>
          <w:szCs w:val="21"/>
          <w:u w:val="single"/>
        </w:rPr>
        <w:t>]</w:t>
      </w:r>
      <w:r>
        <w:rPr>
          <w:rFonts w:hint="eastAsia" w:ascii="宋体" w:hAnsi="宋体" w:cs="宋体"/>
          <w:szCs w:val="21"/>
          <w:u w:val="single"/>
          <w:lang w:val="en-US" w:eastAsia="zh-CN"/>
        </w:rPr>
        <w:t>60</w:t>
      </w:r>
      <w:r>
        <w:rPr>
          <w:rFonts w:hint="eastAsia" w:ascii="宋体" w:hAnsi="宋体" w:eastAsia="宋体" w:cs="宋体"/>
          <w:szCs w:val="21"/>
          <w:u w:val="single"/>
        </w:rPr>
        <w:t>号）</w:t>
      </w:r>
      <w:r>
        <w:rPr>
          <w:rFonts w:hint="eastAsia" w:ascii="宋体" w:hAnsi="宋体" w:eastAsia="宋体" w:cs="宋体"/>
          <w:szCs w:val="21"/>
          <w:lang w:val="en-US" w:eastAsia="zh-CN"/>
        </w:rPr>
        <w:t>文件</w:t>
      </w:r>
      <w:r>
        <w:rPr>
          <w:rFonts w:hint="eastAsia" w:ascii="宋体" w:hAnsi="宋体" w:eastAsia="宋体" w:cs="宋体"/>
          <w:szCs w:val="21"/>
        </w:rPr>
        <w:t>批准建设</w:t>
      </w:r>
      <w:r>
        <w:rPr>
          <w:rFonts w:hint="eastAsia" w:ascii="宋体" w:hAnsi="宋体" w:cs="宋体"/>
          <w:color w:val="auto"/>
          <w:szCs w:val="21"/>
        </w:rPr>
        <w:t>，项目业主为</w:t>
      </w:r>
      <w:r>
        <w:rPr>
          <w:rFonts w:hint="eastAsia" w:ascii="宋体" w:hAnsi="宋体" w:cs="宋体"/>
          <w:color w:val="auto"/>
          <w:szCs w:val="21"/>
          <w:u w:val="single"/>
        </w:rPr>
        <w:t>密山市交通运输局</w:t>
      </w:r>
      <w:r>
        <w:rPr>
          <w:rFonts w:hint="eastAsia" w:ascii="宋体" w:hAnsi="宋体" w:cs="宋体"/>
          <w:color w:val="auto"/>
          <w:szCs w:val="21"/>
        </w:rPr>
        <w:t>，建设资金来自</w:t>
      </w:r>
      <w:r>
        <w:rPr>
          <w:rFonts w:hint="eastAsia" w:ascii="宋体" w:hAnsi="宋体" w:cs="宋体"/>
          <w:color w:val="auto"/>
          <w:szCs w:val="21"/>
          <w:u w:val="single"/>
        </w:rPr>
        <w:t>拟申请中央车购税补助资金</w:t>
      </w:r>
      <w:r>
        <w:rPr>
          <w:rFonts w:hint="eastAsia" w:ascii="宋体" w:hAnsi="宋体" w:cs="宋体"/>
          <w:color w:val="auto"/>
          <w:szCs w:val="21"/>
          <w:u w:val="single"/>
          <w:lang w:eastAsia="zh-CN"/>
        </w:rPr>
        <w:t>、</w:t>
      </w:r>
      <w:r>
        <w:rPr>
          <w:rFonts w:hint="eastAsia" w:ascii="宋体" w:hAnsi="宋体" w:eastAsia="宋体" w:cs="宋体"/>
          <w:szCs w:val="21"/>
          <w:u w:val="single"/>
        </w:rPr>
        <w:t>拟申请省级补助资金</w:t>
      </w:r>
      <w:r>
        <w:rPr>
          <w:rFonts w:hint="eastAsia" w:ascii="宋体" w:hAnsi="宋体" w:cs="宋体"/>
          <w:szCs w:val="21"/>
          <w:u w:val="single"/>
          <w:lang w:val="en-US" w:eastAsia="zh-CN"/>
        </w:rPr>
        <w:t>及</w:t>
      </w:r>
      <w:r>
        <w:rPr>
          <w:rFonts w:hint="eastAsia" w:ascii="宋体" w:hAnsi="宋体" w:eastAsia="宋体" w:cs="宋体"/>
          <w:szCs w:val="21"/>
          <w:u w:val="single"/>
        </w:rPr>
        <w:t>地方自筹</w:t>
      </w:r>
      <w:r>
        <w:rPr>
          <w:rFonts w:hint="eastAsia" w:ascii="宋体" w:hAnsi="宋体" w:cs="宋体"/>
          <w:color w:val="auto"/>
          <w:szCs w:val="21"/>
        </w:rPr>
        <w:t>，招标人为</w:t>
      </w:r>
      <w:r>
        <w:rPr>
          <w:rFonts w:hint="eastAsia" w:ascii="宋体" w:hAnsi="宋体" w:cs="宋体"/>
          <w:color w:val="auto"/>
          <w:szCs w:val="21"/>
          <w:u w:val="single"/>
        </w:rPr>
        <w:t>密山市交通运输局</w:t>
      </w:r>
      <w:r>
        <w:rPr>
          <w:rFonts w:hint="eastAsia" w:ascii="宋体" w:hAnsi="宋体" w:cs="宋体"/>
          <w:color w:val="auto"/>
          <w:szCs w:val="21"/>
        </w:rPr>
        <w:t>。项目已具备招标条件，现对该项目的</w:t>
      </w:r>
      <w:r>
        <w:rPr>
          <w:rFonts w:hint="eastAsia" w:ascii="宋体" w:hAnsi="宋体" w:cs="宋体"/>
          <w:color w:val="auto"/>
          <w:szCs w:val="21"/>
          <w:u w:val="single"/>
        </w:rPr>
        <w:t>施工</w:t>
      </w:r>
      <w:r>
        <w:rPr>
          <w:rFonts w:hint="eastAsia" w:ascii="宋体" w:hAnsi="宋体" w:cs="宋体"/>
          <w:color w:val="auto"/>
          <w:szCs w:val="21"/>
        </w:rPr>
        <w:t>进行公开招标。</w:t>
      </w:r>
    </w:p>
    <w:p w14:paraId="44492418">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2．项目概况</w:t>
      </w:r>
      <w:bookmarkEnd w:id="3"/>
      <w:r>
        <w:rPr>
          <w:rFonts w:hint="eastAsia" w:ascii="宋体" w:hAnsi="宋体" w:cs="宋体"/>
          <w:b/>
          <w:bCs/>
          <w:color w:val="auto"/>
          <w:szCs w:val="21"/>
        </w:rPr>
        <w:t>和招标范围</w:t>
      </w:r>
      <w:bookmarkEnd w:id="4"/>
    </w:p>
    <w:p w14:paraId="089EC7D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2.1工程概况：</w:t>
      </w:r>
    </w:p>
    <w:p w14:paraId="79CE48B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（1）国道集贤至当壁公路宝清界至兴凯镇段：二级公路，全长16.101公里；沥青混凝土路面143216平方米，拆除重建涵洞9道，维修平面交叉54处，设置标志406架、标线14904平方米、路侧护栏3150米、道口标柱108根。</w:t>
      </w:r>
    </w:p>
    <w:p w14:paraId="5FC7B557">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国道集贤至当壁公路临河至当壁镇口岸段：二级公路，全长23.822公里；沥青混凝土路面218675平方米，拆除重建涵洞25道，增设涵洞1道，维修平面交叉81处，设置标志256架、标线9599平方米、路侧护栏9910米、道口标柱292根。</w:t>
      </w:r>
    </w:p>
    <w:p w14:paraId="0566707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省道名山至兴凯湖公路兴光至兴凯湖博物馆段：二级公路，建设里程43.950公里；沥青混凝土路面457407平方米，维修桥梁11座（含维修利用大桥607.5米/1座），拆除重建涵洞4道，维修涵洞16道，维修平面交叉58处，改造道班场区路面2处，设置标志370架、标线23434平方米、路侧护栏13520米、道口标柱584根，维修更换停靠站雨棚10座。</w:t>
      </w:r>
    </w:p>
    <w:p w14:paraId="45B0E06F">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2.2建设地点：</w:t>
      </w:r>
      <w:r>
        <w:rPr>
          <w:rFonts w:hint="eastAsia" w:ascii="宋体" w:hAnsi="宋体" w:eastAsia="宋体" w:cs="宋体"/>
          <w:szCs w:val="21"/>
        </w:rPr>
        <w:t>密山市</w:t>
      </w:r>
      <w:r>
        <w:rPr>
          <w:rFonts w:hint="eastAsia" w:ascii="宋体" w:hAnsi="宋体" w:eastAsia="宋体" w:cs="宋体"/>
          <w:color w:val="auto"/>
          <w:szCs w:val="21"/>
          <w:lang w:eastAsia="zh-CN"/>
        </w:rPr>
        <w:t>；</w:t>
      </w:r>
    </w:p>
    <w:p w14:paraId="7F53ACE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2.3计划工期：</w:t>
      </w:r>
      <w:bookmarkStart w:id="5" w:name="_Hlk183253921"/>
      <w:r>
        <w:rPr>
          <w:rFonts w:hint="eastAsia" w:ascii="宋体" w:hAnsi="宋体" w:cs="宋体"/>
          <w:color w:val="auto"/>
          <w:szCs w:val="21"/>
        </w:rPr>
        <w:t>总工期</w:t>
      </w:r>
      <w:r>
        <w:rPr>
          <w:rFonts w:hint="eastAsia" w:ascii="宋体" w:hAnsi="宋体" w:cs="宋体"/>
          <w:color w:val="auto"/>
          <w:szCs w:val="21"/>
          <w:lang w:val="en-US" w:eastAsia="zh-CN"/>
        </w:rPr>
        <w:t>221</w:t>
      </w:r>
      <w:r>
        <w:rPr>
          <w:rFonts w:hint="eastAsia" w:ascii="宋体" w:hAnsi="宋体" w:cs="宋体"/>
          <w:color w:val="auto"/>
          <w:szCs w:val="21"/>
        </w:rPr>
        <w:t>天，计划开工日期为</w:t>
      </w:r>
      <w:bookmarkStart w:id="6" w:name="_Hlk183253983"/>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w:t>
      </w:r>
      <w:bookmarkEnd w:id="6"/>
      <w:r>
        <w:rPr>
          <w:rFonts w:hint="eastAsia" w:ascii="宋体" w:hAnsi="宋体" w:cs="宋体"/>
          <w:color w:val="auto"/>
          <w:szCs w:val="21"/>
        </w:rPr>
        <w:t>，计划交工日期为</w:t>
      </w:r>
      <w:bookmarkStart w:id="7" w:name="_Hlk183253996"/>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bookmarkEnd w:id="7"/>
      <w:r>
        <w:rPr>
          <w:rFonts w:hint="eastAsia" w:ascii="宋体" w:hAnsi="宋体" w:cs="宋体"/>
          <w:color w:val="auto"/>
          <w:szCs w:val="21"/>
        </w:rPr>
        <w:t>。</w:t>
      </w:r>
      <w:bookmarkEnd w:id="5"/>
      <w:r>
        <w:rPr>
          <w:rFonts w:hint="eastAsia" w:ascii="宋体" w:hAnsi="宋体" w:cs="宋体"/>
          <w:color w:val="auto"/>
          <w:szCs w:val="21"/>
        </w:rPr>
        <w:t>上述时间仅作为编制投标文件的统一标准，实际开工日期按施工合同相关条款规定执行</w:t>
      </w:r>
      <w:r>
        <w:rPr>
          <w:rFonts w:hint="eastAsia" w:ascii="宋体" w:hAnsi="宋体" w:cs="宋体"/>
          <w:color w:val="auto"/>
          <w:szCs w:val="21"/>
          <w:lang w:eastAsia="zh-CN"/>
        </w:rPr>
        <w:t>；</w:t>
      </w:r>
    </w:p>
    <w:p w14:paraId="7E0180B7">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2.4招标范围：</w:t>
      </w:r>
      <w:r>
        <w:rPr>
          <w:rFonts w:hint="eastAsia" w:ascii="宋体" w:hAnsi="宋体" w:eastAsia="宋体" w:cs="宋体"/>
          <w:szCs w:val="21"/>
        </w:rPr>
        <w:t>施工图纸及工程量清单包含的施工内容及缺陷责任期修护</w:t>
      </w:r>
      <w:r>
        <w:rPr>
          <w:rFonts w:hint="eastAsia" w:ascii="宋体" w:hAnsi="宋体" w:eastAsia="宋体" w:cs="宋体"/>
          <w:color w:val="auto"/>
          <w:szCs w:val="21"/>
          <w:lang w:eastAsia="zh-CN"/>
        </w:rPr>
        <w:t>；</w:t>
      </w:r>
    </w:p>
    <w:p w14:paraId="60D34D4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2.5质量要求：公路工程工程质量应符合《公路工程质量检验评定标准》（JTG F80/1-2017），</w:t>
      </w:r>
      <w:r>
        <w:rPr>
          <w:rFonts w:hint="eastAsia" w:ascii="宋体" w:hAnsi="宋体" w:eastAsia="宋体" w:cs="宋体"/>
          <w:szCs w:val="21"/>
        </w:rPr>
        <w:t>《公路养护工程质量检验评定标准》（JTG 5220-2020）</w:t>
      </w:r>
      <w:r>
        <w:rPr>
          <w:rFonts w:hint="eastAsia" w:ascii="宋体" w:hAnsi="宋体" w:eastAsia="宋体" w:cs="宋体"/>
          <w:szCs w:val="21"/>
          <w:lang w:eastAsia="zh-CN"/>
        </w:rPr>
        <w:t>，</w:t>
      </w:r>
      <w:r>
        <w:rPr>
          <w:rFonts w:hint="eastAsia" w:ascii="宋体" w:hAnsi="宋体" w:cs="宋体"/>
          <w:color w:val="auto"/>
          <w:szCs w:val="21"/>
        </w:rPr>
        <w:t>竣（交）工验收依据《公路工程竣（交）工验收办法实施细则》（交公路发〔2010〕65号）规定，标段交工验收质量评定为合格，竣工验收质量评定为优良</w:t>
      </w:r>
      <w:r>
        <w:rPr>
          <w:rFonts w:hint="eastAsia" w:ascii="宋体" w:hAnsi="宋体" w:cs="宋体"/>
          <w:color w:val="auto"/>
          <w:szCs w:val="21"/>
          <w:lang w:eastAsia="zh-CN"/>
        </w:rPr>
        <w:t>；</w:t>
      </w:r>
    </w:p>
    <w:p w14:paraId="24D313D5">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2.6安全目标：在项目建设过程中杜绝重大、特重大安全责任事故，避免发生较大安全责任事故，减少一般安全责任事故，实现零死亡</w:t>
      </w:r>
      <w:r>
        <w:rPr>
          <w:rFonts w:hint="eastAsia" w:ascii="宋体" w:hAnsi="宋体" w:cs="宋体"/>
          <w:color w:val="auto"/>
          <w:szCs w:val="21"/>
          <w:lang w:eastAsia="zh-CN"/>
        </w:rPr>
        <w:t>；</w:t>
      </w:r>
    </w:p>
    <w:p w14:paraId="79CC5DE2">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2.7招标控制价：186,578,215.99元（其中国道集贤至当壁公路宝清界至兴凯镇段：31,707,093.14元；国道集贤至当壁公路临河至当壁镇口岸段：51,628,669.08元；省道名山至兴凯湖公路兴光至兴凯湖博物馆段：103,242,453.77元）</w:t>
      </w:r>
      <w:r>
        <w:rPr>
          <w:rFonts w:hint="eastAsia" w:ascii="宋体" w:hAnsi="宋体" w:cs="宋体"/>
          <w:color w:val="auto"/>
          <w:szCs w:val="21"/>
          <w:lang w:eastAsia="zh-CN"/>
        </w:rPr>
        <w:t>；</w:t>
      </w:r>
    </w:p>
    <w:p w14:paraId="66152EF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2.8标段划分：本项目划分为1个标段</w:t>
      </w:r>
      <w:r>
        <w:rPr>
          <w:rFonts w:hint="eastAsia" w:ascii="宋体" w:hAnsi="宋体" w:cs="宋体"/>
          <w:color w:val="auto"/>
          <w:szCs w:val="21"/>
          <w:lang w:eastAsia="zh-CN"/>
        </w:rPr>
        <w:t>。</w:t>
      </w:r>
      <w:r>
        <w:rPr>
          <w:rFonts w:hint="eastAsia" w:ascii="宋体" w:hAnsi="宋体" w:cs="宋体"/>
          <w:color w:val="auto"/>
          <w:szCs w:val="21"/>
        </w:rPr>
        <w:t xml:space="preserve"> </w:t>
      </w:r>
    </w:p>
    <w:p w14:paraId="60C9EBB0">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8" w:name="_Toc509819252"/>
      <w:bookmarkStart w:id="9" w:name="_Toc509334290"/>
      <w:r>
        <w:rPr>
          <w:rFonts w:hint="eastAsia" w:ascii="宋体" w:hAnsi="宋体" w:cs="宋体"/>
          <w:b/>
          <w:bCs/>
          <w:color w:val="auto"/>
          <w:szCs w:val="21"/>
        </w:rPr>
        <w:t>3．投标人资格要求</w:t>
      </w:r>
      <w:bookmarkEnd w:id="8"/>
      <w:bookmarkEnd w:id="9"/>
    </w:p>
    <w:p w14:paraId="00E4CA0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本次招标要求投标人须具备国内独立法人资格，持有市场监督管理部门核发的企业法人营业执照，具有有效的建筑施工企业安全生产许可证，并在人员、设备、资金等方面具有相应的施工能力，且同时满足下列要求：</w:t>
      </w:r>
    </w:p>
    <w:p w14:paraId="61BD042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3.1.1资质最低要求</w:t>
      </w:r>
    </w:p>
    <w:p w14:paraId="4C1E1AD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（1）具备建设行政主管部门颁发的公路工程施工总承包</w:t>
      </w:r>
      <w:r>
        <w:rPr>
          <w:rFonts w:hint="eastAsia" w:ascii="宋体" w:hAnsi="宋体" w:cs="宋体"/>
          <w:color w:val="auto"/>
          <w:szCs w:val="21"/>
          <w:lang w:val="en-US" w:eastAsia="zh-CN"/>
        </w:rPr>
        <w:t>二</w:t>
      </w:r>
      <w:r>
        <w:rPr>
          <w:rFonts w:hint="eastAsia" w:ascii="宋体" w:hAnsi="宋体" w:cs="宋体"/>
          <w:color w:val="auto"/>
          <w:szCs w:val="21"/>
        </w:rPr>
        <w:t>级（含</w:t>
      </w:r>
      <w:r>
        <w:rPr>
          <w:rFonts w:hint="eastAsia" w:ascii="宋体" w:hAnsi="宋体" w:cs="宋体"/>
          <w:color w:val="auto"/>
          <w:szCs w:val="21"/>
          <w:lang w:val="en-US" w:eastAsia="zh-CN"/>
        </w:rPr>
        <w:t>二</w:t>
      </w:r>
      <w:r>
        <w:rPr>
          <w:rFonts w:hint="eastAsia" w:ascii="宋体" w:hAnsi="宋体" w:cs="宋体"/>
          <w:color w:val="auto"/>
          <w:szCs w:val="21"/>
        </w:rPr>
        <w:t>级）及以上资质；</w:t>
      </w:r>
    </w:p>
    <w:p w14:paraId="794A7C6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kern w:val="0"/>
          <w:szCs w:val="21"/>
        </w:rPr>
        <w:t>（2）投标人属于《关于发布公路工程从业企业资质名录的通知》（厅公路字[2011]114 号）中名录范围内的投标人，投标人应进入交通运输部“全国公路建设市场监督管理系统（</w:t>
      </w:r>
      <w:r>
        <w:rPr>
          <w:rFonts w:hint="eastAsia" w:ascii="宋体" w:hAnsi="宋体" w:cs="宋体"/>
          <w:color w:val="auto"/>
          <w:szCs w:val="21"/>
        </w:rPr>
        <w:t>https://hwdms.mot.gov.cn/</w:t>
      </w:r>
      <w:r>
        <w:rPr>
          <w:rFonts w:hint="eastAsia" w:ascii="宋体" w:hAnsi="宋体" w:cs="宋体"/>
          <w:color w:val="auto"/>
          <w:kern w:val="0"/>
          <w:szCs w:val="21"/>
        </w:rPr>
        <w:t>）”中的公路工程施工资质企业名录，</w:t>
      </w:r>
      <w:r>
        <w:rPr>
          <w:rFonts w:hint="eastAsia" w:ascii="宋体" w:hAnsi="宋体" w:cs="宋体"/>
          <w:color w:val="auto"/>
          <w:szCs w:val="21"/>
        </w:rPr>
        <w:t>且投标人名称和资质与名录中的相应企业名称和资质完全一致。</w:t>
      </w:r>
    </w:p>
    <w:p w14:paraId="7C6762F3">
      <w:pPr>
        <w:keepNext w:val="0"/>
        <w:keepLines w:val="0"/>
        <w:pageBreakBefore w:val="0"/>
        <w:widowControl w:val="0"/>
        <w:kinsoku/>
        <w:wordWrap/>
        <w:overflowPunct/>
        <w:topLinePunct/>
        <w:autoSpaceDE/>
        <w:autoSpaceDN/>
        <w:bidi w:val="0"/>
        <w:adjustRightInd/>
        <w:snapToGrid/>
        <w:spacing w:line="48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注：以联合体形式投标的联合体成员必须</w:t>
      </w:r>
      <w:r>
        <w:rPr>
          <w:rFonts w:hint="eastAsia" w:ascii="宋体" w:hAnsi="宋体" w:cs="宋体"/>
          <w:b/>
          <w:bCs/>
          <w:color w:val="auto"/>
          <w:szCs w:val="21"/>
          <w:lang w:val="en-US" w:eastAsia="zh-CN"/>
        </w:rPr>
        <w:t>满足</w:t>
      </w:r>
      <w:r>
        <w:rPr>
          <w:rFonts w:hint="eastAsia" w:ascii="宋体" w:hAnsi="宋体" w:cs="宋体"/>
          <w:b/>
          <w:bCs/>
          <w:color w:val="auto"/>
          <w:szCs w:val="21"/>
        </w:rPr>
        <w:t>资质</w:t>
      </w:r>
      <w:r>
        <w:rPr>
          <w:rFonts w:hint="eastAsia" w:ascii="宋体" w:hAnsi="宋体" w:cs="宋体"/>
          <w:b/>
          <w:bCs/>
          <w:color w:val="auto"/>
          <w:szCs w:val="21"/>
          <w:lang w:val="en-US" w:eastAsia="zh-CN"/>
        </w:rPr>
        <w:t>最低要求同时具有</w:t>
      </w:r>
      <w:r>
        <w:rPr>
          <w:rFonts w:hint="eastAsia" w:ascii="宋体" w:hAnsi="宋体" w:cs="宋体"/>
          <w:b/>
          <w:bCs/>
          <w:color w:val="auto"/>
          <w:szCs w:val="21"/>
        </w:rPr>
        <w:t>有效的安全生产许可证。</w:t>
      </w:r>
    </w:p>
    <w:p w14:paraId="43D7B94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3.1.2项目经理及项目总工最低要求</w:t>
      </w:r>
    </w:p>
    <w:p w14:paraId="3947199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项目经理1人：公路工程相关专业工程师及以上职称，具有公路工程专业注册一级建造师执业资格（注册单位名称必须与投标人名称一致），并持有交通运输主管部门颁发的有效B类安全生产考核合格证，且安全生产考核合格证的登记单位名称必须与投标人名称一致。</w:t>
      </w:r>
    </w:p>
    <w:p w14:paraId="5347154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（2）项目总工1人：公路工程相关专业高级工程师及以上职称，并持有交通运输主管部门颁发的有效B类安全生产考核合格证，且安全生产考核合格证的登记单位名称必须与投标人名称一致。</w:t>
      </w:r>
    </w:p>
    <w:p w14:paraId="40B1B3AD">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rPr>
      </w:pPr>
      <w:bookmarkStart w:id="10" w:name="_Hlk183255326"/>
      <w:r>
        <w:rPr>
          <w:rFonts w:hint="eastAsia" w:ascii="宋体" w:hAnsi="宋体" w:cs="宋体"/>
          <w:b/>
          <w:bCs/>
          <w:color w:val="auto"/>
          <w:szCs w:val="21"/>
        </w:rPr>
        <w:t>注：①公路工程相关专业：公路工程、桥梁工程、公路与桥梁工程、交通土建、隧道（地下结构） 工程、交通工程等。②以联合体形式投标的，联合体各成员提供均可。</w:t>
      </w:r>
    </w:p>
    <w:bookmarkEnd w:id="10"/>
    <w:p w14:paraId="5008DCE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3.1.3业绩最低要求</w:t>
      </w:r>
    </w:p>
    <w:p w14:paraId="1C914367">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投标人近五年内（20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01</w:t>
      </w:r>
      <w:r>
        <w:rPr>
          <w:rFonts w:hint="eastAsia" w:ascii="宋体" w:hAnsi="宋体" w:cs="宋体"/>
          <w:color w:val="auto"/>
          <w:szCs w:val="21"/>
        </w:rPr>
        <w:t>月01日～投标文件递交截止时间止，以实际交工验收日期为准）承担过下列公路工程施工，交工验收达到合格标准：</w:t>
      </w:r>
    </w:p>
    <w:p w14:paraId="72615D44">
      <w:pPr>
        <w:pageBreakBefore w:val="0"/>
        <w:widowControl w:val="0"/>
        <w:numPr>
          <w:ilvl w:val="0"/>
          <w:numId w:val="1"/>
        </w:numPr>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独立完成过里程不少于</w:t>
      </w:r>
      <w:r>
        <w:rPr>
          <w:rFonts w:hint="eastAsia" w:ascii="宋体" w:hAnsi="宋体" w:cs="宋体"/>
          <w:color w:val="auto"/>
          <w:szCs w:val="21"/>
          <w:lang w:val="en-US" w:eastAsia="zh-CN"/>
        </w:rPr>
        <w:t>40</w:t>
      </w:r>
      <w:r>
        <w:rPr>
          <w:rFonts w:hint="eastAsia" w:ascii="宋体" w:hAnsi="宋体" w:cs="宋体"/>
          <w:color w:val="auto"/>
          <w:szCs w:val="21"/>
        </w:rPr>
        <w:t>公里的二级及以上公路工程施工项目或累计完成过里程不少于</w:t>
      </w:r>
      <w:r>
        <w:rPr>
          <w:rFonts w:hint="eastAsia" w:ascii="宋体" w:hAnsi="宋体" w:cs="宋体"/>
          <w:color w:val="auto"/>
          <w:szCs w:val="21"/>
          <w:lang w:val="en-US" w:eastAsia="zh-CN"/>
        </w:rPr>
        <w:t>80</w:t>
      </w:r>
      <w:r>
        <w:rPr>
          <w:rFonts w:hint="eastAsia" w:ascii="宋体" w:hAnsi="宋体" w:cs="宋体"/>
          <w:color w:val="auto"/>
          <w:szCs w:val="21"/>
        </w:rPr>
        <w:t>公里的二级及以上公路工程施工项目；</w:t>
      </w:r>
    </w:p>
    <w:p w14:paraId="67579DC0">
      <w:pPr>
        <w:pageBreakBefore w:val="0"/>
        <w:widowControl w:val="0"/>
        <w:numPr>
          <w:ilvl w:val="0"/>
          <w:numId w:val="1"/>
        </w:numPr>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独立完成过1座大桥工程施工项目；</w:t>
      </w:r>
    </w:p>
    <w:p w14:paraId="587EDAF1">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u w:val="single"/>
        </w:rPr>
      </w:pPr>
      <w:r>
        <w:rPr>
          <w:rFonts w:hint="eastAsia" w:ascii="宋体" w:hAnsi="宋体" w:cs="宋体"/>
          <w:b/>
          <w:bCs/>
          <w:color w:val="auto"/>
          <w:szCs w:val="21"/>
          <w:u w:val="single"/>
        </w:rPr>
        <w:t>注：①业绩要求中的施工项目是指新建或改扩建项目。</w:t>
      </w:r>
    </w:p>
    <w:p w14:paraId="2FD07DDD">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cs="宋体"/>
          <w:b/>
          <w:bCs/>
          <w:color w:val="auto"/>
          <w:szCs w:val="21"/>
          <w:u w:val="single"/>
        </w:rPr>
      </w:pPr>
      <w:r>
        <w:rPr>
          <w:rFonts w:hint="eastAsia" w:ascii="宋体" w:hAnsi="宋体" w:cs="宋体"/>
          <w:b/>
          <w:bCs/>
          <w:color w:val="auto"/>
          <w:szCs w:val="21"/>
          <w:u w:val="single"/>
        </w:rPr>
        <w:t>②如单个业绩能同时满足上述条件要求的，则该业绩可分别予以认定。如投标人提供高速公路、一级公路业绩的，其里程可折算成2倍的二级公路里程。例如：投标人已完成某条一级、高速公路的里程为5公里，则评标时可折算为：投标人已完成二级公路里程为10公里。</w:t>
      </w:r>
    </w:p>
    <w:p w14:paraId="6EC1D314">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eastAsia="宋体" w:cs="宋体"/>
          <w:b/>
          <w:bCs/>
          <w:color w:val="auto"/>
          <w:szCs w:val="21"/>
          <w:u w:val="single"/>
        </w:rPr>
      </w:pPr>
      <w:r>
        <w:rPr>
          <w:rFonts w:hint="eastAsia" w:ascii="宋体" w:hAnsi="宋体" w:cs="宋体"/>
          <w:b/>
          <w:bCs/>
          <w:color w:val="auto"/>
          <w:szCs w:val="21"/>
          <w:u w:val="single"/>
        </w:rPr>
        <w:t>③施工业绩要求在黑龙江省交通运输厅网站的“黑龙江省公路水路建设市场信用信息管理系统”或交通运输</w:t>
      </w:r>
      <w:r>
        <w:rPr>
          <w:rFonts w:hint="eastAsia" w:ascii="宋体" w:hAnsi="宋体" w:eastAsia="宋体" w:cs="宋体"/>
          <w:b/>
          <w:bCs/>
          <w:color w:val="auto"/>
          <w:szCs w:val="21"/>
          <w:u w:val="single"/>
        </w:rPr>
        <w:t>部网站“全国公路建设市场监督管理系统”中能够查询，如果查询不到该业绩的信息或查询的信息与投标人提供的信息不一致，业绩审查时将不予认定。</w:t>
      </w:r>
    </w:p>
    <w:p w14:paraId="70563B86">
      <w:pPr>
        <w:pageBreakBefore w:val="0"/>
        <w:widowControl w:val="0"/>
        <w:kinsoku/>
        <w:wordWrap w:val="0"/>
        <w:overflowPunct/>
        <w:topLinePunct/>
        <w:autoSpaceDE/>
        <w:autoSpaceDN/>
        <w:bidi w:val="0"/>
        <w:adjustRightInd/>
        <w:snapToGrid/>
        <w:spacing w:line="440" w:lineRule="exact"/>
        <w:ind w:firstLine="422" w:firstLineChars="200"/>
        <w:textAlignment w:val="auto"/>
        <w:rPr>
          <w:rFonts w:hint="eastAsia" w:ascii="宋体" w:hAnsi="宋体" w:eastAsia="宋体" w:cs="宋体"/>
          <w:b/>
          <w:bCs/>
          <w:color w:val="auto"/>
          <w:szCs w:val="21"/>
          <w:u w:val="single"/>
        </w:rPr>
      </w:pPr>
      <w:r>
        <w:rPr>
          <w:rFonts w:hint="eastAsia" w:ascii="宋体" w:hAnsi="宋体" w:eastAsia="宋体" w:cs="宋体"/>
          <w:b/>
          <w:bCs/>
          <w:color w:val="auto"/>
          <w:szCs w:val="21"/>
          <w:u w:val="single"/>
          <w:lang w:val="en-US" w:eastAsia="zh-CN"/>
        </w:rPr>
        <w:t>④</w:t>
      </w:r>
      <w:r>
        <w:rPr>
          <w:rFonts w:hint="eastAsia" w:ascii="宋体" w:hAnsi="宋体" w:eastAsia="宋体" w:cs="宋体"/>
          <w:b/>
          <w:bCs/>
          <w:color w:val="auto"/>
          <w:szCs w:val="21"/>
          <w:u w:val="single"/>
        </w:rPr>
        <w:t>以联合体形式投标的，联合体各成员</w:t>
      </w:r>
      <w:r>
        <w:rPr>
          <w:rFonts w:hint="eastAsia" w:ascii="宋体" w:hAnsi="宋体" w:eastAsia="宋体" w:cs="宋体"/>
          <w:b/>
          <w:bCs/>
          <w:color w:val="auto"/>
          <w:szCs w:val="21"/>
          <w:u w:val="single"/>
          <w:lang w:val="en-US" w:eastAsia="zh-CN"/>
        </w:rPr>
        <w:t>提供的</w:t>
      </w:r>
      <w:r>
        <w:rPr>
          <w:rFonts w:hint="eastAsia" w:ascii="宋体" w:hAnsi="宋体" w:eastAsia="宋体" w:cs="宋体"/>
          <w:b/>
          <w:bCs/>
          <w:color w:val="auto"/>
          <w:szCs w:val="21"/>
          <w:u w:val="single"/>
        </w:rPr>
        <w:t>业绩</w:t>
      </w:r>
      <w:r>
        <w:rPr>
          <w:rFonts w:hint="eastAsia" w:ascii="宋体" w:hAnsi="宋体" w:eastAsia="宋体" w:cs="宋体"/>
          <w:b/>
          <w:bCs/>
          <w:color w:val="auto"/>
          <w:szCs w:val="21"/>
          <w:u w:val="single"/>
          <w:lang w:val="en-US" w:eastAsia="zh-CN"/>
        </w:rPr>
        <w:t>均可</w:t>
      </w:r>
      <w:r>
        <w:rPr>
          <w:rFonts w:hint="eastAsia" w:ascii="宋体" w:hAnsi="宋体" w:eastAsia="宋体" w:cs="宋体"/>
          <w:b/>
          <w:bCs/>
          <w:color w:val="auto"/>
          <w:szCs w:val="21"/>
          <w:u w:val="single"/>
        </w:rPr>
        <w:t>。</w:t>
      </w:r>
    </w:p>
    <w:p w14:paraId="2CC86ED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3.1.4信誉最低要求</w:t>
      </w:r>
    </w:p>
    <w:p w14:paraId="3B335D5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（1）投标人（包括联合体成员）在近三年中不得在合同中违约且被驱逐出现场（以投标人提供的承诺为准）；</w:t>
      </w:r>
    </w:p>
    <w:p w14:paraId="259DCFA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（2）投标人（包括联合体成员）在近三年中不得有重大质量、安全事故被有关部门处罚（以投标人提供的承诺为准）；</w:t>
      </w:r>
    </w:p>
    <w:p w14:paraId="7969FD0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（3）投标人（包括联合体成员）在近三年中不得有拖欠农民工工资被有关部门处罚（以投标人提供的承诺为准）；</w:t>
      </w:r>
    </w:p>
    <w:p w14:paraId="4E5E73E7">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b/>
          <w:bCs/>
          <w:color w:val="auto"/>
          <w:kern w:val="0"/>
          <w:szCs w:val="21"/>
          <w:lang w:val="zh-CN" w:bidi="zh-CN"/>
        </w:rPr>
      </w:pPr>
      <w:r>
        <w:rPr>
          <w:rFonts w:hint="eastAsia" w:ascii="宋体" w:hAnsi="宋体" w:cs="宋体"/>
          <w:color w:val="auto"/>
          <w:kern w:val="0"/>
          <w:szCs w:val="21"/>
          <w:lang w:val="zh-CN" w:bidi="zh-CN"/>
        </w:rPr>
        <w:t>（4）本次招标不接受202</w:t>
      </w:r>
      <w:r>
        <w:rPr>
          <w:rFonts w:hint="eastAsia" w:ascii="宋体" w:hAnsi="宋体" w:cs="宋体"/>
          <w:color w:val="auto"/>
          <w:kern w:val="0"/>
          <w:szCs w:val="21"/>
          <w:lang w:val="en-US" w:bidi="zh-CN"/>
        </w:rPr>
        <w:t>3</w:t>
      </w:r>
      <w:r>
        <w:rPr>
          <w:rFonts w:hint="eastAsia" w:ascii="宋体" w:hAnsi="宋体" w:cs="宋体"/>
          <w:color w:val="auto"/>
          <w:kern w:val="0"/>
          <w:szCs w:val="21"/>
          <w:lang w:val="zh-CN" w:bidi="zh-CN"/>
        </w:rPr>
        <w:t>年度在黑龙江省交通运输厅公路施工企业信用评价或202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年度在交通运输部公路施工企业全国综合信用评价中被认定为D级的投标人（包括联合体成员）参加本项目投标；202</w:t>
      </w:r>
      <w:r>
        <w:rPr>
          <w:rFonts w:hint="eastAsia" w:ascii="宋体" w:hAnsi="宋体" w:cs="宋体"/>
          <w:color w:val="auto"/>
          <w:kern w:val="0"/>
          <w:szCs w:val="21"/>
          <w:lang w:val="en-US" w:bidi="zh-CN"/>
        </w:rPr>
        <w:t>3</w:t>
      </w:r>
      <w:r>
        <w:rPr>
          <w:rFonts w:hint="eastAsia" w:ascii="宋体" w:hAnsi="宋体" w:cs="宋体"/>
          <w:color w:val="auto"/>
          <w:kern w:val="0"/>
          <w:szCs w:val="21"/>
          <w:lang w:val="zh-CN" w:bidi="zh-CN"/>
        </w:rPr>
        <w:t>年度在黑龙江省交通运输厅或202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年度在交通运输部均无公路企业信用评价结果的，若无不良信用记录，按A级对待（以投标人提供的承诺为准）；</w:t>
      </w:r>
    </w:p>
    <w:p w14:paraId="1929B4C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（5）近三年内投标人（包括联合体成员）或其法定代表人、拟委任的项目经理、项目总工无中国裁判文书网（http://wenshu.court.gov.cn）行贿犯罪行为记录（以投标人提供的承诺为准）；</w:t>
      </w:r>
    </w:p>
    <w:p w14:paraId="63DD7B55">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6）投标人（包括联合体成员）在“信用中国”网站（http://www.creditchina.gov.cn）或“信用中国（黑龙江）”网站（http://www.hljcredit.gov.cn/）中投标人被列入失信被执行人名单不得参加本项目投标（以投标人提供的承诺为准）；</w:t>
      </w:r>
    </w:p>
    <w:p w14:paraId="54A393B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kern w:val="0"/>
          <w:szCs w:val="21"/>
          <w:lang w:val="zh-CN" w:bidi="zh-CN"/>
        </w:rPr>
      </w:pPr>
      <w:r>
        <w:rPr>
          <w:rFonts w:hint="eastAsia" w:ascii="宋体" w:hAnsi="宋体" w:cs="宋体"/>
          <w:color w:val="auto"/>
          <w:kern w:val="0"/>
          <w:szCs w:val="21"/>
          <w:lang w:val="zh-CN" w:bidi="zh-CN"/>
        </w:rPr>
        <w:t>（7）投标人（包括联合体成员）在国家企业信用信息公示系统（http://www.gsxt.gov.cn/）中被列入严重违法失信企业名单的投标人，不得参加本项目投标（以投标人提供的承诺为准）。</w:t>
      </w:r>
    </w:p>
    <w:p w14:paraId="01D1765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3.1.5财务最低要求</w:t>
      </w:r>
    </w:p>
    <w:p w14:paraId="5237B91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（1）近三年年平均营业额不得少于所申请标段最高投标限价的70%；</w:t>
      </w:r>
    </w:p>
    <w:p w14:paraId="19FC6C62">
      <w:pPr>
        <w:keepNext w:val="0"/>
        <w:keepLines w:val="0"/>
        <w:pageBreakBefore w:val="0"/>
        <w:widowControl w:val="0"/>
        <w:kinsoku/>
        <w:wordWrap/>
        <w:overflowPunct/>
        <w:topLinePunct/>
        <w:autoSpaceDE/>
        <w:autoSpaceDN/>
        <w:bidi w:val="0"/>
        <w:adjustRightInd/>
        <w:snapToGrid/>
        <w:spacing w:line="48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注：以联合体形式投标的，联合体各成员提供均可。</w:t>
      </w:r>
    </w:p>
    <w:p w14:paraId="5F5498F3">
      <w:pPr>
        <w:keepNext w:val="0"/>
        <w:keepLines w:val="0"/>
        <w:pageBreakBefore w:val="0"/>
        <w:widowControl w:val="0"/>
        <w:kinsoku/>
        <w:wordWrap/>
        <w:overflowPunct/>
        <w:topLinePunct/>
        <w:autoSpaceDE/>
        <w:autoSpaceDN/>
        <w:bidi w:val="0"/>
        <w:adjustRightInd/>
        <w:snapToGrid/>
        <w:spacing w:line="4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3.2本项目接受联合体投标。</w:t>
      </w:r>
    </w:p>
    <w:p w14:paraId="30EEC7F7">
      <w:pPr>
        <w:keepNext w:val="0"/>
        <w:keepLines w:val="0"/>
        <w:pageBreakBefore w:val="0"/>
        <w:widowControl w:val="0"/>
        <w:kinsoku/>
        <w:wordWrap/>
        <w:overflowPunct/>
        <w:topLinePunct/>
        <w:autoSpaceDE/>
        <w:autoSpaceDN/>
        <w:bidi w:val="0"/>
        <w:adjustRightInd/>
        <w:snapToGrid/>
        <w:spacing w:line="48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（1）同一专业工程由多个联合体成员共同承担时，按照资质等级较低的单位确定资质；</w:t>
      </w:r>
    </w:p>
    <w:p w14:paraId="62EBED19">
      <w:pPr>
        <w:keepNext w:val="0"/>
        <w:keepLines w:val="0"/>
        <w:pageBreakBefore w:val="0"/>
        <w:widowControl w:val="0"/>
        <w:kinsoku/>
        <w:wordWrap/>
        <w:overflowPunct/>
        <w:topLinePunct/>
        <w:autoSpaceDE/>
        <w:autoSpaceDN/>
        <w:bidi w:val="0"/>
        <w:adjustRightInd/>
        <w:snapToGrid/>
        <w:spacing w:line="48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（2）联合体各方以自己名义单独投标或参加其他联合体投标的，相关投标均无效；</w:t>
      </w:r>
    </w:p>
    <w:p w14:paraId="5AC00773">
      <w:pPr>
        <w:keepNext w:val="0"/>
        <w:keepLines w:val="0"/>
        <w:pageBreakBefore w:val="0"/>
        <w:widowControl w:val="0"/>
        <w:kinsoku/>
        <w:wordWrap/>
        <w:overflowPunct/>
        <w:topLinePunct/>
        <w:autoSpaceDE/>
        <w:autoSpaceDN/>
        <w:bidi w:val="0"/>
        <w:adjustRightInd/>
        <w:snapToGrid/>
        <w:spacing w:line="48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（3）以联合体形式投标的，在联合体协议中应明确联合体各成员的职责分工；</w:t>
      </w:r>
    </w:p>
    <w:p w14:paraId="338EF6DC">
      <w:pPr>
        <w:keepNext w:val="0"/>
        <w:keepLines w:val="0"/>
        <w:pageBreakBefore w:val="0"/>
        <w:widowControl w:val="0"/>
        <w:kinsoku/>
        <w:wordWrap/>
        <w:overflowPunct/>
        <w:topLinePunct/>
        <w:autoSpaceDE/>
        <w:autoSpaceDN/>
        <w:bidi w:val="0"/>
        <w:adjustRightInd/>
        <w:snapToGrid/>
        <w:spacing w:line="48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（4）以联合体形式投标的，联合体成员（包含联合体牵头人）不得超过两家，联合体牵头人必须具有施工资质，且承担本项目施工任务；</w:t>
      </w:r>
    </w:p>
    <w:p w14:paraId="69590D29">
      <w:pPr>
        <w:keepNext w:val="0"/>
        <w:keepLines w:val="0"/>
        <w:pageBreakBefore w:val="0"/>
        <w:widowControl w:val="0"/>
        <w:kinsoku/>
        <w:wordWrap/>
        <w:overflowPunct/>
        <w:topLinePunct/>
        <w:autoSpaceDE/>
        <w:autoSpaceDN/>
        <w:bidi w:val="0"/>
        <w:adjustRightInd/>
        <w:snapToGrid/>
        <w:spacing w:line="4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（5）本项目在“黑龙江省公共资源交易网”线上获取文件、缴纳投标保证金、递交电子投标文件等投标相关操作均由联合体牵头单位完成。</w:t>
      </w:r>
    </w:p>
    <w:p w14:paraId="5CD2001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3.3与招标人</w:t>
      </w:r>
      <w:r>
        <w:rPr>
          <w:rFonts w:hint="eastAsia" w:ascii="宋体" w:hAnsi="宋体" w:cs="宋体"/>
          <w:szCs w:val="21"/>
        </w:rPr>
        <w:t>（包括联合体成员）</w:t>
      </w:r>
      <w:r>
        <w:rPr>
          <w:rFonts w:hint="eastAsia" w:ascii="宋体" w:hAnsi="宋体" w:cs="宋体"/>
          <w:color w:val="auto"/>
          <w:szCs w:val="21"/>
        </w:rPr>
        <w:t>存在利害关系可能影响招标公正性的单位，不得参加投标。单位负责人为同一人或存在控股、管理关系的不同单位，不得同时参加同一标段投标，否则，相关投标均无效。</w:t>
      </w:r>
    </w:p>
    <w:p w14:paraId="6D3D42E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3.4本次招标评标采用技术评分最低标价法。投标文件采用双信封形式，对投标人的资格审查采用资格后审的方式。</w:t>
      </w:r>
    </w:p>
    <w:p w14:paraId="64DE7B78">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11" w:name="_Toc509334291"/>
      <w:bookmarkStart w:id="12" w:name="_Toc509819253"/>
      <w:r>
        <w:rPr>
          <w:rFonts w:hint="eastAsia" w:ascii="宋体" w:hAnsi="宋体" w:cs="宋体"/>
          <w:b/>
          <w:bCs/>
          <w:color w:val="auto"/>
          <w:szCs w:val="21"/>
        </w:rPr>
        <w:t>4．招标文件的获取</w:t>
      </w:r>
      <w:bookmarkEnd w:id="11"/>
      <w:bookmarkEnd w:id="12"/>
    </w:p>
    <w:p w14:paraId="76D0AFB5">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0000FF"/>
          <w:szCs w:val="21"/>
        </w:rPr>
      </w:pPr>
      <w:bookmarkStart w:id="13" w:name="_Toc509334292"/>
      <w:bookmarkStart w:id="14" w:name="_Toc509819254"/>
      <w:r>
        <w:rPr>
          <w:rFonts w:hint="eastAsia" w:ascii="宋体" w:hAnsi="宋体" w:cs="宋体"/>
          <w:color w:val="auto"/>
          <w:szCs w:val="21"/>
        </w:rPr>
        <w:t>4.1凡有意参加投标者，请在“黑龙江省公共资源交易网（http://ggzyjyw.hlj.gov.cn/）”进行用户注册、办理数字证书，使用数字证书登录“黑龙江省公共资源交易网”上的“交易平台”，明确所投标段，下载招标文件、工程量清单及图纸。下载时间为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21</w:t>
      </w:r>
      <w:r>
        <w:rPr>
          <w:rFonts w:hint="eastAsia" w:ascii="宋体" w:hAnsi="宋体" w:cs="宋体"/>
          <w:color w:val="auto"/>
          <w:szCs w:val="21"/>
        </w:rPr>
        <w:t>日</w:t>
      </w:r>
      <w:r>
        <w:rPr>
          <w:rFonts w:hint="eastAsia" w:ascii="宋体" w:hAnsi="宋体" w:cs="宋体"/>
          <w:color w:val="auto"/>
          <w:szCs w:val="21"/>
          <w:lang w:val="en-US" w:eastAsia="zh-CN"/>
        </w:rPr>
        <w:t>18</w:t>
      </w:r>
      <w:r>
        <w:rPr>
          <w:rFonts w:hint="eastAsia" w:ascii="宋体" w:hAnsi="宋体" w:cs="宋体"/>
          <w:color w:val="auto"/>
          <w:szCs w:val="21"/>
        </w:rPr>
        <w:t>时00分至202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w:t>
      </w:r>
      <w:r>
        <w:rPr>
          <w:rFonts w:hint="eastAsia" w:ascii="宋体" w:hAnsi="宋体" w:cs="宋体"/>
          <w:color w:val="auto"/>
          <w:szCs w:val="21"/>
          <w:lang w:val="en-US" w:eastAsia="zh-CN"/>
        </w:rPr>
        <w:t>18</w:t>
      </w:r>
      <w:r>
        <w:rPr>
          <w:rFonts w:hint="eastAsia" w:ascii="宋体" w:hAnsi="宋体" w:cs="宋体"/>
          <w:color w:val="auto"/>
          <w:szCs w:val="21"/>
        </w:rPr>
        <w:t>时00分（北京时间，下同）。</w:t>
      </w:r>
    </w:p>
    <w:p w14:paraId="5DA4C63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4.2在下载截止时间内至少下载一次招标文件，下载一次后可不受时间限制进行下载招标文件或答疑文件。如在下载时间截止前未下载招标文件，投标人自行承担相应责任。</w:t>
      </w:r>
    </w:p>
    <w:p w14:paraId="72F9267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w w:val="95"/>
          <w:szCs w:val="21"/>
        </w:rPr>
      </w:pPr>
      <w:r>
        <w:rPr>
          <w:rFonts w:hint="eastAsia" w:ascii="宋体" w:hAnsi="宋体" w:cs="宋体"/>
          <w:color w:val="auto"/>
          <w:szCs w:val="21"/>
        </w:rPr>
        <w:t>4.3投标人未按“黑龙江省公共资源交易网”的流程要求完成全部操作的，自行承担相应责任。</w:t>
      </w:r>
      <w:r>
        <w:rPr>
          <w:rFonts w:hint="eastAsia" w:ascii="宋体" w:hAnsi="宋体" w:cs="宋体"/>
          <w:color w:val="auto"/>
          <w:w w:val="95"/>
          <w:szCs w:val="21"/>
        </w:rPr>
        <w:t xml:space="preserve"> </w:t>
      </w:r>
    </w:p>
    <w:p w14:paraId="2C4DFEC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4.4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04C6CFD1">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5．投标文件的递交</w:t>
      </w:r>
      <w:bookmarkEnd w:id="13"/>
      <w:bookmarkEnd w:id="14"/>
      <w:r>
        <w:rPr>
          <w:rFonts w:hint="eastAsia" w:ascii="宋体" w:hAnsi="宋体" w:cs="宋体"/>
          <w:b/>
          <w:bCs/>
          <w:color w:val="auto"/>
          <w:szCs w:val="21"/>
        </w:rPr>
        <w:t>及相关事宜</w:t>
      </w:r>
    </w:p>
    <w:p w14:paraId="438D304C">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bookmarkStart w:id="15" w:name="_Toc509334293"/>
      <w:bookmarkStart w:id="16" w:name="_Toc509819255"/>
      <w:bookmarkStart w:id="17" w:name="_Toc491883082"/>
      <w:r>
        <w:rPr>
          <w:rFonts w:hint="eastAsia" w:ascii="宋体" w:hAnsi="宋体" w:cs="宋体"/>
          <w:color w:val="auto"/>
          <w:szCs w:val="21"/>
        </w:rPr>
        <w:t>5.1招标人不组织踏勘现场，不召开投标预备会，招标人对招标文件的澄清、补遗均通过黑龙江省公共资源交易平台进行。</w:t>
      </w:r>
    </w:p>
    <w:p w14:paraId="280FB5D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投标人应在投标文件递交截止时间前完成电子投标文件的递交工作，并安排线上远程开标。投标人在交易平台投标文件第一信封商务和技术文件时，切勿出现有关报价内容，由于投标人自身原因导致投标报价在第一信封泄露，投标人自行承担责任。如需填报价请用“0”代替。</w:t>
      </w:r>
    </w:p>
    <w:p w14:paraId="2462FAF0">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5.3电子投标文件递交截止时间为202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日09时00分（即开标时间），投标人应于该截止时间前将加密的投标文件第一个信封（商务及技术文件）、第二个信封（报价文件）上传至“黑龙江省公共资源交易网”上的“交易平台”进行网上投标。</w:t>
      </w:r>
    </w:p>
    <w:p w14:paraId="420B7D1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第一信封开标时间：202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日09时00分。投标人按照交易平台提示对上传至交易平台的投标文件第一信封商务和技术文件进行解密等操作。由于投标人自身原因导致第一信封解密失败等情况，投标人自行承担责任。</w:t>
      </w:r>
    </w:p>
    <w:p w14:paraId="716E546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5745437A">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5.4本项目投标保证金的金额：0万元人民币。投标保证金应采用网银转账、电汇或电子保函形式：①采用网银转账、电汇形式递交投标保证金的，投标人应在投标保证金递交截止时间之前，将投标保证金由中国人民银行核准的投标人基本存款账户汇出，汇入与黑龙江公共资源交易平台对接的银行。②采用电子保函方式递交投标保证金的，投标人应按黑龙江省公共资源交易中心的相关规定执行。</w:t>
      </w:r>
    </w:p>
    <w:p w14:paraId="51973BDD">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6．发布公告的媒介</w:t>
      </w:r>
    </w:p>
    <w:p w14:paraId="111D2C1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本次招标公告同时在黑龙江省公共资源交易网（https://ggzyjyw.hlj.gov.cn/）、黑龙江省交通运输厅（http://jt.hlj.gov.cn/）网站上发布。</w:t>
      </w:r>
    </w:p>
    <w:p w14:paraId="4359ACF4">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7．中标候选人公示</w:t>
      </w:r>
    </w:p>
    <w:p w14:paraId="230CD6E9">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本项目同时在黑龙江省公共资源交易网（https://ggzyjyw.hlj.gov.cn/）、黑龙江省交通运输厅（http://jt.hlj.gov.cn/）网站上进行公示，公示内容包括：</w:t>
      </w:r>
    </w:p>
    <w:p w14:paraId="1A3D6AF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（1）中标候选人排序、名称、投标报价、工程质量、安全目标、工期；</w:t>
      </w:r>
    </w:p>
    <w:p w14:paraId="15DEEA83">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（2）中标候选人在投标文件中承诺的项目经理和项目总工姓名、个人业绩、相关证书名称和编号；</w:t>
      </w:r>
    </w:p>
    <w:p w14:paraId="6705571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（3）中标候选人在投标文件中填报的项目业绩；</w:t>
      </w:r>
    </w:p>
    <w:p w14:paraId="49AB2CA9">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（4）被否决投标的投标人名称、否决依据和原因；</w:t>
      </w:r>
    </w:p>
    <w:p w14:paraId="210BA61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（5）提出异议的渠道和方式。</w:t>
      </w:r>
    </w:p>
    <w:p w14:paraId="4BD10A09">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（6）投标人须知前附表规定公示的其他内容。</w:t>
      </w:r>
    </w:p>
    <w:p w14:paraId="76E7E81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注：投标人在投标过程中存在弄虚作假、与招标人或者其他投标人串通投标、以行贿谋取中标、无正当理由放弃中标以及进行恶意投诉等投标不良行为的，除依据有关法律、法规进行处罚外，招标人将向省级交通运输主管部门提出申请扣减其年度信用评价分数或者降低年度信用评价等级。</w:t>
      </w:r>
    </w:p>
    <w:p w14:paraId="6BD9E640">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r>
        <w:rPr>
          <w:rFonts w:hint="eastAsia" w:ascii="宋体" w:hAnsi="宋体" w:cs="宋体"/>
          <w:b/>
          <w:bCs/>
          <w:color w:val="auto"/>
          <w:szCs w:val="21"/>
        </w:rPr>
        <w:t>8.其他</w:t>
      </w:r>
    </w:p>
    <w:p w14:paraId="512A69D2">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8.1根据《中华人民共和国招标投标法实施条例》有关规定，潜在投标人或者其他利害关系人对本招标公告有异议的，应当在投标登记受理期间向招标人提出，异议材料应由法定代表人或授权委托代理人签字并加盖单位公章，招标人将在收到异议之日起3日内做出答复。潜在投标人或者其他利害关系人捏造事实、伪造材料进行异议和恶意缠诉的，将严格按照国家及省市有关规定严肃处理，给他人造成损失的，依法承担赔偿责任。</w:t>
      </w:r>
    </w:p>
    <w:p w14:paraId="122E596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8.2本工程采取网上招标、网上投标。各投标单位在“黑龙江省公共资源交易网”中的《服务指南》下载投标文件制作软件（黑龙江省公共资源版）进行投标文件制作、电子签章、标书生成、标书加密。</w:t>
      </w:r>
    </w:p>
    <w:bookmarkEnd w:id="15"/>
    <w:bookmarkEnd w:id="16"/>
    <w:p w14:paraId="43A1BD71">
      <w:pPr>
        <w:pageBreakBefore w:val="0"/>
        <w:widowControl w:val="0"/>
        <w:kinsoku/>
        <w:wordWrap w:val="0"/>
        <w:overflowPunct/>
        <w:topLinePunct/>
        <w:autoSpaceDE/>
        <w:autoSpaceDN/>
        <w:bidi w:val="0"/>
        <w:adjustRightInd/>
        <w:snapToGrid/>
        <w:spacing w:line="440" w:lineRule="exact"/>
        <w:textAlignment w:val="auto"/>
        <w:rPr>
          <w:rFonts w:hint="eastAsia" w:ascii="宋体" w:hAnsi="宋体" w:cs="宋体"/>
          <w:b/>
          <w:bCs/>
          <w:color w:val="auto"/>
          <w:szCs w:val="21"/>
        </w:rPr>
      </w:pPr>
      <w:bookmarkStart w:id="18" w:name="_Toc509819256"/>
      <w:bookmarkStart w:id="19" w:name="_Toc509334294"/>
      <w:r>
        <w:rPr>
          <w:rFonts w:hint="eastAsia" w:ascii="宋体" w:hAnsi="宋体" w:cs="宋体"/>
          <w:b/>
          <w:bCs/>
          <w:color w:val="auto"/>
          <w:szCs w:val="21"/>
        </w:rPr>
        <w:t>9．</w:t>
      </w:r>
      <w:bookmarkEnd w:id="17"/>
      <w:bookmarkEnd w:id="18"/>
      <w:bookmarkEnd w:id="19"/>
      <w:bookmarkStart w:id="20" w:name="_Toc509819258"/>
      <w:bookmarkStart w:id="21" w:name="_Toc509334296"/>
      <w:r>
        <w:rPr>
          <w:rFonts w:hint="eastAsia" w:ascii="宋体" w:hAnsi="宋体" w:cs="宋体"/>
          <w:b/>
          <w:bCs/>
          <w:color w:val="auto"/>
          <w:szCs w:val="21"/>
        </w:rPr>
        <w:t>联系方式</w:t>
      </w:r>
      <w:bookmarkEnd w:id="20"/>
      <w:bookmarkEnd w:id="21"/>
    </w:p>
    <w:p w14:paraId="5F753B8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招标投标监督单位：鸡西市交通运输局</w:t>
      </w:r>
    </w:p>
    <w:p w14:paraId="76724B5E">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址：黑龙江省鸡西市鸡冠区永昌路222号</w:t>
      </w:r>
    </w:p>
    <w:p w14:paraId="62E20736">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联 系 人：栾先生</w:t>
      </w:r>
    </w:p>
    <w:p w14:paraId="221443BB">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话：0467-2664206</w:t>
      </w:r>
    </w:p>
    <w:p w14:paraId="2AD8A133">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招 标 人：密山市交通运输局</w:t>
      </w:r>
    </w:p>
    <w:p w14:paraId="5A6EBA43">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址：密山市房山路130号</w:t>
      </w:r>
    </w:p>
    <w:p w14:paraId="0F33259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联 系 人：鞠女士</w:t>
      </w:r>
    </w:p>
    <w:p w14:paraId="2969902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话：0467-5298386</w:t>
      </w:r>
    </w:p>
    <w:p w14:paraId="38BDD8E1">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招标代理机构：大成工程咨询有限公司</w:t>
      </w:r>
    </w:p>
    <w:p w14:paraId="03FB159C">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址：哈尔滨市南岗区长江路388号会展银座A座3层</w:t>
      </w:r>
    </w:p>
    <w:p w14:paraId="0EC9FC24">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联 系 人：招标三部-吴女士</w:t>
      </w:r>
    </w:p>
    <w:p w14:paraId="1D7EC68D">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话：0451-55639888</w:t>
      </w:r>
    </w:p>
    <w:p w14:paraId="1BB17CA8">
      <w:pPr>
        <w:pageBreakBefore w:val="0"/>
        <w:widowControl w:val="0"/>
        <w:kinsoku/>
        <w:wordWrap w:val="0"/>
        <w:overflowPunct/>
        <w:topLinePunct/>
        <w:autoSpaceDE/>
        <w:autoSpaceDN/>
        <w:bidi w:val="0"/>
        <w:adjustRightInd/>
        <w:snapToGrid/>
        <w:spacing w:line="440" w:lineRule="exact"/>
        <w:ind w:firstLine="420" w:firstLineChars="200"/>
        <w:textAlignment w:val="auto"/>
        <w:rPr>
          <w:rFonts w:hint="eastAsia" w:ascii="宋体" w:hAnsi="宋体" w:cs="宋体"/>
          <w:b/>
          <w:color w:val="auto"/>
          <w:szCs w:val="21"/>
        </w:rPr>
      </w:pPr>
      <w:r>
        <w:rPr>
          <w:rFonts w:hint="eastAsia" w:ascii="宋体" w:hAnsi="宋体" w:cs="宋体"/>
          <w:color w:val="auto"/>
          <w:szCs w:val="21"/>
        </w:rPr>
        <w:t>电子邮箱：dclj003@163.com</w:t>
      </w:r>
    </w:p>
    <w:bookmarkEnd w:id="0"/>
    <w:p w14:paraId="112DA561">
      <w:pPr>
        <w:pageBreakBefore w:val="0"/>
        <w:widowControl/>
        <w:kinsoku/>
        <w:overflowPunct/>
        <w:autoSpaceDE/>
        <w:autoSpaceDN/>
        <w:bidi w:val="0"/>
        <w:adjustRightInd/>
        <w:snapToGrid/>
        <w:spacing w:line="400" w:lineRule="exact"/>
        <w:jc w:val="left"/>
        <w:textAlignment w:val="auto"/>
        <w:rPr>
          <w:rFonts w:ascii="宋体"/>
          <w:b/>
          <w:color w:val="auto"/>
          <w:kern w:val="44"/>
          <w:sz w:val="44"/>
          <w:szCs w:val="20"/>
        </w:rPr>
      </w:pPr>
    </w:p>
    <w:p w14:paraId="1E2960FE">
      <w:r>
        <w:br w:type="page"/>
      </w:r>
    </w:p>
    <w:p w14:paraId="3CDC8CB4">
      <w:pPr>
        <w:pStyle w:val="6"/>
        <w:spacing w:before="0" w:after="0" w:line="440" w:lineRule="exact"/>
        <w:ind w:firstLine="0" w:firstLineChars="0"/>
        <w:jc w:val="center"/>
        <w:rPr>
          <w:rFonts w:hint="eastAsia" w:ascii="宋体" w:hAnsi="宋体" w:cs="宋体"/>
          <w:color w:val="auto"/>
          <w:sz w:val="21"/>
          <w:szCs w:val="21"/>
        </w:rPr>
      </w:pPr>
      <w:bookmarkStart w:id="22" w:name="_Toc509334299"/>
      <w:bookmarkStart w:id="23" w:name="OLE_LINK2"/>
      <w:r>
        <w:rPr>
          <w:rFonts w:hint="eastAsia" w:ascii="宋体" w:hAnsi="宋体" w:cs="宋体"/>
          <w:color w:val="auto"/>
          <w:sz w:val="21"/>
          <w:szCs w:val="21"/>
        </w:rPr>
        <w:t>附录1　资格审查条件(资质最低要求)</w:t>
      </w:r>
      <w:bookmarkEnd w:id="22"/>
    </w:p>
    <w:p w14:paraId="3C3A8616">
      <w:pPr>
        <w:rPr>
          <w:color w:val="auto"/>
        </w:rPr>
      </w:pP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1"/>
      </w:tblGrid>
      <w:tr w14:paraId="59DC1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trPr>
        <w:tc>
          <w:tcPr>
            <w:tcW w:w="5000" w:type="pct"/>
            <w:tcBorders>
              <w:top w:val="single" w:color="auto" w:sz="12" w:space="0"/>
            </w:tcBorders>
            <w:vAlign w:val="center"/>
          </w:tcPr>
          <w:p w14:paraId="4E55E65B">
            <w:pPr>
              <w:spacing w:line="440" w:lineRule="exact"/>
              <w:jc w:val="center"/>
              <w:rPr>
                <w:rFonts w:hint="eastAsia" w:ascii="宋体" w:hAnsi="宋体" w:cs="宋体"/>
                <w:color w:val="auto"/>
                <w:szCs w:val="21"/>
              </w:rPr>
            </w:pPr>
            <w:r>
              <w:rPr>
                <w:rFonts w:hint="eastAsia" w:ascii="宋体" w:hAnsi="宋体" w:cs="宋体"/>
                <w:color w:val="auto"/>
                <w:szCs w:val="21"/>
              </w:rPr>
              <w:t>施工企业资质等级要求</w:t>
            </w:r>
          </w:p>
        </w:tc>
      </w:tr>
      <w:tr w14:paraId="28B7F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6" w:hRule="atLeast"/>
        </w:trPr>
        <w:tc>
          <w:tcPr>
            <w:tcW w:w="5000" w:type="pct"/>
            <w:tcBorders>
              <w:bottom w:val="single" w:color="auto" w:sz="12" w:space="0"/>
            </w:tcBorders>
            <w:vAlign w:val="center"/>
          </w:tcPr>
          <w:p w14:paraId="660297A0">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本次招标要求投标人须具备国内独立法人资格，持有市场监督管理部门核发的企业法人营业执照，具有有效的建筑施工企业安全生产许可证，并在人员、设备、资金等方面具有相应的施工能力，且同时满足下列要求：</w:t>
            </w:r>
          </w:p>
          <w:p w14:paraId="3B402619">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（1）具备建设行政主管部门颁发的公路工程施工总承包</w:t>
            </w:r>
            <w:r>
              <w:rPr>
                <w:rFonts w:hint="eastAsia" w:ascii="宋体" w:hAnsi="宋体" w:cs="宋体"/>
                <w:color w:val="auto"/>
                <w:szCs w:val="21"/>
                <w:lang w:val="en-US" w:eastAsia="zh-CN"/>
              </w:rPr>
              <w:t>二</w:t>
            </w:r>
            <w:r>
              <w:rPr>
                <w:rFonts w:hint="eastAsia" w:ascii="宋体" w:hAnsi="宋体" w:cs="宋体"/>
                <w:color w:val="auto"/>
                <w:szCs w:val="21"/>
              </w:rPr>
              <w:t>级（含</w:t>
            </w:r>
            <w:r>
              <w:rPr>
                <w:rFonts w:hint="eastAsia" w:ascii="宋体" w:hAnsi="宋体" w:cs="宋体"/>
                <w:color w:val="auto"/>
                <w:szCs w:val="21"/>
                <w:lang w:val="en-US" w:eastAsia="zh-CN"/>
              </w:rPr>
              <w:t>二</w:t>
            </w:r>
            <w:r>
              <w:rPr>
                <w:rFonts w:hint="eastAsia" w:ascii="宋体" w:hAnsi="宋体" w:cs="宋体"/>
                <w:color w:val="auto"/>
                <w:szCs w:val="21"/>
              </w:rPr>
              <w:t>级）及以上资质；</w:t>
            </w:r>
          </w:p>
          <w:p w14:paraId="4198B366">
            <w:pPr>
              <w:wordWrap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（2）投标人属于《关于发布公路工程从业企业资质名录的通知》（厅公路字[2011]114 号）中名录范围内的投标人，投标人应进入交通运输部“全国公路建设市场监督管理系统（https://hwdms.mot.gov.cn/）”中的公路工程施工资质企业名录，且投标人名称和资质与名录中的相应企业名称和资质完全一致。</w:t>
            </w:r>
          </w:p>
        </w:tc>
      </w:tr>
    </w:tbl>
    <w:p w14:paraId="78FECE19">
      <w:pPr>
        <w:spacing w:line="440" w:lineRule="exact"/>
        <w:ind w:right="31" w:rightChars="15"/>
        <w:rPr>
          <w:rFonts w:hint="eastAsia" w:ascii="宋体" w:hAnsi="宋体" w:eastAsia="宋体" w:cs="宋体"/>
          <w:color w:val="auto"/>
          <w:szCs w:val="21"/>
          <w:lang w:eastAsia="zh-CN"/>
        </w:rPr>
      </w:pPr>
      <w:r>
        <w:rPr>
          <w:rFonts w:hint="eastAsia" w:ascii="宋体" w:hAnsi="宋体" w:cs="宋体"/>
          <w:color w:val="auto"/>
          <w:szCs w:val="21"/>
        </w:rPr>
        <w:t>注：1.投标人如不满足上述资格审查条件，将被认为审查不合格</w:t>
      </w:r>
      <w:r>
        <w:rPr>
          <w:rFonts w:hint="eastAsia" w:ascii="宋体" w:hAnsi="宋体" w:cs="宋体"/>
          <w:color w:val="auto"/>
          <w:szCs w:val="21"/>
          <w:lang w:eastAsia="zh-CN"/>
        </w:rPr>
        <w:t>；</w:t>
      </w:r>
    </w:p>
    <w:p w14:paraId="1034EF3E">
      <w:pPr>
        <w:pageBreakBefore w:val="0"/>
        <w:widowControl w:val="0"/>
        <w:kinsoku/>
        <w:overflowPunct/>
        <w:autoSpaceDE/>
        <w:autoSpaceDN/>
        <w:bidi w:val="0"/>
        <w:spacing w:line="440" w:lineRule="exact"/>
        <w:ind w:right="31" w:rightChars="15" w:firstLine="420" w:firstLineChars="200"/>
        <w:textAlignment w:val="auto"/>
        <w:rPr>
          <w:rFonts w:hint="eastAsia" w:ascii="宋体" w:hAnsi="宋体" w:eastAsia="宋体" w:cs="宋体"/>
          <w:sz w:val="21"/>
          <w:szCs w:val="21"/>
        </w:rPr>
      </w:pPr>
      <w:r>
        <w:rPr>
          <w:rFonts w:hint="eastAsia" w:ascii="宋体" w:hAnsi="宋体" w:cs="宋体"/>
          <w:color w:val="auto"/>
          <w:szCs w:val="21"/>
          <w:lang w:val="en-US" w:eastAsia="zh-CN"/>
        </w:rPr>
        <w:t>2.</w:t>
      </w:r>
      <w:r>
        <w:rPr>
          <w:rFonts w:hint="eastAsia" w:ascii="宋体" w:hAnsi="宋体" w:eastAsia="宋体" w:cs="宋体"/>
          <w:sz w:val="21"/>
          <w:szCs w:val="21"/>
          <w:lang w:val="en-US" w:eastAsia="zh-CN"/>
        </w:rPr>
        <w:t>以联合体形</w:t>
      </w:r>
      <w:r>
        <w:rPr>
          <w:rFonts w:hint="eastAsia" w:ascii="宋体" w:hAnsi="宋体" w:eastAsia="宋体" w:cs="宋体"/>
          <w:sz w:val="21"/>
          <w:szCs w:val="21"/>
        </w:rPr>
        <w:t>式投标的联合体成员必须</w:t>
      </w:r>
      <w:r>
        <w:rPr>
          <w:rFonts w:hint="eastAsia" w:ascii="宋体" w:hAnsi="宋体" w:eastAsia="宋体" w:cs="宋体"/>
          <w:sz w:val="21"/>
          <w:szCs w:val="21"/>
          <w:lang w:val="en-US" w:eastAsia="zh-CN"/>
        </w:rPr>
        <w:t>满足</w:t>
      </w:r>
      <w:r>
        <w:rPr>
          <w:rFonts w:hint="eastAsia" w:ascii="宋体" w:hAnsi="宋体" w:eastAsia="宋体" w:cs="宋体"/>
          <w:sz w:val="21"/>
          <w:szCs w:val="21"/>
        </w:rPr>
        <w:t>资质</w:t>
      </w:r>
      <w:r>
        <w:rPr>
          <w:rFonts w:hint="eastAsia" w:ascii="宋体" w:hAnsi="宋体" w:eastAsia="宋体" w:cs="宋体"/>
          <w:sz w:val="21"/>
          <w:szCs w:val="21"/>
          <w:lang w:val="en-US" w:eastAsia="zh-CN"/>
        </w:rPr>
        <w:t>最低要求同时具有</w:t>
      </w:r>
      <w:r>
        <w:rPr>
          <w:rFonts w:hint="eastAsia" w:ascii="宋体" w:hAnsi="宋体" w:eastAsia="宋体" w:cs="宋体"/>
          <w:sz w:val="21"/>
          <w:szCs w:val="21"/>
        </w:rPr>
        <w:t>有效的安全生产许可证。</w:t>
      </w:r>
    </w:p>
    <w:p w14:paraId="1C6657D0">
      <w:pPr>
        <w:pStyle w:val="2"/>
        <w:rPr>
          <w:rFonts w:hint="default" w:eastAsia="宋体"/>
          <w:lang w:val="en-US" w:eastAsia="zh-CN"/>
        </w:rPr>
      </w:pPr>
    </w:p>
    <w:p w14:paraId="1F68BF82">
      <w:pPr>
        <w:spacing w:line="440" w:lineRule="exact"/>
        <w:rPr>
          <w:rFonts w:hint="eastAsia" w:ascii="宋体" w:hAnsi="宋体" w:cs="宋体"/>
          <w:color w:val="auto"/>
          <w:szCs w:val="21"/>
        </w:rPr>
      </w:pPr>
    </w:p>
    <w:p w14:paraId="6BA850BA">
      <w:pPr>
        <w:spacing w:line="440" w:lineRule="exact"/>
        <w:rPr>
          <w:rFonts w:hint="eastAsia" w:ascii="宋体" w:hAnsi="宋体" w:cs="宋体"/>
          <w:color w:val="auto"/>
          <w:szCs w:val="21"/>
        </w:rPr>
      </w:pPr>
      <w:bookmarkStart w:id="24" w:name="_Toc509334300"/>
    </w:p>
    <w:p w14:paraId="6ABAC4BB">
      <w:pPr>
        <w:spacing w:line="440" w:lineRule="exact"/>
        <w:rPr>
          <w:rFonts w:hint="eastAsia" w:ascii="宋体" w:hAnsi="宋体" w:cs="宋体"/>
          <w:color w:val="auto"/>
          <w:szCs w:val="21"/>
        </w:rPr>
      </w:pPr>
    </w:p>
    <w:p w14:paraId="1BF750B4">
      <w:pPr>
        <w:spacing w:line="440" w:lineRule="exact"/>
        <w:rPr>
          <w:rFonts w:hint="eastAsia" w:ascii="宋体" w:hAnsi="宋体" w:cs="宋体"/>
          <w:color w:val="auto"/>
          <w:szCs w:val="21"/>
        </w:rPr>
      </w:pPr>
    </w:p>
    <w:p w14:paraId="3FBAAF67">
      <w:pPr>
        <w:pStyle w:val="6"/>
        <w:spacing w:before="0" w:after="0" w:line="440" w:lineRule="exact"/>
        <w:ind w:firstLine="0" w:firstLineChars="0"/>
        <w:jc w:val="center"/>
        <w:rPr>
          <w:rFonts w:hint="eastAsia" w:ascii="宋体" w:hAnsi="宋体" w:cs="宋体"/>
          <w:color w:val="auto"/>
          <w:sz w:val="21"/>
          <w:szCs w:val="21"/>
        </w:rPr>
      </w:pPr>
      <w:r>
        <w:rPr>
          <w:rFonts w:hint="eastAsia" w:ascii="宋体" w:hAnsi="宋体" w:cs="宋体"/>
          <w:color w:val="auto"/>
          <w:sz w:val="21"/>
          <w:szCs w:val="21"/>
        </w:rPr>
        <w:br w:type="page"/>
      </w:r>
      <w:r>
        <w:rPr>
          <w:rFonts w:hint="eastAsia" w:ascii="宋体" w:hAnsi="宋体" w:cs="宋体"/>
          <w:color w:val="auto"/>
          <w:sz w:val="21"/>
          <w:szCs w:val="21"/>
        </w:rPr>
        <w:t>附录2　资格审查条件(财务最低要求)</w:t>
      </w:r>
      <w:bookmarkEnd w:id="24"/>
    </w:p>
    <w:p w14:paraId="76229B8C">
      <w:pPr>
        <w:rPr>
          <w:color w:val="auto"/>
        </w:rPr>
      </w:pP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1"/>
      </w:tblGrid>
      <w:tr w14:paraId="47461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5000" w:type="pct"/>
            <w:tcBorders>
              <w:top w:val="single" w:color="auto" w:sz="12" w:space="0"/>
            </w:tcBorders>
            <w:vAlign w:val="center"/>
          </w:tcPr>
          <w:p w14:paraId="73D0E50C">
            <w:pPr>
              <w:spacing w:line="440" w:lineRule="exact"/>
              <w:jc w:val="center"/>
              <w:rPr>
                <w:rFonts w:hint="eastAsia" w:ascii="宋体" w:hAnsi="宋体" w:cs="宋体"/>
                <w:color w:val="auto"/>
                <w:szCs w:val="21"/>
              </w:rPr>
            </w:pPr>
            <w:r>
              <w:rPr>
                <w:rFonts w:hint="eastAsia" w:ascii="宋体" w:hAnsi="宋体" w:cs="宋体"/>
                <w:color w:val="auto"/>
                <w:szCs w:val="21"/>
              </w:rPr>
              <w:t>财 务 要 求</w:t>
            </w:r>
          </w:p>
        </w:tc>
      </w:tr>
      <w:tr w14:paraId="6A78B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0" w:hRule="atLeast"/>
        </w:trPr>
        <w:tc>
          <w:tcPr>
            <w:tcW w:w="5000" w:type="pct"/>
            <w:tcBorders>
              <w:bottom w:val="single" w:color="auto" w:sz="12" w:space="0"/>
            </w:tcBorders>
            <w:vAlign w:val="center"/>
          </w:tcPr>
          <w:p w14:paraId="6C5BFA9E">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（1）近三年年平均营业额不得少于所申请标段最高投标限价的70%；</w:t>
            </w:r>
          </w:p>
        </w:tc>
      </w:tr>
    </w:tbl>
    <w:p w14:paraId="655ACA39">
      <w:pPr>
        <w:spacing w:line="440" w:lineRule="exact"/>
        <w:ind w:left="655" w:leftChars="12" w:right="31" w:rightChars="15" w:hanging="630" w:hangingChars="300"/>
        <w:rPr>
          <w:rFonts w:hint="eastAsia" w:ascii="宋体" w:hAnsi="宋体" w:cs="宋体"/>
          <w:color w:val="auto"/>
          <w:szCs w:val="21"/>
        </w:rPr>
      </w:pPr>
      <w:bookmarkStart w:id="25" w:name="_Toc509334301"/>
      <w:r>
        <w:rPr>
          <w:rFonts w:hint="eastAsia" w:ascii="宋体" w:hAnsi="宋体" w:cs="宋体"/>
          <w:color w:val="auto"/>
          <w:szCs w:val="21"/>
        </w:rPr>
        <w:t>注：</w:t>
      </w:r>
    </w:p>
    <w:p w14:paraId="16DB1E61">
      <w:pPr>
        <w:spacing w:line="440" w:lineRule="exact"/>
        <w:ind w:left="653" w:leftChars="211" w:right="31" w:rightChars="15" w:hanging="210" w:hangingChars="100"/>
        <w:rPr>
          <w:rFonts w:hint="eastAsia" w:ascii="宋体" w:hAnsi="宋体" w:eastAsia="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.投标人如不满足上述资格审查条件，将被认为审查不合格</w:t>
      </w:r>
      <w:r>
        <w:rPr>
          <w:rFonts w:hint="eastAsia" w:ascii="宋体" w:hAnsi="宋体" w:cs="宋体"/>
          <w:color w:val="auto"/>
          <w:szCs w:val="21"/>
          <w:lang w:eastAsia="zh-CN"/>
        </w:rPr>
        <w:t>；</w:t>
      </w:r>
    </w:p>
    <w:p w14:paraId="612BE84B">
      <w:pPr>
        <w:pageBreakBefore w:val="0"/>
        <w:widowControl w:val="0"/>
        <w:kinsoku/>
        <w:overflowPunct/>
        <w:autoSpaceDE/>
        <w:autoSpaceDN/>
        <w:bidi w:val="0"/>
        <w:spacing w:line="440" w:lineRule="exact"/>
        <w:ind w:right="31" w:rightChars="15"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.以联合体形式投标的，联合体各成员提供均可。</w:t>
      </w:r>
    </w:p>
    <w:p w14:paraId="79043B85">
      <w:pPr>
        <w:pStyle w:val="2"/>
        <w:rPr>
          <w:rFonts w:hint="eastAsia"/>
        </w:rPr>
      </w:pPr>
    </w:p>
    <w:p w14:paraId="679A30FB">
      <w:pPr>
        <w:pStyle w:val="2"/>
        <w:spacing w:after="0" w:line="440" w:lineRule="exact"/>
        <w:rPr>
          <w:rFonts w:hint="eastAsia" w:ascii="宋体" w:hAnsi="宋体" w:cs="宋体"/>
          <w:color w:val="auto"/>
          <w:szCs w:val="21"/>
        </w:rPr>
      </w:pPr>
    </w:p>
    <w:p w14:paraId="1B35AF1F">
      <w:pPr>
        <w:spacing w:line="440" w:lineRule="exact"/>
        <w:ind w:left="655" w:leftChars="12" w:right="31" w:rightChars="15" w:hanging="630" w:hangingChars="300"/>
        <w:rPr>
          <w:rFonts w:hint="eastAsia" w:ascii="宋体" w:hAnsi="宋体" w:cs="宋体"/>
          <w:color w:val="auto"/>
          <w:szCs w:val="21"/>
        </w:rPr>
      </w:pPr>
    </w:p>
    <w:p w14:paraId="0FC1FFD9">
      <w:pPr>
        <w:spacing w:line="440" w:lineRule="exact"/>
        <w:rPr>
          <w:rFonts w:hint="eastAsia" w:ascii="宋体" w:hAnsi="宋体" w:cs="宋体"/>
          <w:color w:val="auto"/>
          <w:szCs w:val="21"/>
        </w:rPr>
      </w:pPr>
    </w:p>
    <w:p w14:paraId="7994C906">
      <w:pPr>
        <w:spacing w:line="440" w:lineRule="exact"/>
        <w:rPr>
          <w:rFonts w:hint="eastAsia" w:ascii="宋体" w:hAnsi="宋体" w:cs="宋体"/>
          <w:color w:val="auto"/>
          <w:szCs w:val="21"/>
        </w:rPr>
      </w:pPr>
    </w:p>
    <w:bookmarkEnd w:id="25"/>
    <w:p w14:paraId="75451CCB">
      <w:pPr>
        <w:pStyle w:val="6"/>
        <w:spacing w:before="0" w:after="0" w:line="440" w:lineRule="exact"/>
        <w:ind w:firstLine="0" w:firstLineChars="0"/>
        <w:jc w:val="center"/>
        <w:rPr>
          <w:rFonts w:hint="eastAsia" w:ascii="宋体" w:hAnsi="宋体" w:cs="宋体"/>
          <w:color w:val="auto"/>
          <w:sz w:val="21"/>
          <w:szCs w:val="21"/>
        </w:rPr>
      </w:pPr>
      <w:bookmarkStart w:id="26" w:name="_Toc509334302"/>
      <w:r>
        <w:rPr>
          <w:rFonts w:hint="eastAsia" w:ascii="宋体" w:hAnsi="宋体" w:cs="宋体"/>
          <w:color w:val="auto"/>
          <w:sz w:val="21"/>
          <w:szCs w:val="21"/>
        </w:rPr>
        <w:br w:type="page"/>
      </w:r>
      <w:r>
        <w:rPr>
          <w:rFonts w:hint="eastAsia" w:ascii="宋体" w:hAnsi="宋体" w:cs="宋体"/>
          <w:color w:val="auto"/>
          <w:sz w:val="21"/>
          <w:szCs w:val="21"/>
        </w:rPr>
        <w:t>附录3　资格审查条件(业绩最低要求)</w:t>
      </w:r>
    </w:p>
    <w:p w14:paraId="49C662BD">
      <w:pPr>
        <w:rPr>
          <w:color w:val="auto"/>
        </w:rPr>
      </w:pP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1"/>
      </w:tblGrid>
      <w:tr w14:paraId="64D06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5000" w:type="pct"/>
            <w:tcBorders>
              <w:top w:val="single" w:color="auto" w:sz="12" w:space="0"/>
            </w:tcBorders>
            <w:vAlign w:val="center"/>
          </w:tcPr>
          <w:p w14:paraId="0EF13EBF">
            <w:pPr>
              <w:spacing w:line="440" w:lineRule="exact"/>
              <w:jc w:val="center"/>
              <w:rPr>
                <w:rFonts w:hint="eastAsia" w:ascii="宋体" w:hAnsi="宋体" w:cs="宋体"/>
                <w:color w:val="auto"/>
                <w:szCs w:val="21"/>
              </w:rPr>
            </w:pPr>
            <w:r>
              <w:rPr>
                <w:rFonts w:hint="eastAsia" w:ascii="宋体" w:hAnsi="宋体" w:cs="宋体"/>
                <w:color w:val="auto"/>
                <w:szCs w:val="21"/>
              </w:rPr>
              <w:t>业 绩 要 求</w:t>
            </w:r>
          </w:p>
        </w:tc>
      </w:tr>
      <w:tr w14:paraId="1B6BA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0" w:hRule="atLeast"/>
        </w:trPr>
        <w:tc>
          <w:tcPr>
            <w:tcW w:w="5000" w:type="pct"/>
            <w:tcBorders>
              <w:bottom w:val="single" w:color="auto" w:sz="12" w:space="0"/>
            </w:tcBorders>
            <w:vAlign w:val="center"/>
          </w:tcPr>
          <w:p w14:paraId="71C544C6">
            <w:pPr>
              <w:topLinePunct/>
              <w:spacing w:line="4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投标人近五年内（20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01</w:t>
            </w:r>
            <w:r>
              <w:rPr>
                <w:rFonts w:hint="eastAsia" w:ascii="宋体" w:hAnsi="宋体" w:cs="宋体"/>
                <w:color w:val="auto"/>
                <w:kern w:val="0"/>
                <w:szCs w:val="21"/>
              </w:rPr>
              <w:t>月01日～投标文件递交截止时间止，</w:t>
            </w:r>
            <w:r>
              <w:rPr>
                <w:rFonts w:hint="eastAsia" w:ascii="宋体" w:hAnsi="宋体" w:cs="宋体"/>
                <w:color w:val="auto"/>
                <w:szCs w:val="21"/>
              </w:rPr>
              <w:t>以实际交工验收日期为准</w:t>
            </w:r>
            <w:r>
              <w:rPr>
                <w:rFonts w:hint="eastAsia" w:ascii="宋体" w:hAnsi="宋体" w:cs="宋体"/>
                <w:color w:val="auto"/>
                <w:kern w:val="0"/>
                <w:szCs w:val="21"/>
              </w:rPr>
              <w:t>）承担过下列公路工程施工，交工验收达到合格标准：</w:t>
            </w:r>
          </w:p>
          <w:p w14:paraId="0E155655">
            <w:pPr>
              <w:topLinePunct/>
              <w:spacing w:line="4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（1）独立完成过里程不少于</w:t>
            </w:r>
            <w:r>
              <w:rPr>
                <w:rFonts w:hint="eastAsia" w:ascii="宋体" w:hAnsi="宋体" w:cs="宋体"/>
                <w:color w:val="auto"/>
                <w:kern w:val="0"/>
                <w:szCs w:val="21"/>
                <w:lang w:val="en-US" w:eastAsia="zh-CN"/>
              </w:rPr>
              <w:t>4</w:t>
            </w:r>
            <w:r>
              <w:rPr>
                <w:rFonts w:hint="eastAsia" w:ascii="宋体" w:hAnsi="宋体" w:cs="宋体"/>
                <w:color w:val="auto"/>
                <w:kern w:val="0"/>
                <w:szCs w:val="21"/>
              </w:rPr>
              <w:t>0公里的二级及以上公路工程施工项目或累计完成过里程不少于80公里的二级及以上公路工程施工项目；</w:t>
            </w:r>
          </w:p>
          <w:p w14:paraId="1C9DD2FB">
            <w:pPr>
              <w:topLinePunct/>
              <w:spacing w:line="4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（2）独立完成过1座大桥工程施工项目；</w:t>
            </w:r>
          </w:p>
        </w:tc>
      </w:tr>
    </w:tbl>
    <w:p w14:paraId="0E74E638">
      <w:pPr>
        <w:spacing w:line="440" w:lineRule="exact"/>
        <w:rPr>
          <w:rFonts w:hint="eastAsia" w:ascii="宋体" w:hAnsi="宋体" w:cs="宋体"/>
          <w:color w:val="auto"/>
          <w:szCs w:val="21"/>
        </w:rPr>
      </w:pPr>
      <w:r>
        <w:rPr>
          <w:rFonts w:hint="eastAsia" w:ascii="宋体" w:hAnsi="宋体" w:cs="宋体"/>
          <w:color w:val="auto"/>
          <w:szCs w:val="21"/>
        </w:rPr>
        <w:t>注：</w:t>
      </w:r>
    </w:p>
    <w:p w14:paraId="51790FF3">
      <w:pPr>
        <w:pageBreakBefore w:val="0"/>
        <w:widowControl w:val="0"/>
        <w:kinsoku/>
        <w:overflowPunct/>
        <w:autoSpaceDE/>
        <w:autoSpaceDN/>
        <w:bidi w:val="0"/>
        <w:spacing w:line="440" w:lineRule="exact"/>
        <w:ind w:right="31" w:rightChars="15"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1.业绩要求中的施工项目是指新建或改扩建项目；</w:t>
      </w:r>
    </w:p>
    <w:p w14:paraId="27B53923">
      <w:pPr>
        <w:pageBreakBefore w:val="0"/>
        <w:widowControl w:val="0"/>
        <w:kinsoku/>
        <w:overflowPunct/>
        <w:autoSpaceDE/>
        <w:autoSpaceDN/>
        <w:bidi w:val="0"/>
        <w:spacing w:line="440" w:lineRule="exact"/>
        <w:ind w:right="31" w:rightChars="15"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如单个业绩能同时满足上述条件要求的，则该业绩可分别予以认定。如投标人提供高速公路、一级公路业绩的，其里程可折算成2倍的二级公路里程。例如：投标人已完成某条一级、高速公路的里程为5公里，则评标时可折算为：投标人已完成二级公路里程为10公里；</w:t>
      </w:r>
    </w:p>
    <w:p w14:paraId="3C6B534C">
      <w:pPr>
        <w:pageBreakBefore w:val="0"/>
        <w:widowControl w:val="0"/>
        <w:kinsoku/>
        <w:overflowPunct/>
        <w:autoSpaceDE/>
        <w:autoSpaceDN/>
        <w:bidi w:val="0"/>
        <w:spacing w:line="440" w:lineRule="exact"/>
        <w:ind w:right="31" w:rightChars="15"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施工业绩要求在黑龙江省交通运输厅网站的“黑龙江省公路水路建设市场信用信息管理系统”或交通运输部网站“全国公路建设市场监督管理系统”中能够查询，业绩的认定以查询的业绩截图为准，如果查询不到该业绩的信息或查询的信息与投标人提供的信息不一致，业绩审查时将不予认定；</w:t>
      </w:r>
    </w:p>
    <w:p w14:paraId="2DB502C3">
      <w:pPr>
        <w:pageBreakBefore w:val="0"/>
        <w:widowControl w:val="0"/>
        <w:kinsoku/>
        <w:overflowPunct/>
        <w:autoSpaceDE/>
        <w:autoSpaceDN/>
        <w:bidi w:val="0"/>
        <w:spacing w:line="440" w:lineRule="exact"/>
        <w:ind w:right="31" w:rightChars="15"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目前黑龙江省交通运输厅网站的“黑龙江省公路水路建设市场信用信息管理系统”进行升级改造,如在投标截止时间前未完成升级改造，投标人应提供交通运输部网站“全国公路建设市场监督管理系统”查询的业绩截图，业绩的认定以“全国公路建设市场监督管理系统”查询的业绩截图为准；</w:t>
      </w:r>
    </w:p>
    <w:p w14:paraId="15ADF5A1">
      <w:pPr>
        <w:pageBreakBefore w:val="0"/>
        <w:widowControl w:val="0"/>
        <w:kinsoku/>
        <w:overflowPunct/>
        <w:autoSpaceDE/>
        <w:autoSpaceDN/>
        <w:bidi w:val="0"/>
        <w:spacing w:line="440" w:lineRule="exact"/>
        <w:ind w:right="31" w:rightChars="15"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5.投标人如不满足上述资格审查条件，将被认为审查不合格；</w:t>
      </w:r>
    </w:p>
    <w:p w14:paraId="7124E921">
      <w:pPr>
        <w:pageBreakBefore w:val="0"/>
        <w:widowControl w:val="0"/>
        <w:kinsoku/>
        <w:overflowPunct/>
        <w:autoSpaceDE/>
        <w:autoSpaceDN/>
        <w:bidi w:val="0"/>
        <w:spacing w:line="440" w:lineRule="exact"/>
        <w:ind w:firstLine="420" w:firstLineChars="200"/>
        <w:textAlignment w:val="auto"/>
        <w:rPr>
          <w:rFonts w:hint="eastAsia" w:ascii="宋体" w:hAnsi="宋体" w:eastAsia="宋体" w:cs="宋体"/>
          <w:sz w:val="21"/>
          <w:szCs w:val="21"/>
        </w:rPr>
      </w:pPr>
      <w:r>
        <w:rPr>
          <w:rFonts w:hint="eastAsia" w:ascii="宋体" w:hAnsi="宋体" w:cs="宋体"/>
          <w:color w:val="auto"/>
          <w:szCs w:val="21"/>
          <w:lang w:val="en-US" w:eastAsia="zh-CN"/>
        </w:rPr>
        <w:t>6.</w:t>
      </w:r>
      <w:r>
        <w:rPr>
          <w:rFonts w:hint="eastAsia" w:ascii="宋体" w:hAnsi="宋体" w:eastAsia="宋体" w:cs="宋体"/>
          <w:sz w:val="21"/>
          <w:szCs w:val="21"/>
        </w:rPr>
        <w:t>以联合体形式投标的，联合体各成员</w:t>
      </w:r>
      <w:r>
        <w:rPr>
          <w:rFonts w:hint="eastAsia" w:ascii="宋体" w:hAnsi="宋体" w:eastAsia="宋体" w:cs="宋体"/>
          <w:sz w:val="21"/>
          <w:szCs w:val="21"/>
          <w:lang w:val="en-US" w:eastAsia="zh-CN"/>
        </w:rPr>
        <w:t>提供的</w:t>
      </w:r>
      <w:r>
        <w:rPr>
          <w:rFonts w:hint="eastAsia" w:ascii="宋体" w:hAnsi="宋体" w:eastAsia="宋体" w:cs="宋体"/>
          <w:sz w:val="21"/>
          <w:szCs w:val="21"/>
        </w:rPr>
        <w:t>业绩</w:t>
      </w:r>
      <w:r>
        <w:rPr>
          <w:rFonts w:hint="eastAsia" w:ascii="宋体" w:hAnsi="宋体" w:eastAsia="宋体" w:cs="宋体"/>
          <w:sz w:val="21"/>
          <w:szCs w:val="21"/>
          <w:lang w:val="en-US" w:eastAsia="zh-CN"/>
        </w:rPr>
        <w:t>均可</w:t>
      </w:r>
      <w:r>
        <w:rPr>
          <w:rFonts w:hint="eastAsia" w:ascii="宋体" w:hAnsi="宋体" w:eastAsia="宋体" w:cs="宋体"/>
          <w:sz w:val="21"/>
          <w:szCs w:val="21"/>
        </w:rPr>
        <w:t>。</w:t>
      </w:r>
    </w:p>
    <w:p w14:paraId="22CE61DE">
      <w:pPr>
        <w:pStyle w:val="2"/>
        <w:rPr>
          <w:rFonts w:hint="default" w:eastAsia="宋体"/>
          <w:lang w:val="en-US" w:eastAsia="zh-CN"/>
        </w:rPr>
      </w:pPr>
    </w:p>
    <w:p w14:paraId="558E373B">
      <w:pPr>
        <w:pStyle w:val="6"/>
        <w:spacing w:before="0" w:after="0" w:line="440" w:lineRule="exact"/>
        <w:ind w:firstLine="0" w:firstLineChars="0"/>
        <w:jc w:val="center"/>
        <w:rPr>
          <w:rFonts w:hint="eastAsia" w:ascii="宋体" w:hAnsi="宋体" w:cs="宋体"/>
          <w:color w:val="auto"/>
          <w:sz w:val="21"/>
          <w:szCs w:val="21"/>
        </w:rPr>
      </w:pPr>
      <w:r>
        <w:rPr>
          <w:rFonts w:hint="eastAsia" w:ascii="宋体" w:hAnsi="宋体" w:cs="宋体"/>
          <w:color w:val="auto"/>
          <w:sz w:val="21"/>
          <w:szCs w:val="21"/>
        </w:rPr>
        <w:br w:type="page"/>
      </w:r>
      <w:r>
        <w:rPr>
          <w:rFonts w:hint="eastAsia" w:ascii="宋体" w:hAnsi="宋体" w:cs="宋体"/>
          <w:color w:val="auto"/>
          <w:sz w:val="21"/>
          <w:szCs w:val="21"/>
        </w:rPr>
        <w:t>附录4　资格审查条件(信誉最低要求)</w:t>
      </w:r>
      <w:bookmarkEnd w:id="26"/>
    </w:p>
    <w:p w14:paraId="2DB823C5">
      <w:pPr>
        <w:rPr>
          <w:color w:val="auto"/>
        </w:rPr>
      </w:pP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1"/>
      </w:tblGrid>
      <w:tr w14:paraId="5331E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trPr>
        <w:tc>
          <w:tcPr>
            <w:tcW w:w="5000" w:type="pct"/>
            <w:tcBorders>
              <w:top w:val="single" w:color="auto" w:sz="12" w:space="0"/>
            </w:tcBorders>
            <w:vAlign w:val="center"/>
          </w:tcPr>
          <w:p w14:paraId="0FDDCCAE">
            <w:pPr>
              <w:spacing w:line="440" w:lineRule="exact"/>
              <w:jc w:val="center"/>
              <w:rPr>
                <w:rFonts w:hint="eastAsia" w:ascii="宋体" w:hAnsi="宋体" w:cs="宋体"/>
                <w:color w:val="auto"/>
                <w:szCs w:val="21"/>
              </w:rPr>
            </w:pPr>
            <w:r>
              <w:rPr>
                <w:rFonts w:hint="eastAsia" w:ascii="宋体" w:hAnsi="宋体" w:cs="宋体"/>
                <w:color w:val="auto"/>
                <w:szCs w:val="21"/>
              </w:rPr>
              <w:t>信 誉 要 求</w:t>
            </w:r>
          </w:p>
        </w:tc>
      </w:tr>
      <w:tr w14:paraId="64488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1" w:hRule="atLeast"/>
        </w:trPr>
        <w:tc>
          <w:tcPr>
            <w:tcW w:w="5000" w:type="pct"/>
            <w:tcBorders>
              <w:bottom w:val="single" w:color="auto" w:sz="12" w:space="0"/>
            </w:tcBorders>
            <w:vAlign w:val="center"/>
          </w:tcPr>
          <w:p w14:paraId="6D491E08">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（1）投标人</w:t>
            </w:r>
            <w:r>
              <w:rPr>
                <w:rFonts w:hint="eastAsia" w:ascii="宋体" w:hAnsi="宋体" w:eastAsia="宋体" w:cs="宋体"/>
                <w:color w:val="auto"/>
                <w:kern w:val="0"/>
                <w:sz w:val="21"/>
                <w:szCs w:val="21"/>
                <w:lang w:val="zh-CN" w:bidi="zh-CN"/>
              </w:rPr>
              <w:t>（包括联合体成员）</w:t>
            </w:r>
            <w:r>
              <w:rPr>
                <w:rFonts w:hint="eastAsia" w:ascii="宋体" w:hAnsi="宋体" w:cs="宋体"/>
                <w:color w:val="auto"/>
                <w:kern w:val="0"/>
                <w:szCs w:val="21"/>
                <w:lang w:val="zh-CN" w:bidi="zh-CN"/>
              </w:rPr>
              <w:t>在近三年中不得在合同中违约且被驱逐出现场（以投标人提供的承诺为准）；</w:t>
            </w:r>
          </w:p>
          <w:p w14:paraId="72211936">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（2）投标人</w:t>
            </w:r>
            <w:r>
              <w:rPr>
                <w:rFonts w:hint="eastAsia" w:ascii="宋体" w:hAnsi="宋体" w:eastAsia="宋体" w:cs="宋体"/>
                <w:color w:val="auto"/>
                <w:kern w:val="0"/>
                <w:sz w:val="21"/>
                <w:szCs w:val="21"/>
                <w:lang w:val="zh-CN" w:bidi="zh-CN"/>
              </w:rPr>
              <w:t>（包括联合体成员）</w:t>
            </w:r>
            <w:r>
              <w:rPr>
                <w:rFonts w:hint="eastAsia" w:ascii="宋体" w:hAnsi="宋体" w:cs="宋体"/>
                <w:color w:val="auto"/>
                <w:kern w:val="0"/>
                <w:szCs w:val="21"/>
                <w:lang w:val="zh-CN" w:bidi="zh-CN"/>
              </w:rPr>
              <w:t>在近三年中不得有重大质量、安全事故被有关部门处罚（以投标人提供的承诺为准）；</w:t>
            </w:r>
          </w:p>
          <w:p w14:paraId="66133E63">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（3）投标人</w:t>
            </w:r>
            <w:r>
              <w:rPr>
                <w:rFonts w:hint="eastAsia" w:ascii="宋体" w:hAnsi="宋体" w:eastAsia="宋体" w:cs="宋体"/>
                <w:color w:val="auto"/>
                <w:kern w:val="0"/>
                <w:sz w:val="21"/>
                <w:szCs w:val="21"/>
                <w:lang w:val="zh-CN" w:bidi="zh-CN"/>
              </w:rPr>
              <w:t>（包括联合体成员）</w:t>
            </w:r>
            <w:r>
              <w:rPr>
                <w:rFonts w:hint="eastAsia" w:ascii="宋体" w:hAnsi="宋体" w:cs="宋体"/>
                <w:color w:val="auto"/>
                <w:kern w:val="0"/>
                <w:szCs w:val="21"/>
                <w:lang w:val="zh-CN" w:bidi="zh-CN"/>
              </w:rPr>
              <w:t>在近三年中不得有拖欠农民工工资被有关部门处罚（以投标人提供的承诺为准）；</w:t>
            </w:r>
          </w:p>
          <w:p w14:paraId="3B105D39">
            <w:pPr>
              <w:topLinePunct/>
              <w:spacing w:line="440" w:lineRule="exact"/>
              <w:ind w:firstLine="420" w:firstLineChars="200"/>
              <w:rPr>
                <w:rFonts w:hint="eastAsia" w:ascii="宋体" w:hAnsi="宋体" w:cs="宋体"/>
                <w:b/>
                <w:bCs/>
                <w:color w:val="auto"/>
                <w:kern w:val="0"/>
                <w:szCs w:val="21"/>
                <w:lang w:val="zh-CN" w:bidi="zh-CN"/>
              </w:rPr>
            </w:pPr>
            <w:r>
              <w:rPr>
                <w:rFonts w:hint="eastAsia" w:ascii="宋体" w:hAnsi="宋体" w:cs="宋体"/>
                <w:color w:val="auto"/>
                <w:kern w:val="0"/>
                <w:szCs w:val="21"/>
                <w:lang w:val="zh-CN" w:bidi="zh-CN"/>
              </w:rPr>
              <w:t>（4）本次招标不接受202</w:t>
            </w:r>
            <w:r>
              <w:rPr>
                <w:rFonts w:hint="eastAsia" w:ascii="宋体" w:hAnsi="宋体" w:cs="宋体"/>
                <w:color w:val="auto"/>
                <w:kern w:val="0"/>
                <w:szCs w:val="21"/>
                <w:lang w:val="en-US" w:bidi="zh-CN"/>
              </w:rPr>
              <w:t>3</w:t>
            </w:r>
            <w:r>
              <w:rPr>
                <w:rFonts w:hint="eastAsia" w:ascii="宋体" w:hAnsi="宋体" w:cs="宋体"/>
                <w:color w:val="auto"/>
                <w:kern w:val="0"/>
                <w:szCs w:val="21"/>
                <w:lang w:val="zh-CN" w:bidi="zh-CN"/>
              </w:rPr>
              <w:t>年度在黑龙江省交通运输厅公路施工企业信用评价或202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年度在交通运输部公路施工企业全国综合信用评价中被认定为D级的投标人</w:t>
            </w:r>
            <w:r>
              <w:rPr>
                <w:rFonts w:hint="eastAsia" w:ascii="宋体" w:hAnsi="宋体" w:eastAsia="宋体" w:cs="宋体"/>
                <w:color w:val="auto"/>
                <w:kern w:val="0"/>
                <w:sz w:val="21"/>
                <w:szCs w:val="21"/>
                <w:lang w:val="zh-CN" w:bidi="zh-CN"/>
              </w:rPr>
              <w:t>（包括联合体成员）</w:t>
            </w:r>
            <w:r>
              <w:rPr>
                <w:rFonts w:hint="eastAsia" w:ascii="宋体" w:hAnsi="宋体" w:cs="宋体"/>
                <w:color w:val="auto"/>
                <w:kern w:val="0"/>
                <w:szCs w:val="21"/>
                <w:lang w:val="zh-CN" w:bidi="zh-CN"/>
              </w:rPr>
              <w:t>参加本项目投标；202</w:t>
            </w:r>
            <w:r>
              <w:rPr>
                <w:rFonts w:hint="eastAsia" w:ascii="宋体" w:hAnsi="宋体" w:cs="宋体"/>
                <w:color w:val="auto"/>
                <w:kern w:val="0"/>
                <w:szCs w:val="21"/>
                <w:lang w:val="en-US" w:bidi="zh-CN"/>
              </w:rPr>
              <w:t>3</w:t>
            </w:r>
            <w:r>
              <w:rPr>
                <w:rFonts w:hint="eastAsia" w:ascii="宋体" w:hAnsi="宋体" w:cs="宋体"/>
                <w:color w:val="auto"/>
                <w:kern w:val="0"/>
                <w:szCs w:val="21"/>
                <w:lang w:val="zh-CN" w:bidi="zh-CN"/>
              </w:rPr>
              <w:t>年度在黑龙江省交通运输厅或202</w:t>
            </w:r>
            <w:r>
              <w:rPr>
                <w:rFonts w:hint="eastAsia" w:ascii="宋体" w:hAnsi="宋体" w:cs="宋体"/>
                <w:color w:val="auto"/>
                <w:kern w:val="0"/>
                <w:szCs w:val="21"/>
                <w:lang w:bidi="zh-CN"/>
              </w:rPr>
              <w:t>3</w:t>
            </w:r>
            <w:r>
              <w:rPr>
                <w:rFonts w:hint="eastAsia" w:ascii="宋体" w:hAnsi="宋体" w:cs="宋体"/>
                <w:color w:val="auto"/>
                <w:kern w:val="0"/>
                <w:szCs w:val="21"/>
                <w:lang w:val="zh-CN" w:bidi="zh-CN"/>
              </w:rPr>
              <w:t>年度在交通运输部均无公路企业信用评价结果的，若无不良信用记录，按A级对待（以投标人提供的承诺为准）；</w:t>
            </w:r>
          </w:p>
          <w:p w14:paraId="0F402455">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（5）近三年内投标人</w:t>
            </w:r>
            <w:r>
              <w:rPr>
                <w:rFonts w:hint="eastAsia" w:ascii="宋体" w:hAnsi="宋体" w:eastAsia="宋体" w:cs="宋体"/>
                <w:color w:val="auto"/>
                <w:kern w:val="0"/>
                <w:sz w:val="21"/>
                <w:szCs w:val="21"/>
                <w:lang w:val="zh-CN" w:bidi="zh-CN"/>
              </w:rPr>
              <w:t>（包括联合体成员）</w:t>
            </w:r>
            <w:r>
              <w:rPr>
                <w:rFonts w:hint="eastAsia" w:ascii="宋体" w:hAnsi="宋体" w:cs="宋体"/>
                <w:color w:val="auto"/>
                <w:kern w:val="0"/>
                <w:szCs w:val="21"/>
                <w:lang w:val="zh-CN" w:bidi="zh-CN"/>
              </w:rPr>
              <w:t>或其法定代表人、拟委任的项目经理、项目总工无中国裁判文书网（http://wenshu.court.gov.cn）行贿犯罪行为记录（以投标人提供的承诺为准）；</w:t>
            </w:r>
          </w:p>
          <w:p w14:paraId="30099C9B">
            <w:pPr>
              <w:topLinePunct/>
              <w:spacing w:line="440" w:lineRule="exact"/>
              <w:ind w:firstLine="420" w:firstLineChars="200"/>
              <w:rPr>
                <w:rFonts w:hint="eastAsia" w:ascii="宋体" w:hAnsi="宋体" w:cs="宋体"/>
                <w:color w:val="auto"/>
                <w:kern w:val="0"/>
                <w:szCs w:val="21"/>
                <w:lang w:val="zh-CN" w:bidi="zh-CN"/>
              </w:rPr>
            </w:pPr>
            <w:r>
              <w:rPr>
                <w:rFonts w:hint="eastAsia" w:ascii="宋体" w:hAnsi="宋体" w:cs="宋体"/>
                <w:color w:val="auto"/>
                <w:kern w:val="0"/>
                <w:szCs w:val="21"/>
                <w:lang w:val="zh-CN" w:bidi="zh-CN"/>
              </w:rPr>
              <w:t>（6）投标人</w:t>
            </w:r>
            <w:r>
              <w:rPr>
                <w:rFonts w:hint="eastAsia" w:ascii="宋体" w:hAnsi="宋体" w:eastAsia="宋体" w:cs="宋体"/>
                <w:color w:val="auto"/>
                <w:kern w:val="0"/>
                <w:sz w:val="21"/>
                <w:szCs w:val="21"/>
                <w:lang w:val="zh-CN" w:bidi="zh-CN"/>
              </w:rPr>
              <w:t>（包括联合体成员）</w:t>
            </w:r>
            <w:r>
              <w:rPr>
                <w:rFonts w:hint="eastAsia" w:ascii="宋体" w:hAnsi="宋体" w:cs="宋体"/>
                <w:color w:val="auto"/>
                <w:kern w:val="0"/>
                <w:szCs w:val="21"/>
                <w:lang w:val="zh-CN" w:bidi="zh-CN"/>
              </w:rPr>
              <w:t>在“信用中国”网站（http://www.creditchina.gov.cn）或“信用中国（黑龙江）”网站（http://www.hljcredit.gov.cn/）中投标人被列入失信被执行人名单不得参加本项目投标（以投标人提供的承诺为准）；</w:t>
            </w:r>
          </w:p>
          <w:p w14:paraId="3AD46BBC">
            <w:pPr>
              <w:topLinePunct/>
              <w:spacing w:line="440" w:lineRule="exact"/>
              <w:ind w:firstLine="420" w:firstLineChars="200"/>
              <w:rPr>
                <w:rFonts w:hint="eastAsia" w:ascii="宋体" w:hAnsi="宋体" w:cs="宋体"/>
                <w:color w:val="auto"/>
                <w:szCs w:val="21"/>
              </w:rPr>
            </w:pPr>
            <w:r>
              <w:rPr>
                <w:rFonts w:hint="eastAsia" w:ascii="宋体" w:hAnsi="宋体" w:cs="宋体"/>
                <w:color w:val="auto"/>
                <w:kern w:val="0"/>
                <w:szCs w:val="21"/>
                <w:lang w:val="zh-CN" w:bidi="zh-CN"/>
              </w:rPr>
              <w:t>（7）投标人</w:t>
            </w:r>
            <w:r>
              <w:rPr>
                <w:rFonts w:hint="eastAsia" w:ascii="宋体" w:hAnsi="宋体" w:eastAsia="宋体" w:cs="宋体"/>
                <w:color w:val="auto"/>
                <w:kern w:val="0"/>
                <w:sz w:val="21"/>
                <w:szCs w:val="21"/>
                <w:lang w:val="zh-CN" w:bidi="zh-CN"/>
              </w:rPr>
              <w:t>（包括联合体成员）</w:t>
            </w:r>
            <w:r>
              <w:rPr>
                <w:rFonts w:hint="eastAsia" w:ascii="宋体" w:hAnsi="宋体" w:cs="宋体"/>
                <w:color w:val="auto"/>
                <w:kern w:val="0"/>
                <w:szCs w:val="21"/>
                <w:lang w:val="zh-CN" w:bidi="zh-CN"/>
              </w:rPr>
              <w:t>在国家企业信用信息公示系统（http://www.gsxt.gov.cn/）中被列入严重违法失信企业名单的投标人，不得参加本项目投标（以投标人提供的承诺为准）。</w:t>
            </w:r>
          </w:p>
        </w:tc>
      </w:tr>
    </w:tbl>
    <w:p w14:paraId="55E415B5">
      <w:pPr>
        <w:spacing w:line="440" w:lineRule="exact"/>
        <w:rPr>
          <w:rFonts w:hint="eastAsia" w:ascii="宋体" w:hAnsi="宋体" w:cs="宋体"/>
          <w:color w:val="auto"/>
          <w:szCs w:val="21"/>
        </w:rPr>
      </w:pPr>
      <w:r>
        <w:rPr>
          <w:rFonts w:hint="eastAsia" w:ascii="宋体" w:hAnsi="宋体" w:cs="宋体"/>
          <w:color w:val="auto"/>
          <w:szCs w:val="21"/>
        </w:rPr>
        <w:t>注：</w:t>
      </w:r>
    </w:p>
    <w:p w14:paraId="3F6188AB">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1.近三年是指 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 xml:space="preserve">月01日～递交投标文件截止日； </w:t>
      </w:r>
    </w:p>
    <w:p w14:paraId="76E4C70E">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2.投标人须对信誉要求第1~7项做出相关承诺，无需附相关网站查询截图；</w:t>
      </w:r>
    </w:p>
    <w:p w14:paraId="650E84DF">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3.投标人如不满足上述资格审查条件，将被认为审查不合格； </w:t>
      </w:r>
    </w:p>
    <w:p w14:paraId="33C1073C">
      <w:pPr>
        <w:spacing w:line="440" w:lineRule="exact"/>
        <w:ind w:firstLine="420" w:firstLineChars="200"/>
        <w:jc w:val="center"/>
        <w:rPr>
          <w:rFonts w:hint="eastAsia" w:ascii="宋体" w:hAnsi="宋体" w:cs="宋体"/>
          <w:color w:val="auto"/>
          <w:szCs w:val="21"/>
        </w:rPr>
      </w:pPr>
      <w:r>
        <w:rPr>
          <w:rFonts w:hint="eastAsia" w:ascii="宋体" w:hAnsi="宋体" w:cs="宋体"/>
          <w:color w:val="auto"/>
          <w:szCs w:val="21"/>
        </w:rPr>
        <w:br w:type="page"/>
      </w:r>
      <w:bookmarkStart w:id="27" w:name="_Toc509334303"/>
      <w:r>
        <w:rPr>
          <w:rFonts w:hint="eastAsia" w:ascii="宋体" w:hAnsi="宋体" w:cs="宋体"/>
          <w:color w:val="auto"/>
          <w:szCs w:val="21"/>
        </w:rPr>
        <w:t>附录5　资格审查条件(项目经理和项目总工最低要求)</w:t>
      </w:r>
      <w:bookmarkEnd w:id="27"/>
    </w:p>
    <w:p w14:paraId="7A986F7D">
      <w:pPr>
        <w:pStyle w:val="2"/>
        <w:rPr>
          <w:color w:val="auto"/>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2"/>
        <w:gridCol w:w="1018"/>
        <w:gridCol w:w="5744"/>
        <w:gridCol w:w="2057"/>
      </w:tblGrid>
      <w:tr w14:paraId="18859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573" w:type="pct"/>
            <w:tcBorders>
              <w:top w:val="single" w:color="auto" w:sz="12" w:space="0"/>
              <w:right w:val="single" w:color="auto" w:sz="4" w:space="0"/>
            </w:tcBorders>
            <w:vAlign w:val="center"/>
          </w:tcPr>
          <w:p w14:paraId="0A914EB2">
            <w:pPr>
              <w:spacing w:line="440" w:lineRule="exact"/>
              <w:jc w:val="center"/>
              <w:rPr>
                <w:rFonts w:hint="eastAsia" w:ascii="宋体" w:hAnsi="宋体" w:cs="宋体"/>
                <w:color w:val="auto"/>
                <w:szCs w:val="21"/>
              </w:rPr>
            </w:pPr>
            <w:r>
              <w:rPr>
                <w:rFonts w:hint="eastAsia" w:ascii="宋体" w:hAnsi="宋体" w:cs="宋体"/>
                <w:color w:val="auto"/>
                <w:szCs w:val="21"/>
              </w:rPr>
              <w:t>人员</w:t>
            </w:r>
          </w:p>
        </w:tc>
        <w:tc>
          <w:tcPr>
            <w:tcW w:w="511" w:type="pct"/>
            <w:tcBorders>
              <w:top w:val="single" w:color="auto" w:sz="12" w:space="0"/>
              <w:left w:val="single" w:color="auto" w:sz="4" w:space="0"/>
              <w:right w:val="single" w:color="auto" w:sz="4" w:space="0"/>
            </w:tcBorders>
            <w:vAlign w:val="center"/>
          </w:tcPr>
          <w:p w14:paraId="30962AC4">
            <w:pPr>
              <w:spacing w:line="440" w:lineRule="exact"/>
              <w:jc w:val="center"/>
              <w:rPr>
                <w:rFonts w:hint="eastAsia" w:ascii="宋体" w:hAnsi="宋体" w:cs="宋体"/>
                <w:color w:val="auto"/>
                <w:szCs w:val="21"/>
              </w:rPr>
            </w:pPr>
            <w:r>
              <w:rPr>
                <w:rFonts w:hint="eastAsia" w:ascii="宋体" w:hAnsi="宋体" w:cs="宋体"/>
                <w:color w:val="auto"/>
                <w:szCs w:val="21"/>
              </w:rPr>
              <w:t>数量</w:t>
            </w:r>
          </w:p>
        </w:tc>
        <w:tc>
          <w:tcPr>
            <w:tcW w:w="2882" w:type="pct"/>
            <w:tcBorders>
              <w:top w:val="single" w:color="auto" w:sz="12" w:space="0"/>
              <w:left w:val="single" w:color="auto" w:sz="4" w:space="0"/>
            </w:tcBorders>
            <w:vAlign w:val="center"/>
          </w:tcPr>
          <w:p w14:paraId="2CD890A9">
            <w:pPr>
              <w:spacing w:line="440" w:lineRule="exact"/>
              <w:jc w:val="center"/>
              <w:rPr>
                <w:rFonts w:hint="eastAsia" w:ascii="宋体" w:hAnsi="宋体" w:cs="宋体"/>
                <w:color w:val="auto"/>
                <w:szCs w:val="21"/>
              </w:rPr>
            </w:pPr>
            <w:r>
              <w:rPr>
                <w:rFonts w:hint="eastAsia" w:ascii="宋体" w:hAnsi="宋体" w:cs="宋体"/>
                <w:color w:val="auto"/>
                <w:szCs w:val="21"/>
              </w:rPr>
              <w:t>资格要求</w:t>
            </w:r>
          </w:p>
        </w:tc>
        <w:tc>
          <w:tcPr>
            <w:tcW w:w="1032" w:type="pct"/>
            <w:tcBorders>
              <w:top w:val="single" w:color="auto" w:sz="12" w:space="0"/>
              <w:left w:val="single" w:color="auto" w:sz="4" w:space="0"/>
            </w:tcBorders>
            <w:vAlign w:val="center"/>
          </w:tcPr>
          <w:p w14:paraId="1010AF46">
            <w:pPr>
              <w:spacing w:line="440" w:lineRule="exact"/>
              <w:jc w:val="center"/>
              <w:rPr>
                <w:rFonts w:hint="eastAsia" w:ascii="宋体" w:hAnsi="宋体" w:cs="宋体"/>
                <w:color w:val="auto"/>
                <w:szCs w:val="21"/>
              </w:rPr>
            </w:pPr>
            <w:r>
              <w:rPr>
                <w:rFonts w:hint="eastAsia" w:ascii="宋体" w:hAnsi="宋体" w:cs="宋体"/>
                <w:color w:val="auto"/>
                <w:szCs w:val="21"/>
              </w:rPr>
              <w:t>在岗要求</w:t>
            </w:r>
          </w:p>
        </w:tc>
      </w:tr>
      <w:tr w14:paraId="75BC8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4" w:hRule="atLeast"/>
          <w:jc w:val="center"/>
        </w:trPr>
        <w:tc>
          <w:tcPr>
            <w:tcW w:w="573" w:type="pct"/>
            <w:tcBorders>
              <w:right w:val="single" w:color="auto" w:sz="4" w:space="0"/>
            </w:tcBorders>
            <w:vAlign w:val="center"/>
          </w:tcPr>
          <w:p w14:paraId="729AFFC7">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项目经理</w:t>
            </w:r>
          </w:p>
        </w:tc>
        <w:tc>
          <w:tcPr>
            <w:tcW w:w="511" w:type="pct"/>
            <w:tcBorders>
              <w:left w:val="single" w:color="auto" w:sz="4" w:space="0"/>
              <w:right w:val="single" w:color="auto" w:sz="4" w:space="0"/>
            </w:tcBorders>
            <w:vAlign w:val="center"/>
          </w:tcPr>
          <w:p w14:paraId="225DE3FD">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1人</w:t>
            </w:r>
          </w:p>
        </w:tc>
        <w:tc>
          <w:tcPr>
            <w:tcW w:w="2882" w:type="pct"/>
            <w:tcBorders>
              <w:left w:val="single" w:color="auto" w:sz="4" w:space="0"/>
            </w:tcBorders>
            <w:vAlign w:val="center"/>
          </w:tcPr>
          <w:p w14:paraId="289FADF8">
            <w:pPr>
              <w:tabs>
                <w:tab w:val="left" w:pos="1300"/>
              </w:tabs>
              <w:spacing w:line="440" w:lineRule="exact"/>
              <w:jc w:val="left"/>
              <w:rPr>
                <w:rFonts w:hint="eastAsia" w:ascii="宋体" w:hAnsi="宋体" w:cs="宋体"/>
                <w:color w:val="auto"/>
                <w:szCs w:val="21"/>
              </w:rPr>
            </w:pPr>
            <w:r>
              <w:rPr>
                <w:rFonts w:hint="eastAsia" w:ascii="宋体" w:hAnsi="宋体" w:cs="宋体"/>
                <w:color w:val="auto"/>
                <w:szCs w:val="21"/>
              </w:rPr>
              <w:t>公路工程相关专业工程师及以上职称，具有公路工程专业注册一级建造师执业资格（注册单位名称必须与投标人名称一致），并持有交通运输主管部门颁发的有效B类安全生产考核合格证，且安全生产考核合格证的登记单位名称必须与投标人名称一致；</w:t>
            </w:r>
          </w:p>
        </w:tc>
        <w:tc>
          <w:tcPr>
            <w:tcW w:w="1032" w:type="pct"/>
            <w:vMerge w:val="restart"/>
            <w:tcBorders>
              <w:left w:val="single" w:color="auto" w:sz="4" w:space="0"/>
            </w:tcBorders>
            <w:vAlign w:val="center"/>
          </w:tcPr>
          <w:p w14:paraId="05D98772">
            <w:pPr>
              <w:tabs>
                <w:tab w:val="left" w:pos="1300"/>
              </w:tabs>
              <w:adjustRightInd w:val="0"/>
              <w:snapToGrid w:val="0"/>
              <w:spacing w:line="440" w:lineRule="exact"/>
              <w:rPr>
                <w:rFonts w:hint="eastAsia" w:ascii="宋体" w:hAnsi="宋体" w:cs="宋体"/>
                <w:color w:val="auto"/>
                <w:szCs w:val="21"/>
              </w:rPr>
            </w:pPr>
            <w:r>
              <w:rPr>
                <w:rFonts w:hint="eastAsia" w:ascii="宋体" w:hAnsi="宋体" w:cs="宋体"/>
                <w:color w:val="auto"/>
                <w:szCs w:val="21"/>
              </w:rPr>
              <w:t>无在岗项目（指目前未在其他项目上任职，或虽在其他项目上任职但本项目中标后能够从该项目撤离）</w:t>
            </w:r>
          </w:p>
        </w:tc>
      </w:tr>
      <w:tr w14:paraId="7671D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573" w:type="pct"/>
            <w:tcBorders>
              <w:bottom w:val="single" w:color="auto" w:sz="12" w:space="0"/>
              <w:right w:val="single" w:color="auto" w:sz="4" w:space="0"/>
            </w:tcBorders>
            <w:vAlign w:val="center"/>
          </w:tcPr>
          <w:p w14:paraId="7E93E063">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项目总工</w:t>
            </w:r>
          </w:p>
        </w:tc>
        <w:tc>
          <w:tcPr>
            <w:tcW w:w="511" w:type="pct"/>
            <w:tcBorders>
              <w:left w:val="single" w:color="auto" w:sz="4" w:space="0"/>
              <w:bottom w:val="single" w:color="auto" w:sz="12" w:space="0"/>
              <w:right w:val="single" w:color="auto" w:sz="4" w:space="0"/>
            </w:tcBorders>
            <w:vAlign w:val="center"/>
          </w:tcPr>
          <w:p w14:paraId="59B61F0E">
            <w:pPr>
              <w:tabs>
                <w:tab w:val="left" w:pos="1300"/>
              </w:tabs>
              <w:spacing w:line="440" w:lineRule="exact"/>
              <w:jc w:val="center"/>
              <w:rPr>
                <w:rFonts w:hint="eastAsia" w:ascii="宋体" w:hAnsi="宋体" w:cs="宋体"/>
                <w:color w:val="auto"/>
                <w:szCs w:val="21"/>
              </w:rPr>
            </w:pPr>
            <w:r>
              <w:rPr>
                <w:rFonts w:hint="eastAsia" w:ascii="宋体" w:hAnsi="宋体" w:cs="宋体"/>
                <w:color w:val="auto"/>
                <w:szCs w:val="21"/>
              </w:rPr>
              <w:t>1人</w:t>
            </w:r>
          </w:p>
        </w:tc>
        <w:tc>
          <w:tcPr>
            <w:tcW w:w="2882" w:type="pct"/>
            <w:tcBorders>
              <w:left w:val="single" w:color="auto" w:sz="4" w:space="0"/>
              <w:bottom w:val="single" w:color="auto" w:sz="12" w:space="0"/>
            </w:tcBorders>
            <w:vAlign w:val="center"/>
          </w:tcPr>
          <w:p w14:paraId="3CF1FFDA">
            <w:pPr>
              <w:tabs>
                <w:tab w:val="left" w:pos="1300"/>
              </w:tabs>
              <w:spacing w:line="440" w:lineRule="exact"/>
              <w:jc w:val="left"/>
              <w:rPr>
                <w:rFonts w:hint="eastAsia" w:ascii="宋体" w:hAnsi="宋体" w:cs="宋体"/>
                <w:color w:val="auto"/>
                <w:szCs w:val="21"/>
              </w:rPr>
            </w:pPr>
            <w:r>
              <w:rPr>
                <w:rFonts w:hint="eastAsia" w:ascii="宋体" w:hAnsi="宋体" w:cs="宋体"/>
                <w:color w:val="auto"/>
                <w:szCs w:val="21"/>
              </w:rPr>
              <w:t xml:space="preserve">公路工程相关专业高级工程师及以上职称，并持有交通运输主管部门颁发的有效B类安全生产考核合格证，且安全生产考核合格证的登记单位名称必须与投标人名称一致； </w:t>
            </w:r>
          </w:p>
        </w:tc>
        <w:tc>
          <w:tcPr>
            <w:tcW w:w="1032" w:type="pct"/>
            <w:vMerge w:val="continue"/>
            <w:tcBorders>
              <w:left w:val="single" w:color="auto" w:sz="4" w:space="0"/>
              <w:bottom w:val="single" w:color="auto" w:sz="12" w:space="0"/>
            </w:tcBorders>
            <w:vAlign w:val="center"/>
          </w:tcPr>
          <w:p w14:paraId="37FEDEF8">
            <w:pPr>
              <w:tabs>
                <w:tab w:val="left" w:pos="1300"/>
              </w:tabs>
              <w:adjustRightInd w:val="0"/>
              <w:snapToGrid w:val="0"/>
              <w:spacing w:line="440" w:lineRule="exact"/>
              <w:rPr>
                <w:rFonts w:hint="eastAsia" w:ascii="宋体" w:hAnsi="宋体" w:cs="宋体"/>
                <w:color w:val="auto"/>
                <w:szCs w:val="21"/>
              </w:rPr>
            </w:pPr>
          </w:p>
        </w:tc>
      </w:tr>
    </w:tbl>
    <w:p w14:paraId="22B2362E">
      <w:pPr>
        <w:spacing w:line="440" w:lineRule="exact"/>
        <w:rPr>
          <w:rFonts w:hint="eastAsia" w:ascii="宋体" w:hAnsi="宋体" w:cs="宋体"/>
          <w:color w:val="auto"/>
          <w:szCs w:val="21"/>
        </w:rPr>
      </w:pPr>
      <w:r>
        <w:rPr>
          <w:rFonts w:hint="eastAsia" w:ascii="宋体" w:hAnsi="宋体" w:cs="宋体"/>
          <w:color w:val="auto"/>
          <w:szCs w:val="21"/>
        </w:rPr>
        <w:t>注：</w:t>
      </w:r>
    </w:p>
    <w:p w14:paraId="7BAAB05D">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1.公路工程相关专业：公路工程、桥梁工程、公路与桥梁工程、交通土建、隧道（地下结构） 工程、交通工程等；</w:t>
      </w:r>
    </w:p>
    <w:p w14:paraId="0468AD7E">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应提供拟委任项目经理的建造师注册证书、安全生产考核合格证书和拟委任项目总工的安全生产考核合格证书在政府相关部门网站上公开信息的网页截图复印件（建造师查询网站：中国建造师网（http://www.coc.gov.c n）；安全生产考核合格证查询网站：建设行业主管部门查询网站或交通运输部公路水运工程企业负责人和安全生产管理人员信息公共平台查询网站（http://219.143.235.78:8080/khglui/）），如网站查询不到或与查询到的信息不符，则不予通过资格审查；</w:t>
      </w:r>
    </w:p>
    <w:p w14:paraId="489DAEC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3.提供2024年</w:t>
      </w:r>
      <w:r>
        <w:rPr>
          <w:rFonts w:hint="eastAsia" w:ascii="宋体" w:hAnsi="宋体" w:cs="宋体"/>
          <w:color w:val="auto"/>
          <w:szCs w:val="21"/>
          <w:lang w:val="en-US" w:eastAsia="zh-CN"/>
        </w:rPr>
        <w:t>11</w:t>
      </w:r>
      <w:r>
        <w:rPr>
          <w:rFonts w:hint="eastAsia" w:ascii="宋体" w:hAnsi="宋体" w:cs="宋体"/>
          <w:color w:val="auto"/>
          <w:szCs w:val="21"/>
        </w:rPr>
        <w:t>月至投标截止日，其中任意三个月本单位为其缴纳基本养老保险的有效证明（投标企业必须提供投标人所属社保机构出具的拟委任的项目经理和项目总工的基本养老保险缴费证明）；</w:t>
      </w:r>
    </w:p>
    <w:p w14:paraId="313D2517">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4.如项目经理或项目总工目前仍在其他项目上任职，则投标人应提供上述人员能够从任职项目上撤离的承诺；</w:t>
      </w:r>
    </w:p>
    <w:p w14:paraId="64F6C1DB">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5.投标人如不满足上述资格审查条件，将被认为审查不合格。</w:t>
      </w:r>
      <w:bookmarkEnd w:id="23"/>
    </w:p>
    <w:p w14:paraId="2E1C782B">
      <w:pPr>
        <w:pStyle w:val="2"/>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以联合体形式投标的，联合体各成员提供均可。</w:t>
      </w:r>
    </w:p>
    <w:p w14:paraId="683FC835">
      <w:pPr>
        <w:rPr>
          <w:rFonts w:hint="eastAsia" w:ascii="宋体" w:hAnsi="宋体" w:cs="宋体"/>
          <w:color w:val="auto"/>
          <w:szCs w:val="21"/>
        </w:rPr>
      </w:pPr>
      <w:r>
        <w:rPr>
          <w:rFonts w:hint="eastAsia" w:ascii="宋体" w:hAnsi="宋体" w:cs="宋体"/>
          <w:color w:val="auto"/>
          <w:szCs w:val="21"/>
        </w:rPr>
        <w:br w:type="page"/>
      </w:r>
    </w:p>
    <w:p w14:paraId="5289F2EB">
      <w:pPr>
        <w:pStyle w:val="5"/>
        <w:spacing w:line="360" w:lineRule="auto"/>
        <w:rPr>
          <w:b/>
          <w:bCs/>
          <w:color w:val="auto"/>
          <w:sz w:val="44"/>
          <w:szCs w:val="44"/>
        </w:rPr>
      </w:pPr>
      <w:r>
        <w:rPr>
          <w:rFonts w:hint="eastAsia"/>
          <w:b/>
          <w:bCs/>
          <w:color w:val="auto"/>
          <w:sz w:val="44"/>
          <w:szCs w:val="44"/>
        </w:rPr>
        <w:t>评标办法（技术评分最低标价法）</w:t>
      </w:r>
    </w:p>
    <w:p w14:paraId="2F5BC0C8">
      <w:pPr>
        <w:spacing w:line="440" w:lineRule="exact"/>
        <w:rPr>
          <w:rFonts w:hint="eastAsia" w:ascii="宋体" w:hAnsi="宋体" w:cs="宋体"/>
          <w:b/>
          <w:bCs/>
          <w:color w:val="auto"/>
          <w:szCs w:val="21"/>
        </w:rPr>
      </w:pPr>
      <w:r>
        <w:rPr>
          <w:rFonts w:hint="eastAsia" w:ascii="宋体" w:hAnsi="宋体" w:cs="宋体"/>
          <w:b/>
          <w:bCs/>
          <w:color w:val="auto"/>
          <w:szCs w:val="21"/>
        </w:rPr>
        <w:t>评标办法前附表</w:t>
      </w:r>
    </w:p>
    <w:tbl>
      <w:tblPr>
        <w:tblStyle w:val="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013"/>
        <w:gridCol w:w="1253"/>
        <w:gridCol w:w="1701"/>
        <w:gridCol w:w="5808"/>
      </w:tblGrid>
      <w:tr w14:paraId="5E89C7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8" w:hRule="atLeast"/>
          <w:tblHeader/>
        </w:trPr>
        <w:tc>
          <w:tcPr>
            <w:tcW w:w="1159" w:type="pct"/>
            <w:gridSpan w:val="2"/>
            <w:tcBorders>
              <w:top w:val="single" w:color="000000" w:sz="12" w:space="0"/>
            </w:tcBorders>
            <w:vAlign w:val="center"/>
          </w:tcPr>
          <w:p w14:paraId="7D4CBFD9">
            <w:pPr>
              <w:pStyle w:val="11"/>
              <w:spacing w:line="440" w:lineRule="exact"/>
              <w:ind w:left="796" w:right="788"/>
              <w:rPr>
                <w:rFonts w:hint="eastAsia"/>
                <w:b/>
                <w:color w:val="auto"/>
                <w:sz w:val="21"/>
                <w:szCs w:val="21"/>
                <w:lang w:eastAsia="en-US"/>
              </w:rPr>
            </w:pPr>
            <w:r>
              <w:rPr>
                <w:rFonts w:hint="eastAsia"/>
                <w:b/>
                <w:color w:val="auto"/>
                <w:sz w:val="21"/>
                <w:szCs w:val="21"/>
                <w:lang w:eastAsia="en-US"/>
              </w:rPr>
              <w:t>条款号</w:t>
            </w:r>
          </w:p>
        </w:tc>
        <w:tc>
          <w:tcPr>
            <w:tcW w:w="3841" w:type="pct"/>
            <w:gridSpan w:val="2"/>
            <w:tcBorders>
              <w:top w:val="single" w:color="000000" w:sz="12" w:space="0"/>
            </w:tcBorders>
            <w:vAlign w:val="center"/>
          </w:tcPr>
          <w:p w14:paraId="4AF52B09">
            <w:pPr>
              <w:pStyle w:val="11"/>
              <w:spacing w:line="440" w:lineRule="exact"/>
              <w:ind w:left="2335" w:right="2340"/>
              <w:rPr>
                <w:rFonts w:hint="eastAsia"/>
                <w:b/>
                <w:color w:val="auto"/>
                <w:sz w:val="21"/>
                <w:szCs w:val="21"/>
                <w:lang w:eastAsia="en-US"/>
              </w:rPr>
            </w:pPr>
            <w:r>
              <w:rPr>
                <w:rFonts w:hint="eastAsia"/>
                <w:b/>
                <w:color w:val="auto"/>
                <w:sz w:val="21"/>
                <w:szCs w:val="21"/>
                <w:lang w:eastAsia="en-US"/>
              </w:rPr>
              <w:t>评审因素与评审标准</w:t>
            </w:r>
          </w:p>
        </w:tc>
      </w:tr>
      <w:tr w14:paraId="3DE647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518" w:type="pct"/>
            <w:vAlign w:val="center"/>
          </w:tcPr>
          <w:p w14:paraId="4E5F7F91">
            <w:pPr>
              <w:pStyle w:val="11"/>
              <w:spacing w:line="440" w:lineRule="exact"/>
              <w:rPr>
                <w:rFonts w:hint="eastAsia"/>
                <w:color w:val="auto"/>
                <w:sz w:val="21"/>
                <w:szCs w:val="21"/>
                <w:lang w:eastAsia="en-US"/>
              </w:rPr>
            </w:pPr>
            <w:r>
              <w:rPr>
                <w:rFonts w:hint="eastAsia"/>
                <w:color w:val="auto"/>
                <w:sz w:val="21"/>
                <w:szCs w:val="21"/>
                <w:lang w:eastAsia="en-US"/>
              </w:rPr>
              <w:t>1</w:t>
            </w:r>
          </w:p>
        </w:tc>
        <w:tc>
          <w:tcPr>
            <w:tcW w:w="641" w:type="pct"/>
            <w:vAlign w:val="center"/>
          </w:tcPr>
          <w:p w14:paraId="51D70608">
            <w:pPr>
              <w:pStyle w:val="11"/>
              <w:spacing w:line="440" w:lineRule="exact"/>
              <w:rPr>
                <w:rFonts w:hint="eastAsia"/>
                <w:color w:val="auto"/>
                <w:sz w:val="21"/>
                <w:szCs w:val="21"/>
                <w:lang w:eastAsia="en-US"/>
              </w:rPr>
            </w:pPr>
            <w:r>
              <w:rPr>
                <w:rFonts w:hint="eastAsia"/>
                <w:color w:val="auto"/>
                <w:sz w:val="21"/>
                <w:szCs w:val="21"/>
                <w:lang w:eastAsia="en-US"/>
              </w:rPr>
              <w:t>评标方法</w:t>
            </w:r>
          </w:p>
        </w:tc>
        <w:tc>
          <w:tcPr>
            <w:tcW w:w="3841" w:type="pct"/>
            <w:gridSpan w:val="2"/>
            <w:vAlign w:val="center"/>
          </w:tcPr>
          <w:p w14:paraId="7308E573">
            <w:pPr>
              <w:wordWrap w:val="0"/>
              <w:topLinePunct/>
              <w:spacing w:line="440" w:lineRule="exact"/>
              <w:ind w:left="105" w:leftChars="50" w:right="105" w:rightChars="50"/>
              <w:rPr>
                <w:rFonts w:hint="eastAsia" w:ascii="宋体" w:hAnsi="宋体" w:cs="宋体"/>
                <w:b/>
                <w:bCs/>
                <w:color w:val="auto"/>
                <w:szCs w:val="21"/>
              </w:rPr>
            </w:pPr>
            <w:r>
              <w:rPr>
                <w:rFonts w:hint="eastAsia" w:ascii="宋体" w:hAnsi="宋体" w:cs="宋体"/>
                <w:b/>
                <w:bCs/>
                <w:color w:val="auto"/>
                <w:szCs w:val="21"/>
              </w:rPr>
              <w:t>若出现第二信封投标报价相等时，评标委员会依次按照以下优先顺序推荐中标候选人：</w:t>
            </w:r>
          </w:p>
          <w:p w14:paraId="24EC4275">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（1）202</w:t>
            </w:r>
            <w:r>
              <w:rPr>
                <w:rFonts w:hint="eastAsia" w:ascii="宋体" w:hAnsi="宋体" w:cs="宋体"/>
                <w:color w:val="auto"/>
                <w:szCs w:val="21"/>
                <w:lang w:val="en-US" w:eastAsia="zh-CN"/>
              </w:rPr>
              <w:t>3</w:t>
            </w:r>
            <w:r>
              <w:rPr>
                <w:rFonts w:hint="eastAsia" w:ascii="宋体" w:hAnsi="宋体" w:cs="宋体"/>
                <w:color w:val="auto"/>
                <w:szCs w:val="21"/>
              </w:rPr>
              <w:t>年度被黑龙江省交通运输厅或2023年度被交通运输部评为较高信用等级的投标人优先（如果省级和部级评价等级不一致，以最高的信用评价等级认定）；202</w:t>
            </w:r>
            <w:r>
              <w:rPr>
                <w:rFonts w:hint="eastAsia" w:ascii="宋体" w:hAnsi="宋体" w:cs="宋体"/>
                <w:color w:val="auto"/>
                <w:szCs w:val="21"/>
                <w:lang w:val="en-US" w:eastAsia="zh-CN"/>
              </w:rPr>
              <w:t>3</w:t>
            </w:r>
            <w:r>
              <w:rPr>
                <w:rFonts w:hint="eastAsia" w:ascii="宋体" w:hAnsi="宋体" w:cs="宋体"/>
                <w:color w:val="auto"/>
                <w:szCs w:val="21"/>
              </w:rPr>
              <w:t>年度在黑龙江省交通运输厅或2023年度在交通运输部无施工企业信用评价结果的，采用202</w:t>
            </w:r>
            <w:r>
              <w:rPr>
                <w:rFonts w:hint="eastAsia" w:ascii="宋体" w:hAnsi="宋体" w:cs="宋体"/>
                <w:color w:val="auto"/>
                <w:szCs w:val="21"/>
                <w:lang w:val="en-US" w:eastAsia="zh-CN"/>
              </w:rPr>
              <w:t>2</w:t>
            </w:r>
            <w:r>
              <w:rPr>
                <w:rFonts w:hint="eastAsia" w:ascii="宋体" w:hAnsi="宋体" w:cs="宋体"/>
                <w:color w:val="auto"/>
                <w:szCs w:val="21"/>
              </w:rPr>
              <w:t>年度黑龙江省交通运输厅或2022年度交通运输部施工企业信用评价结果。</w:t>
            </w:r>
          </w:p>
          <w:p w14:paraId="1A55EE74">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（2）商务和技术得分较高的投标人优先；</w:t>
            </w:r>
          </w:p>
          <w:p w14:paraId="722A0E5E">
            <w:pPr>
              <w:wordWrap w:val="0"/>
              <w:topLinePunct/>
              <w:spacing w:line="440" w:lineRule="exact"/>
              <w:ind w:left="105" w:leftChars="50" w:right="105" w:rightChars="50"/>
              <w:rPr>
                <w:color w:val="auto"/>
              </w:rPr>
            </w:pPr>
            <w:r>
              <w:rPr>
                <w:rFonts w:hint="eastAsia" w:ascii="宋体" w:hAnsi="宋体" w:cs="宋体"/>
                <w:color w:val="auto"/>
                <w:szCs w:val="21"/>
              </w:rPr>
              <w:t>（3）评分相同时，2023年营业额高的优先。</w:t>
            </w:r>
          </w:p>
        </w:tc>
      </w:tr>
      <w:tr w14:paraId="1878CD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518" w:type="pct"/>
            <w:vAlign w:val="center"/>
          </w:tcPr>
          <w:p w14:paraId="4B3305FD">
            <w:pPr>
              <w:pStyle w:val="11"/>
              <w:spacing w:line="440" w:lineRule="exact"/>
              <w:rPr>
                <w:rFonts w:hint="eastAsia"/>
                <w:color w:val="auto"/>
                <w:sz w:val="21"/>
                <w:szCs w:val="21"/>
                <w:lang w:eastAsia="en-US"/>
              </w:rPr>
            </w:pPr>
            <w:r>
              <w:rPr>
                <w:rFonts w:hint="eastAsia"/>
                <w:color w:val="auto"/>
                <w:sz w:val="21"/>
                <w:szCs w:val="21"/>
                <w:lang w:eastAsia="en-US"/>
              </w:rPr>
              <w:t>2.1.1</w:t>
            </w:r>
          </w:p>
          <w:p w14:paraId="1B9D656A">
            <w:pPr>
              <w:pStyle w:val="11"/>
              <w:spacing w:line="440" w:lineRule="exact"/>
              <w:rPr>
                <w:rFonts w:hint="eastAsia"/>
                <w:color w:val="auto"/>
                <w:sz w:val="21"/>
                <w:szCs w:val="21"/>
                <w:lang w:eastAsia="en-US"/>
              </w:rPr>
            </w:pPr>
            <w:r>
              <w:rPr>
                <w:rFonts w:hint="eastAsia"/>
                <w:color w:val="auto"/>
                <w:sz w:val="21"/>
                <w:szCs w:val="21"/>
                <w:lang w:eastAsia="en-US"/>
              </w:rPr>
              <w:t>2.1.3</w:t>
            </w:r>
          </w:p>
        </w:tc>
        <w:tc>
          <w:tcPr>
            <w:tcW w:w="641" w:type="pct"/>
            <w:vAlign w:val="center"/>
          </w:tcPr>
          <w:p w14:paraId="459CC57B">
            <w:pPr>
              <w:pStyle w:val="11"/>
              <w:spacing w:line="440" w:lineRule="exact"/>
              <w:ind w:right="127"/>
              <w:rPr>
                <w:rFonts w:hint="eastAsia"/>
                <w:color w:val="auto"/>
                <w:sz w:val="21"/>
                <w:szCs w:val="21"/>
              </w:rPr>
            </w:pPr>
            <w:r>
              <w:rPr>
                <w:rFonts w:hint="eastAsia"/>
                <w:color w:val="auto"/>
                <w:sz w:val="21"/>
                <w:szCs w:val="21"/>
              </w:rPr>
              <w:t>形式评审</w:t>
            </w:r>
          </w:p>
          <w:p w14:paraId="276D004D">
            <w:pPr>
              <w:pStyle w:val="11"/>
              <w:spacing w:line="440" w:lineRule="exact"/>
              <w:ind w:right="127"/>
              <w:rPr>
                <w:rFonts w:hint="eastAsia"/>
                <w:color w:val="auto"/>
                <w:sz w:val="21"/>
                <w:szCs w:val="21"/>
              </w:rPr>
            </w:pPr>
            <w:r>
              <w:rPr>
                <w:rFonts w:hint="eastAsia"/>
                <w:color w:val="auto"/>
                <w:sz w:val="21"/>
                <w:szCs w:val="21"/>
              </w:rPr>
              <w:t>与响应性</w:t>
            </w:r>
          </w:p>
          <w:p w14:paraId="74188B38">
            <w:pPr>
              <w:pStyle w:val="11"/>
              <w:spacing w:line="440" w:lineRule="exact"/>
              <w:ind w:right="127"/>
              <w:rPr>
                <w:rFonts w:hint="eastAsia"/>
                <w:color w:val="auto"/>
                <w:sz w:val="21"/>
                <w:szCs w:val="21"/>
              </w:rPr>
            </w:pPr>
            <w:r>
              <w:rPr>
                <w:rFonts w:hint="eastAsia"/>
                <w:color w:val="auto"/>
                <w:sz w:val="21"/>
                <w:szCs w:val="21"/>
              </w:rPr>
              <w:t>评审标准</w:t>
            </w:r>
          </w:p>
        </w:tc>
        <w:tc>
          <w:tcPr>
            <w:tcW w:w="3841" w:type="pct"/>
            <w:gridSpan w:val="2"/>
          </w:tcPr>
          <w:p w14:paraId="408F048A">
            <w:pPr>
              <w:wordWrap w:val="0"/>
              <w:topLinePunct/>
              <w:spacing w:line="440" w:lineRule="exact"/>
              <w:ind w:left="105" w:leftChars="50" w:right="105" w:rightChars="50"/>
              <w:rPr>
                <w:rFonts w:hint="eastAsia" w:ascii="宋体" w:hAnsi="宋体" w:cs="宋体"/>
                <w:b/>
                <w:bCs/>
                <w:color w:val="auto"/>
                <w:szCs w:val="21"/>
              </w:rPr>
            </w:pPr>
            <w:r>
              <w:rPr>
                <w:rFonts w:hint="eastAsia" w:ascii="宋体" w:hAnsi="宋体" w:cs="宋体"/>
                <w:b/>
                <w:bCs/>
                <w:color w:val="auto"/>
                <w:szCs w:val="21"/>
              </w:rPr>
              <w:t>第一个信封（商务及技术文件）评审标准：</w:t>
            </w:r>
          </w:p>
          <w:p w14:paraId="050F9FEB">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(1)投标文件按照招标文件规定的格式、内容填写，字迹清晰可辨：</w:t>
            </w:r>
          </w:p>
          <w:p w14:paraId="028A68B3">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a.投标函按招标文件规定填报了项目名称、标段号、补遗书编号（如有）、工期、工程质量及安全目标；</w:t>
            </w:r>
          </w:p>
          <w:p w14:paraId="03FBA3B7">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b.投标函附录的所有数据均符合招标文件规定；</w:t>
            </w:r>
          </w:p>
          <w:p w14:paraId="7A0F022B">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c.投标文件组成齐全完整，内容均按规定填写。</w:t>
            </w:r>
          </w:p>
          <w:p w14:paraId="01BBB64A">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(2)投标文件上法定代表人或其委托代理人的签字、投标人的单位章盖章齐全，符合招标文件规定。</w:t>
            </w:r>
          </w:p>
          <w:p w14:paraId="6582599E">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)投标人法定代表人授权委托代理人签署投标文件的，须提交授权委托书，且授权人和被授权人均在授权委托书上签名，未使用印章、签名章或其他电子制版签名代替。</w:t>
            </w:r>
          </w:p>
          <w:p w14:paraId="162B0EF4">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)投标人法定代表人亲自签署投标文件的，提供了法定代表人身份证明，且法定代表人在法定代表人身份证明上签名，未使用印章、签名章或其他电子制版签名代替。</w:t>
            </w:r>
          </w:p>
          <w:p w14:paraId="7504CD77">
            <w:pPr>
              <w:wordWrap w:val="0"/>
              <w:topLinePunct/>
              <w:spacing w:line="440" w:lineRule="exact"/>
              <w:ind w:left="105" w:leftChars="50" w:right="105" w:rightChars="50"/>
              <w:rPr>
                <w:rFonts w:hint="eastAsia" w:ascii="宋体" w:hAnsi="宋体" w:eastAsia="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eastAsia="宋体" w:cs="宋体"/>
                <w:sz w:val="21"/>
                <w:szCs w:val="21"/>
              </w:rPr>
              <w:t>投标人以联合体形</w:t>
            </w:r>
            <w:r>
              <w:rPr>
                <w:rFonts w:hint="eastAsia" w:ascii="宋体" w:hAnsi="宋体" w:eastAsia="宋体" w:cs="宋体"/>
                <w:color w:val="auto"/>
                <w:szCs w:val="21"/>
              </w:rPr>
              <w:t>式投标时，联合体满足招标文件的要求：</w:t>
            </w:r>
          </w:p>
          <w:p w14:paraId="47596B85">
            <w:pPr>
              <w:wordWrap w:val="0"/>
              <w:topLinePunct/>
              <w:spacing w:line="440" w:lineRule="exact"/>
              <w:ind w:left="105" w:leftChars="50" w:right="105" w:rightChars="5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同一专业工程由多个联合体成员共同承担时，按照资质等级较低的单位确定资质；</w:t>
            </w:r>
          </w:p>
          <w:p w14:paraId="5E4919E5">
            <w:pPr>
              <w:wordWrap w:val="0"/>
              <w:topLinePunct/>
              <w:spacing w:line="440" w:lineRule="exact"/>
              <w:ind w:left="105" w:leftChars="50" w:right="105" w:rightChars="50"/>
              <w:rPr>
                <w:rFonts w:hint="eastAsia" w:ascii="宋体" w:hAnsi="宋体" w:eastAsia="宋体" w:cs="宋体"/>
                <w:color w:val="auto"/>
                <w:szCs w:val="21"/>
              </w:rPr>
            </w:pPr>
            <w:r>
              <w:rPr>
                <w:rFonts w:hint="eastAsia" w:ascii="宋体" w:hAnsi="宋体" w:eastAsia="宋体" w:cs="宋体"/>
                <w:color w:val="auto"/>
                <w:szCs w:val="21"/>
                <w:lang w:val="en-US" w:eastAsia="zh-CN"/>
              </w:rPr>
              <w:t>b.联合体各方以自己名义单独投标或参加其他联合体投标的，相关投标均无效；</w:t>
            </w:r>
          </w:p>
          <w:p w14:paraId="51DC3C54">
            <w:pPr>
              <w:wordWrap w:val="0"/>
              <w:topLinePunct/>
              <w:spacing w:line="440" w:lineRule="exact"/>
              <w:ind w:left="105" w:leftChars="50" w:right="105" w:rightChars="50"/>
              <w:rPr>
                <w:rFonts w:hint="eastAsia" w:ascii="宋体" w:hAnsi="宋体" w:eastAsia="宋体" w:cs="宋体"/>
                <w:color w:val="auto"/>
                <w:szCs w:val="21"/>
              </w:rPr>
            </w:pPr>
            <w:r>
              <w:rPr>
                <w:rFonts w:hint="eastAsia" w:ascii="宋体" w:hAnsi="宋体" w:eastAsia="宋体" w:cs="宋体"/>
                <w:color w:val="auto"/>
                <w:szCs w:val="21"/>
                <w:lang w:val="en-US" w:eastAsia="zh-CN"/>
              </w:rPr>
              <w:t>c.以联合体形式投标的，在联合体协议中应明确联合体各成员的职责分工；</w:t>
            </w:r>
          </w:p>
          <w:p w14:paraId="4F33E3CE">
            <w:pPr>
              <w:wordWrap w:val="0"/>
              <w:topLinePunct/>
              <w:spacing w:line="440" w:lineRule="exact"/>
              <w:ind w:left="105" w:leftChars="50" w:right="105" w:rightChars="50"/>
              <w:rPr>
                <w:rFonts w:hint="eastAsia" w:ascii="宋体" w:hAnsi="宋体" w:eastAsia="宋体" w:cs="宋体"/>
                <w:color w:val="auto"/>
                <w:szCs w:val="21"/>
              </w:rPr>
            </w:pPr>
            <w:r>
              <w:rPr>
                <w:rFonts w:hint="eastAsia" w:ascii="宋体" w:hAnsi="宋体" w:eastAsia="宋体" w:cs="宋体"/>
                <w:color w:val="auto"/>
                <w:szCs w:val="21"/>
                <w:lang w:val="en-US" w:eastAsia="zh-CN"/>
              </w:rPr>
              <w:t>d.以联合体形式投标的，联合体成员（包含联合体牵头人）不得超过两家，联合体牵头人必须具有施工资质，且承担本项目施工任务；</w:t>
            </w:r>
          </w:p>
          <w:p w14:paraId="5B92F276">
            <w:pPr>
              <w:wordWrap w:val="0"/>
              <w:topLinePunct/>
              <w:spacing w:line="440" w:lineRule="exact"/>
              <w:ind w:left="105" w:leftChars="50" w:right="105" w:rightChars="50"/>
              <w:rPr>
                <w:rFonts w:hint="eastAsia" w:ascii="宋体" w:hAnsi="宋体" w:eastAsia="宋体" w:cs="宋体"/>
                <w:color w:val="auto"/>
                <w:szCs w:val="21"/>
              </w:rPr>
            </w:pPr>
            <w:r>
              <w:rPr>
                <w:rFonts w:hint="eastAsia" w:ascii="宋体" w:hAnsi="宋体" w:eastAsia="宋体" w:cs="宋体"/>
                <w:color w:val="auto"/>
                <w:szCs w:val="21"/>
                <w:lang w:val="en-US" w:eastAsia="zh-CN"/>
              </w:rPr>
              <w:t>e.</w:t>
            </w:r>
            <w:r>
              <w:rPr>
                <w:rFonts w:hint="eastAsia" w:ascii="宋体" w:hAnsi="宋体" w:eastAsia="宋体" w:cs="宋体"/>
                <w:color w:val="auto"/>
                <w:szCs w:val="21"/>
              </w:rPr>
              <w:t>本项目在“黑龙江省公共资源交易网”线上获取文件、缴纳投标保证金、递交电子投标文件等投标相关操作均由联合体牵头单位完成。</w:t>
            </w:r>
          </w:p>
          <w:p w14:paraId="67E25C3E">
            <w:pPr>
              <w:wordWrap w:val="0"/>
              <w:topLinePunct/>
              <w:spacing w:line="440" w:lineRule="exact"/>
              <w:ind w:left="105" w:leftChars="50" w:right="105" w:rightChars="50"/>
              <w:rPr>
                <w:rFonts w:hint="eastAsia" w:ascii="宋体" w:hAnsi="宋体" w:eastAsia="宋体" w:cs="宋体"/>
                <w:color w:val="auto"/>
                <w:szCs w:val="21"/>
              </w:rPr>
            </w:pPr>
            <w:r>
              <w:rPr>
                <w:rFonts w:hint="eastAsia" w:ascii="宋体" w:hAnsi="宋体" w:eastAsia="宋体" w:cs="宋体"/>
                <w:color w:val="auto"/>
                <w:szCs w:val="21"/>
                <w:lang w:val="en-US" w:eastAsia="zh-CN"/>
              </w:rPr>
              <w:t>f.</w:t>
            </w:r>
            <w:r>
              <w:rPr>
                <w:rFonts w:hint="eastAsia" w:ascii="宋体" w:hAnsi="宋体" w:eastAsia="宋体" w:cs="宋体"/>
                <w:color w:val="auto"/>
                <w:szCs w:val="21"/>
              </w:rPr>
              <w:t>投标人按照招标文件提供的格式签订了联合体协议书，明确各方承担连带责任，并明确了联合体牵头人。</w:t>
            </w:r>
          </w:p>
          <w:p w14:paraId="7B4FD07F">
            <w:pPr>
              <w:wordWrap w:val="0"/>
              <w:topLinePunct/>
              <w:spacing w:line="440" w:lineRule="exact"/>
              <w:ind w:left="105" w:leftChars="50" w:right="105" w:rightChars="50"/>
              <w:rPr>
                <w:rFonts w:hint="eastAsia" w:ascii="宋体" w:hAnsi="宋体" w:cs="宋体"/>
                <w:color w:val="auto"/>
                <w:szCs w:val="21"/>
                <w:shd w:val="clear" w:color="auto" w:fill="FFFFFF"/>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)投标人如有分包计划，符合招标文件第二章“</w:t>
            </w:r>
            <w:r>
              <w:rPr>
                <w:rFonts w:hint="eastAsia" w:ascii="宋体" w:hAnsi="宋体" w:cs="宋体"/>
                <w:color w:val="auto"/>
                <w:szCs w:val="21"/>
                <w:shd w:val="clear" w:color="auto" w:fill="FFFFFF"/>
              </w:rPr>
              <w:t>投标人须知</w:t>
            </w:r>
            <w:r>
              <w:rPr>
                <w:rFonts w:ascii="宋体" w:hAnsi="宋体" w:cs="宋体"/>
                <w:color w:val="auto"/>
                <w:szCs w:val="21"/>
                <w:shd w:val="clear" w:color="auto" w:fill="FFFFFF"/>
              </w:rPr>
              <w:t>”</w:t>
            </w:r>
            <w:r>
              <w:rPr>
                <w:rFonts w:hint="eastAsia" w:ascii="宋体" w:hAnsi="宋体" w:cs="宋体"/>
                <w:color w:val="auto"/>
                <w:szCs w:val="21"/>
                <w:shd w:val="clear" w:color="auto" w:fill="FFFFFF"/>
              </w:rPr>
              <w:t>第1.11.1款规定，且按招标文件第九章</w:t>
            </w:r>
            <w:r>
              <w:rPr>
                <w:rFonts w:ascii="宋体" w:hAnsi="宋体" w:cs="宋体"/>
                <w:color w:val="auto"/>
                <w:szCs w:val="21"/>
                <w:shd w:val="clear" w:color="auto" w:fill="FFFFFF"/>
              </w:rPr>
              <w:t>“</w:t>
            </w:r>
            <w:r>
              <w:rPr>
                <w:rFonts w:hint="eastAsia" w:ascii="宋体" w:hAnsi="宋体" w:cs="宋体"/>
                <w:color w:val="auto"/>
                <w:szCs w:val="21"/>
                <w:shd w:val="clear" w:color="auto" w:fill="FFFFFF"/>
              </w:rPr>
              <w:t>投标文件格式</w:t>
            </w:r>
            <w:r>
              <w:rPr>
                <w:rFonts w:ascii="宋体" w:hAnsi="宋体" w:cs="宋体"/>
                <w:color w:val="auto"/>
                <w:szCs w:val="21"/>
                <w:shd w:val="clear" w:color="auto" w:fill="FFFFFF"/>
              </w:rPr>
              <w:t>”</w:t>
            </w:r>
            <w:r>
              <w:rPr>
                <w:rFonts w:hint="eastAsia" w:ascii="宋体" w:hAnsi="宋体" w:cs="宋体"/>
                <w:color w:val="auto"/>
                <w:szCs w:val="21"/>
                <w:shd w:val="clear" w:color="auto" w:fill="FFFFFF"/>
              </w:rPr>
              <w:t>的要求填写了</w:t>
            </w:r>
            <w:r>
              <w:rPr>
                <w:rFonts w:ascii="宋体" w:hAnsi="宋体" w:cs="宋体"/>
                <w:color w:val="auto"/>
                <w:szCs w:val="21"/>
                <w:shd w:val="clear" w:color="auto" w:fill="FFFFFF"/>
              </w:rPr>
              <w:t>“</w:t>
            </w:r>
            <w:r>
              <w:rPr>
                <w:rFonts w:hint="eastAsia" w:ascii="宋体" w:hAnsi="宋体" w:cs="宋体"/>
                <w:color w:val="auto"/>
                <w:szCs w:val="21"/>
                <w:shd w:val="clear" w:color="auto" w:fill="FFFFFF"/>
              </w:rPr>
              <w:t>拟分包项目情况表</w:t>
            </w:r>
            <w:r>
              <w:rPr>
                <w:rFonts w:ascii="宋体" w:hAnsi="宋体" w:cs="宋体"/>
                <w:color w:val="auto"/>
                <w:szCs w:val="21"/>
                <w:shd w:val="clear" w:color="auto" w:fill="FFFFFF"/>
              </w:rPr>
              <w:t>”</w:t>
            </w:r>
            <w:r>
              <w:rPr>
                <w:rFonts w:hint="eastAsia" w:ascii="宋体" w:hAnsi="宋体" w:cs="宋体"/>
                <w:color w:val="auto"/>
                <w:szCs w:val="21"/>
                <w:shd w:val="clear" w:color="auto" w:fill="FFFFFF"/>
              </w:rPr>
              <w:t>。</w:t>
            </w:r>
          </w:p>
          <w:p w14:paraId="0209EB18">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)同一投标人未提交两个以上不同的投标文件。</w:t>
            </w:r>
          </w:p>
          <w:p w14:paraId="75A33CF1">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)投标文件中未出现有关投标报价的内容。</w:t>
            </w:r>
          </w:p>
          <w:p w14:paraId="285018DC">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)投标文件载明的招标项目完成期限未超过招标文件规定的时限。</w:t>
            </w:r>
          </w:p>
          <w:p w14:paraId="79C9218B">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)投标文件对招标文件的实质性要求和条件作出响应。</w:t>
            </w:r>
          </w:p>
          <w:p w14:paraId="3177670E">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)权利义务符合招标文件规定：</w:t>
            </w:r>
          </w:p>
          <w:p w14:paraId="400265BC">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a.投标人应接受招标文件规定的风险划分原则，未提出新的风险划分办法；</w:t>
            </w:r>
          </w:p>
          <w:p w14:paraId="0B40A248">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b.投标人未增加发包人责任范围，或减少投标人义务；</w:t>
            </w:r>
          </w:p>
          <w:p w14:paraId="68F71DBA">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c.投标人未提出不同的工程验收、计量、支付办法；</w:t>
            </w:r>
          </w:p>
          <w:p w14:paraId="23211B7C">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d.投标人对合同纠纷、事故处理办法未提出异议；</w:t>
            </w:r>
          </w:p>
          <w:p w14:paraId="75EAC8E8">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e.投标人在投标活动中无欺诈行为；</w:t>
            </w:r>
          </w:p>
          <w:p w14:paraId="58605E60">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）不存在违反法律、法规的其他情形。</w:t>
            </w:r>
          </w:p>
          <w:p w14:paraId="2BF6F1D4">
            <w:pPr>
              <w:wordWrap w:val="0"/>
              <w:topLinePunct/>
              <w:spacing w:line="440" w:lineRule="exact"/>
              <w:ind w:left="105" w:leftChars="50" w:right="105" w:rightChars="50"/>
              <w:rPr>
                <w:rFonts w:hint="eastAsia" w:ascii="宋体" w:hAnsi="宋体" w:cs="宋体"/>
                <w:b/>
                <w:bCs/>
                <w:color w:val="auto"/>
                <w:szCs w:val="21"/>
              </w:rPr>
            </w:pPr>
            <w:r>
              <w:rPr>
                <w:rFonts w:hint="eastAsia" w:ascii="宋体" w:hAnsi="宋体" w:cs="宋体"/>
                <w:b/>
                <w:bCs/>
                <w:color w:val="auto"/>
                <w:szCs w:val="21"/>
              </w:rPr>
              <w:t>第二个信封（报价文件）评审标准：</w:t>
            </w:r>
          </w:p>
          <w:p w14:paraId="5BC486B1">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(1)投标文件按照招标文件规定的格式、内容填写，字迹清晰可辨；</w:t>
            </w:r>
          </w:p>
          <w:p w14:paraId="3021F018">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a.投标函按招标文件规定填报了项目名称、标段号、补遗书编号（如有）、投标价（包括大写金额和小写金额）；</w:t>
            </w:r>
          </w:p>
          <w:p w14:paraId="0A6F43C1">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b.已标价的工程量清单说明文字与招标文件规定一致，未进行实质性修改和删减；</w:t>
            </w:r>
          </w:p>
          <w:p w14:paraId="1B84B96A">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c.投标文件组成齐全完整，内容均按规定填写。</w:t>
            </w:r>
          </w:p>
          <w:p w14:paraId="2A1965B7">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(2)投标文件上法定代表人或其委托代理人的签字、投标人的单位章盖章齐全，符合招标文件规定。</w:t>
            </w:r>
          </w:p>
          <w:p w14:paraId="349D7A90">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(3)投标报价中的报价未超过招标文件设定的最高投标限价。</w:t>
            </w:r>
          </w:p>
          <w:p w14:paraId="5CB9BD68">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(4)投标报价的大写金额能够确定具体数值。</w:t>
            </w:r>
          </w:p>
          <w:p w14:paraId="13DFB00A">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(5)同一投标人未提交两个以上不同的投标报价。</w:t>
            </w:r>
          </w:p>
          <w:p w14:paraId="202E945F">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(6)工程量清单中的投标报价和投标函大写金额报价一致。</w:t>
            </w:r>
          </w:p>
          <w:p w14:paraId="6388AB1E">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(7)不存在违反法律、法规的其他情形。</w:t>
            </w:r>
          </w:p>
        </w:tc>
      </w:tr>
      <w:tr w14:paraId="06CE70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518" w:type="pct"/>
            <w:vAlign w:val="center"/>
          </w:tcPr>
          <w:p w14:paraId="2586FE79">
            <w:pPr>
              <w:pStyle w:val="11"/>
              <w:spacing w:line="440" w:lineRule="exact"/>
              <w:ind w:left="282"/>
              <w:jc w:val="both"/>
              <w:rPr>
                <w:rFonts w:hint="eastAsia"/>
                <w:color w:val="auto"/>
                <w:sz w:val="21"/>
                <w:szCs w:val="21"/>
                <w:lang w:eastAsia="en-US"/>
              </w:rPr>
            </w:pPr>
            <w:r>
              <w:rPr>
                <w:rFonts w:hint="eastAsia"/>
                <w:color w:val="auto"/>
                <w:sz w:val="21"/>
                <w:szCs w:val="21"/>
                <w:lang w:eastAsia="en-US"/>
              </w:rPr>
              <w:t>2.1.2</w:t>
            </w:r>
          </w:p>
        </w:tc>
        <w:tc>
          <w:tcPr>
            <w:tcW w:w="641" w:type="pct"/>
            <w:vAlign w:val="center"/>
          </w:tcPr>
          <w:p w14:paraId="6866A1C1">
            <w:pPr>
              <w:pStyle w:val="11"/>
              <w:spacing w:line="440" w:lineRule="exact"/>
              <w:rPr>
                <w:rFonts w:hint="eastAsia"/>
                <w:color w:val="auto"/>
                <w:sz w:val="21"/>
                <w:szCs w:val="21"/>
                <w:lang w:eastAsia="en-US"/>
              </w:rPr>
            </w:pPr>
            <w:r>
              <w:rPr>
                <w:rFonts w:hint="eastAsia"/>
                <w:color w:val="auto"/>
                <w:sz w:val="21"/>
                <w:szCs w:val="21"/>
                <w:lang w:eastAsia="en-US"/>
              </w:rPr>
              <w:t>资格评审</w:t>
            </w:r>
          </w:p>
          <w:p w14:paraId="17894248">
            <w:pPr>
              <w:pStyle w:val="11"/>
              <w:spacing w:line="440" w:lineRule="exact"/>
              <w:rPr>
                <w:rFonts w:hint="eastAsia"/>
                <w:color w:val="auto"/>
                <w:sz w:val="21"/>
                <w:szCs w:val="21"/>
                <w:lang w:eastAsia="en-US"/>
              </w:rPr>
            </w:pPr>
            <w:r>
              <w:rPr>
                <w:rFonts w:hint="eastAsia"/>
                <w:color w:val="auto"/>
                <w:sz w:val="21"/>
                <w:szCs w:val="21"/>
                <w:lang w:eastAsia="en-US"/>
              </w:rPr>
              <w:t>标准</w:t>
            </w:r>
          </w:p>
        </w:tc>
        <w:tc>
          <w:tcPr>
            <w:tcW w:w="3841" w:type="pct"/>
            <w:gridSpan w:val="2"/>
          </w:tcPr>
          <w:p w14:paraId="27FF4442">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(1)投标人具备有效的营业执照、资质证书、安全生产许可证和基本账户开户许可证或经基本账户开户银行出具加盖银行公章的基本账户信息证明、投标人在国家企业信用信息公示系统中基础信息（体现股东及出资详细信息）的网页截图。</w:t>
            </w:r>
          </w:p>
          <w:p w14:paraId="0F6F1652">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(2)投标人的资质等级符合招标文件第二章“投标人须知”第1.4.1项规定。</w:t>
            </w:r>
          </w:p>
          <w:p w14:paraId="5597F475">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(3)投标人的财务状况应符合招标文件第二章“投标人须知”第1.4.1项规定。</w:t>
            </w:r>
          </w:p>
          <w:p w14:paraId="6C4FD27E">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(4)投标人的类似项目业绩符合招标文件第二章“投标人须知”第1.4.1项规定。</w:t>
            </w:r>
          </w:p>
          <w:p w14:paraId="7E4436DD">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(5)投标人的信誉符合招标文件第二章“投标人须知”第1.4.1项规定。</w:t>
            </w:r>
          </w:p>
          <w:p w14:paraId="41FB999F">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(6)投标人的项目经理和项目总工资格、在岗情况符合招标文件第二章“投标人须知”第1.4.1项规定。</w:t>
            </w:r>
          </w:p>
          <w:p w14:paraId="40D6A6DC">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(7)投标人不存在第二章“投标人须知”第1.4.3项或第1.4.4项规定的任何一种情形。</w:t>
            </w:r>
          </w:p>
          <w:p w14:paraId="35BA26BC">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(8)投标人符合第二章“投标人须知”第1.4.5项规定。</w:t>
            </w:r>
          </w:p>
          <w:p w14:paraId="47EDEE4E">
            <w:pPr>
              <w:wordWrap w:val="0"/>
              <w:topLinePunct/>
              <w:spacing w:line="440" w:lineRule="exact"/>
              <w:ind w:left="105" w:leftChars="50" w:right="105" w:rightChars="50"/>
              <w:rPr>
                <w:rFonts w:hint="eastAsia" w:ascii="宋体" w:hAnsi="宋体" w:cs="宋体"/>
                <w:color w:val="auto"/>
                <w:szCs w:val="21"/>
              </w:rPr>
            </w:pPr>
            <w:r>
              <w:rPr>
                <w:rFonts w:hint="eastAsia" w:ascii="宋体" w:hAnsi="宋体" w:cs="宋体"/>
                <w:color w:val="auto"/>
                <w:szCs w:val="21"/>
              </w:rPr>
              <w:t>(9)不存在违反法律、法规的其他情形。</w:t>
            </w:r>
          </w:p>
        </w:tc>
      </w:tr>
      <w:tr w14:paraId="427B88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567" w:hRule="atLeast"/>
        </w:trPr>
        <w:tc>
          <w:tcPr>
            <w:tcW w:w="1159" w:type="pct"/>
            <w:gridSpan w:val="2"/>
            <w:vAlign w:val="center"/>
          </w:tcPr>
          <w:p w14:paraId="04AAB817">
            <w:pPr>
              <w:pStyle w:val="11"/>
              <w:spacing w:line="440" w:lineRule="exact"/>
              <w:rPr>
                <w:rFonts w:hint="eastAsia"/>
                <w:b/>
                <w:color w:val="auto"/>
                <w:sz w:val="21"/>
                <w:szCs w:val="21"/>
                <w:lang w:eastAsia="en-US"/>
              </w:rPr>
            </w:pPr>
            <w:r>
              <w:rPr>
                <w:rFonts w:hint="eastAsia"/>
                <w:b/>
                <w:color w:val="auto"/>
                <w:sz w:val="21"/>
                <w:szCs w:val="21"/>
                <w:lang w:eastAsia="en-US"/>
              </w:rPr>
              <w:t>条款号</w:t>
            </w:r>
          </w:p>
        </w:tc>
        <w:tc>
          <w:tcPr>
            <w:tcW w:w="870" w:type="pct"/>
            <w:vAlign w:val="center"/>
          </w:tcPr>
          <w:p w14:paraId="493F0C1D">
            <w:pPr>
              <w:pStyle w:val="11"/>
              <w:spacing w:line="440" w:lineRule="exact"/>
              <w:rPr>
                <w:rFonts w:hint="eastAsia"/>
                <w:b/>
                <w:color w:val="auto"/>
                <w:sz w:val="21"/>
                <w:szCs w:val="21"/>
                <w:lang w:eastAsia="en-US"/>
              </w:rPr>
            </w:pPr>
            <w:r>
              <w:rPr>
                <w:rFonts w:hint="eastAsia"/>
                <w:b/>
                <w:color w:val="auto"/>
                <w:sz w:val="21"/>
                <w:szCs w:val="21"/>
                <w:lang w:eastAsia="en-US"/>
              </w:rPr>
              <w:t>条款内容</w:t>
            </w:r>
          </w:p>
        </w:tc>
        <w:tc>
          <w:tcPr>
            <w:tcW w:w="2971" w:type="pct"/>
            <w:vAlign w:val="center"/>
          </w:tcPr>
          <w:p w14:paraId="24DE87C1">
            <w:pPr>
              <w:pStyle w:val="11"/>
              <w:spacing w:line="440" w:lineRule="exact"/>
              <w:rPr>
                <w:rFonts w:hint="eastAsia"/>
                <w:b/>
                <w:color w:val="auto"/>
                <w:sz w:val="21"/>
                <w:szCs w:val="21"/>
                <w:lang w:eastAsia="en-US"/>
              </w:rPr>
            </w:pPr>
            <w:r>
              <w:rPr>
                <w:rFonts w:hint="eastAsia"/>
                <w:b/>
                <w:color w:val="auto"/>
                <w:sz w:val="21"/>
                <w:szCs w:val="21"/>
                <w:lang w:eastAsia="en-US"/>
              </w:rPr>
              <w:t>编列内容</w:t>
            </w:r>
          </w:p>
        </w:tc>
      </w:tr>
      <w:tr w14:paraId="16A86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90" w:hRule="atLeast"/>
        </w:trPr>
        <w:tc>
          <w:tcPr>
            <w:tcW w:w="1159" w:type="pct"/>
            <w:gridSpan w:val="2"/>
            <w:vAlign w:val="center"/>
          </w:tcPr>
          <w:p w14:paraId="087C11C2">
            <w:pPr>
              <w:pStyle w:val="11"/>
              <w:spacing w:line="440" w:lineRule="exact"/>
              <w:rPr>
                <w:rFonts w:hint="eastAsia"/>
                <w:color w:val="auto"/>
                <w:sz w:val="21"/>
                <w:szCs w:val="21"/>
                <w:lang w:eastAsia="en-US"/>
              </w:rPr>
            </w:pPr>
            <w:r>
              <w:rPr>
                <w:rFonts w:hint="eastAsia"/>
                <w:color w:val="auto"/>
                <w:sz w:val="21"/>
                <w:szCs w:val="21"/>
                <w:lang w:eastAsia="en-US"/>
              </w:rPr>
              <w:t>2.2.1</w:t>
            </w:r>
          </w:p>
        </w:tc>
        <w:tc>
          <w:tcPr>
            <w:tcW w:w="870" w:type="pct"/>
            <w:vAlign w:val="center"/>
          </w:tcPr>
          <w:p w14:paraId="2FD89C91">
            <w:pPr>
              <w:pStyle w:val="11"/>
              <w:spacing w:line="440" w:lineRule="exact"/>
              <w:rPr>
                <w:rFonts w:hint="eastAsia"/>
                <w:color w:val="auto"/>
                <w:sz w:val="21"/>
                <w:szCs w:val="21"/>
              </w:rPr>
            </w:pPr>
            <w:r>
              <w:rPr>
                <w:rFonts w:hint="eastAsia"/>
                <w:color w:val="auto"/>
                <w:sz w:val="21"/>
                <w:szCs w:val="21"/>
              </w:rPr>
              <w:t>第一个信封评分分值构成</w:t>
            </w:r>
          </w:p>
          <w:p w14:paraId="4F5869FC">
            <w:pPr>
              <w:pStyle w:val="11"/>
              <w:spacing w:line="440" w:lineRule="exact"/>
              <w:rPr>
                <w:rFonts w:hint="eastAsia"/>
                <w:color w:val="auto"/>
                <w:sz w:val="21"/>
                <w:szCs w:val="21"/>
              </w:rPr>
            </w:pPr>
            <w:r>
              <w:rPr>
                <w:rFonts w:hint="eastAsia"/>
                <w:color w:val="auto"/>
                <w:sz w:val="21"/>
                <w:szCs w:val="21"/>
              </w:rPr>
              <w:t>（总分100分）</w:t>
            </w:r>
          </w:p>
        </w:tc>
        <w:tc>
          <w:tcPr>
            <w:tcW w:w="2971" w:type="pct"/>
            <w:vAlign w:val="center"/>
          </w:tcPr>
          <w:p w14:paraId="7D70A34A">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施工组织设计：40分；</w:t>
            </w:r>
          </w:p>
          <w:p w14:paraId="56AEACEB">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主要人员：</w:t>
            </w:r>
            <w:r>
              <w:rPr>
                <w:rFonts w:hint="eastAsia"/>
                <w:color w:val="auto"/>
                <w:sz w:val="21"/>
                <w:szCs w:val="21"/>
                <w:lang w:val="en-US"/>
              </w:rPr>
              <w:t>35</w:t>
            </w:r>
            <w:r>
              <w:rPr>
                <w:rFonts w:hint="eastAsia"/>
                <w:color w:val="auto"/>
                <w:sz w:val="21"/>
                <w:szCs w:val="21"/>
              </w:rPr>
              <w:t>分；</w:t>
            </w:r>
          </w:p>
          <w:p w14:paraId="051B4B5E">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履约信誉：</w:t>
            </w:r>
            <w:r>
              <w:rPr>
                <w:rFonts w:hint="eastAsia"/>
                <w:color w:val="auto"/>
                <w:sz w:val="21"/>
                <w:szCs w:val="21"/>
                <w:lang w:val="en-US"/>
              </w:rPr>
              <w:t>25</w:t>
            </w:r>
            <w:r>
              <w:rPr>
                <w:rFonts w:hint="eastAsia"/>
                <w:color w:val="auto"/>
                <w:sz w:val="21"/>
                <w:szCs w:val="21"/>
              </w:rPr>
              <w:t>分；</w:t>
            </w:r>
          </w:p>
          <w:p w14:paraId="5FBCD48B">
            <w:pPr>
              <w:pStyle w:val="11"/>
              <w:wordWrap w:val="0"/>
              <w:topLinePunct/>
              <w:spacing w:line="440" w:lineRule="exact"/>
              <w:ind w:right="105" w:rightChars="50"/>
              <w:jc w:val="left"/>
              <w:rPr>
                <w:rFonts w:hint="eastAsia"/>
                <w:color w:val="auto"/>
                <w:sz w:val="21"/>
                <w:szCs w:val="21"/>
                <w:lang w:val="en-US"/>
              </w:rPr>
            </w:pPr>
            <w:r>
              <w:rPr>
                <w:rFonts w:hint="eastAsia"/>
                <w:color w:val="auto"/>
                <w:sz w:val="21"/>
                <w:szCs w:val="21"/>
              </w:rPr>
              <w:t>具体的评分标准见评标办法附件（第一个信封评分标准）</w:t>
            </w:r>
          </w:p>
        </w:tc>
      </w:tr>
      <w:tr w14:paraId="740F6F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05" w:hRule="atLeast"/>
        </w:trPr>
        <w:tc>
          <w:tcPr>
            <w:tcW w:w="1159" w:type="pct"/>
            <w:gridSpan w:val="2"/>
            <w:vAlign w:val="center"/>
          </w:tcPr>
          <w:p w14:paraId="24C7D580">
            <w:pPr>
              <w:pStyle w:val="11"/>
              <w:spacing w:line="440" w:lineRule="exact"/>
              <w:ind w:left="678" w:right="669"/>
              <w:rPr>
                <w:rFonts w:hint="eastAsia"/>
                <w:color w:val="auto"/>
                <w:sz w:val="21"/>
                <w:szCs w:val="21"/>
              </w:rPr>
            </w:pPr>
            <w:r>
              <w:rPr>
                <w:rFonts w:hint="eastAsia"/>
                <w:color w:val="auto"/>
                <w:sz w:val="21"/>
                <w:szCs w:val="21"/>
                <w:lang w:eastAsia="en-US"/>
              </w:rPr>
              <w:t>2.2.</w:t>
            </w:r>
            <w:r>
              <w:rPr>
                <w:rFonts w:hint="eastAsia"/>
                <w:color w:val="auto"/>
                <w:sz w:val="21"/>
                <w:szCs w:val="21"/>
              </w:rPr>
              <w:t>3</w:t>
            </w:r>
          </w:p>
        </w:tc>
        <w:tc>
          <w:tcPr>
            <w:tcW w:w="870" w:type="pct"/>
            <w:vAlign w:val="center"/>
          </w:tcPr>
          <w:p w14:paraId="2DC4CE37">
            <w:pPr>
              <w:pStyle w:val="11"/>
              <w:spacing w:line="440" w:lineRule="exact"/>
              <w:ind w:right="110"/>
              <w:rPr>
                <w:rFonts w:hint="eastAsia"/>
                <w:color w:val="auto"/>
                <w:sz w:val="21"/>
                <w:szCs w:val="21"/>
              </w:rPr>
            </w:pPr>
            <w:r>
              <w:rPr>
                <w:rFonts w:hint="eastAsia"/>
                <w:color w:val="auto"/>
                <w:sz w:val="21"/>
                <w:szCs w:val="21"/>
              </w:rPr>
              <w:t>第二个信封详细评审标准</w:t>
            </w:r>
          </w:p>
        </w:tc>
        <w:tc>
          <w:tcPr>
            <w:tcW w:w="2971" w:type="pct"/>
            <w:vAlign w:val="center"/>
          </w:tcPr>
          <w:p w14:paraId="29CBB3D0">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评标价计算公式：</w:t>
            </w:r>
          </w:p>
          <w:p w14:paraId="30070536">
            <w:pPr>
              <w:pStyle w:val="11"/>
              <w:wordWrap w:val="0"/>
              <w:topLinePunct/>
              <w:spacing w:line="440" w:lineRule="exact"/>
              <w:ind w:right="105" w:rightChars="50"/>
              <w:jc w:val="left"/>
              <w:rPr>
                <w:rFonts w:hint="eastAsia"/>
                <w:color w:val="auto"/>
                <w:sz w:val="21"/>
                <w:szCs w:val="21"/>
                <w:lang w:val="en-US"/>
              </w:rPr>
            </w:pPr>
            <w:r>
              <w:rPr>
                <w:rFonts w:hint="eastAsia"/>
                <w:color w:val="auto"/>
                <w:sz w:val="21"/>
                <w:szCs w:val="21"/>
              </w:rPr>
              <w:t>评标价=投标函文字报价</w:t>
            </w:r>
          </w:p>
        </w:tc>
      </w:tr>
      <w:tr w14:paraId="7FE4EF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128" w:hRule="atLeast"/>
        </w:trPr>
        <w:tc>
          <w:tcPr>
            <w:tcW w:w="1159" w:type="pct"/>
            <w:gridSpan w:val="2"/>
            <w:vAlign w:val="center"/>
          </w:tcPr>
          <w:p w14:paraId="509C5FCE">
            <w:pPr>
              <w:pStyle w:val="11"/>
              <w:spacing w:line="440" w:lineRule="exact"/>
              <w:ind w:left="673" w:right="661"/>
              <w:rPr>
                <w:rFonts w:hint="eastAsia"/>
                <w:color w:val="auto"/>
                <w:sz w:val="21"/>
                <w:szCs w:val="21"/>
                <w:lang w:eastAsia="en-US"/>
              </w:rPr>
            </w:pPr>
            <w:r>
              <w:rPr>
                <w:rFonts w:hint="eastAsia"/>
                <w:color w:val="auto"/>
                <w:sz w:val="21"/>
                <w:szCs w:val="21"/>
                <w:lang w:eastAsia="en-US"/>
              </w:rPr>
              <w:t>3.2.4</w:t>
            </w:r>
          </w:p>
        </w:tc>
        <w:tc>
          <w:tcPr>
            <w:tcW w:w="870" w:type="pct"/>
            <w:vAlign w:val="center"/>
          </w:tcPr>
          <w:p w14:paraId="60C6F94F">
            <w:pPr>
              <w:pStyle w:val="11"/>
              <w:spacing w:line="440" w:lineRule="exact"/>
              <w:ind w:right="113"/>
              <w:rPr>
                <w:rFonts w:hint="eastAsia"/>
                <w:color w:val="auto"/>
                <w:sz w:val="21"/>
                <w:szCs w:val="21"/>
              </w:rPr>
            </w:pPr>
            <w:r>
              <w:rPr>
                <w:rFonts w:hint="eastAsia"/>
                <w:color w:val="auto"/>
                <w:sz w:val="21"/>
                <w:szCs w:val="21"/>
              </w:rPr>
              <w:t>通过第一个信封详细评审的投标人数量</w:t>
            </w:r>
          </w:p>
        </w:tc>
        <w:tc>
          <w:tcPr>
            <w:tcW w:w="2971" w:type="pct"/>
            <w:vAlign w:val="center"/>
          </w:tcPr>
          <w:p w14:paraId="08B0A056">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按照投标人的商务和技术得分由高到低的顺序排序，选择前3名通过详细评审</w:t>
            </w:r>
          </w:p>
        </w:tc>
      </w:tr>
      <w:tr w14:paraId="089280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95" w:hRule="atLeast"/>
        </w:trPr>
        <w:tc>
          <w:tcPr>
            <w:tcW w:w="1159" w:type="pct"/>
            <w:gridSpan w:val="2"/>
            <w:vAlign w:val="center"/>
          </w:tcPr>
          <w:p w14:paraId="5BBC72C5">
            <w:pPr>
              <w:pStyle w:val="11"/>
              <w:spacing w:line="440" w:lineRule="exact"/>
              <w:ind w:right="113"/>
              <w:rPr>
                <w:rFonts w:hint="eastAsia"/>
                <w:color w:val="auto"/>
                <w:sz w:val="21"/>
                <w:szCs w:val="21"/>
              </w:rPr>
            </w:pPr>
            <w:r>
              <w:rPr>
                <w:rFonts w:hint="eastAsia"/>
                <w:color w:val="auto"/>
                <w:sz w:val="21"/>
                <w:szCs w:val="21"/>
              </w:rPr>
              <w:t>3.2.5</w:t>
            </w:r>
          </w:p>
        </w:tc>
        <w:tc>
          <w:tcPr>
            <w:tcW w:w="870" w:type="pct"/>
            <w:vAlign w:val="center"/>
          </w:tcPr>
          <w:p w14:paraId="2F3017D5">
            <w:pPr>
              <w:pStyle w:val="11"/>
              <w:spacing w:line="440" w:lineRule="exact"/>
              <w:ind w:right="113"/>
              <w:rPr>
                <w:rFonts w:hint="eastAsia"/>
                <w:color w:val="auto"/>
                <w:sz w:val="21"/>
                <w:szCs w:val="21"/>
              </w:rPr>
            </w:pPr>
            <w:r>
              <w:rPr>
                <w:rFonts w:hint="eastAsia"/>
                <w:color w:val="auto"/>
                <w:sz w:val="21"/>
                <w:szCs w:val="21"/>
              </w:rPr>
              <w:t>详细评审数量</w:t>
            </w:r>
          </w:p>
        </w:tc>
        <w:tc>
          <w:tcPr>
            <w:tcW w:w="2971" w:type="pct"/>
            <w:vAlign w:val="center"/>
          </w:tcPr>
          <w:p w14:paraId="522611F1">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本项内容补充：通过第一个信封（商务及技术文件）评审的投标人数量少于3名的，可以否决全部投标，未否决全部投标的，进行第二信封报价文件开标，但评标委员会在进行报价文件评审时仍有权否决全部投标；评标委员会未在报价文件评审时否决全部投标的，当在评标报告中阐明理由并推荐中标候选人。</w:t>
            </w:r>
          </w:p>
        </w:tc>
      </w:tr>
      <w:tr w14:paraId="644668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95" w:hRule="atLeast"/>
        </w:trPr>
        <w:tc>
          <w:tcPr>
            <w:tcW w:w="5000" w:type="pct"/>
            <w:gridSpan w:val="4"/>
            <w:tcBorders>
              <w:bottom w:val="single" w:color="000000" w:sz="12" w:space="0"/>
            </w:tcBorders>
            <w:vAlign w:val="center"/>
          </w:tcPr>
          <w:p w14:paraId="55988429">
            <w:pPr>
              <w:pStyle w:val="11"/>
              <w:wordWrap w:val="0"/>
              <w:topLinePunct/>
              <w:spacing w:line="440" w:lineRule="exact"/>
              <w:ind w:right="105" w:rightChars="50"/>
              <w:jc w:val="left"/>
              <w:rPr>
                <w:rFonts w:hint="eastAsia"/>
                <w:b/>
                <w:bCs/>
                <w:color w:val="auto"/>
                <w:sz w:val="21"/>
                <w:szCs w:val="21"/>
              </w:rPr>
            </w:pPr>
            <w:r>
              <w:rPr>
                <w:rFonts w:hint="eastAsia"/>
                <w:b/>
                <w:bCs/>
                <w:color w:val="auto"/>
                <w:sz w:val="21"/>
                <w:szCs w:val="21"/>
              </w:rPr>
              <w:t>3.10需要补充的其他内容：</w:t>
            </w:r>
          </w:p>
          <w:p w14:paraId="67AACA9A">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3.10.1投标人的商务和技术得分相同时，评标委员会依次按照以下优先顺序确定通过第一个信封（商务及技术文件）详细评审的投标人名单：</w:t>
            </w:r>
          </w:p>
          <w:p w14:paraId="70FA7D26">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(1)202</w:t>
            </w:r>
            <w:r>
              <w:rPr>
                <w:rFonts w:hint="eastAsia"/>
                <w:color w:val="auto"/>
                <w:sz w:val="21"/>
                <w:szCs w:val="21"/>
                <w:lang w:val="en-US" w:eastAsia="zh-CN"/>
              </w:rPr>
              <w:t>3</w:t>
            </w:r>
            <w:r>
              <w:rPr>
                <w:rFonts w:hint="eastAsia"/>
                <w:color w:val="auto"/>
                <w:sz w:val="21"/>
                <w:szCs w:val="21"/>
              </w:rPr>
              <w:t>年度被黑龙江省交通运输厅或202</w:t>
            </w:r>
            <w:r>
              <w:rPr>
                <w:rFonts w:hint="eastAsia"/>
                <w:color w:val="auto"/>
                <w:sz w:val="21"/>
                <w:szCs w:val="21"/>
                <w:lang w:val="en-US"/>
              </w:rPr>
              <w:t>3</w:t>
            </w:r>
            <w:r>
              <w:rPr>
                <w:rFonts w:hint="eastAsia"/>
                <w:color w:val="auto"/>
                <w:sz w:val="21"/>
                <w:szCs w:val="21"/>
              </w:rPr>
              <w:t>年度被交通运输部评为较高信用等级的投标人优先（如果省级和部级评价等级不一致，以最高的信用评价等级认定）；</w:t>
            </w:r>
          </w:p>
          <w:p w14:paraId="64B417CD">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(2)施工组织设计得分较高的投标人优先。</w:t>
            </w:r>
          </w:p>
          <w:p w14:paraId="10543397">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3.10.</w:t>
            </w:r>
            <w:r>
              <w:rPr>
                <w:rFonts w:hint="eastAsia"/>
                <w:color w:val="auto"/>
                <w:sz w:val="21"/>
                <w:szCs w:val="21"/>
                <w:lang w:val="en-US"/>
              </w:rPr>
              <w:t>2</w:t>
            </w:r>
            <w:r>
              <w:rPr>
                <w:rFonts w:hint="eastAsia"/>
                <w:color w:val="auto"/>
                <w:sz w:val="21"/>
                <w:szCs w:val="21"/>
              </w:rPr>
              <w:t>本招标项目要求投标人按照招标人提供的工程量清单电子文件填写工程量清单。</w:t>
            </w:r>
          </w:p>
          <w:p w14:paraId="334A40D8">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3.10.</w:t>
            </w:r>
            <w:r>
              <w:rPr>
                <w:rFonts w:hint="eastAsia"/>
                <w:color w:val="auto"/>
                <w:sz w:val="21"/>
                <w:szCs w:val="21"/>
                <w:lang w:val="en-US"/>
              </w:rPr>
              <w:t>3</w:t>
            </w:r>
            <w:r>
              <w:rPr>
                <w:rFonts w:hint="eastAsia"/>
                <w:color w:val="auto"/>
                <w:sz w:val="21"/>
                <w:szCs w:val="21"/>
              </w:rPr>
              <w:t>本项目招标人设置成本价评估值。投标人报价低于成本价评估值的，评标委员会可以要求投标人对其投标报价作出书面说明，提供投标报价单价构成说明及相关证明材料（详细的清单预算、主要材料来源及价格证明材料等），并加盖投标人单位公章。投标人未提供或未按规定时间提供或不能证明可以按照其报价以及招标文件规定的质量标准和履行期限完成招标项目的，评标委员会可以认定该投标人以低于成本价竞标，并否决其投标。</w:t>
            </w:r>
          </w:p>
          <w:p w14:paraId="7295CC41">
            <w:pPr>
              <w:pStyle w:val="11"/>
              <w:wordWrap w:val="0"/>
              <w:topLinePunct/>
              <w:spacing w:line="440" w:lineRule="exact"/>
              <w:ind w:right="105" w:rightChars="50"/>
              <w:jc w:val="left"/>
              <w:rPr>
                <w:rFonts w:hint="eastAsia"/>
                <w:color w:val="auto"/>
                <w:sz w:val="21"/>
                <w:szCs w:val="21"/>
                <w:lang w:val="en-US"/>
              </w:rPr>
            </w:pPr>
            <w:r>
              <w:rPr>
                <w:rFonts w:hint="eastAsia"/>
                <w:color w:val="auto"/>
                <w:sz w:val="21"/>
                <w:szCs w:val="21"/>
              </w:rPr>
              <w:t>成本价评估值=最高投标限价×0.85</w:t>
            </w:r>
          </w:p>
        </w:tc>
      </w:tr>
    </w:tbl>
    <w:p w14:paraId="4A1D7F50">
      <w:pPr>
        <w:spacing w:line="440" w:lineRule="exact"/>
        <w:rPr>
          <w:rFonts w:hint="eastAsia" w:ascii="宋体" w:hAnsi="宋体" w:cs="宋体"/>
          <w:color w:val="auto"/>
          <w:szCs w:val="21"/>
        </w:rPr>
        <w:sectPr>
          <w:pgSz w:w="11911" w:h="16849"/>
          <w:pgMar w:top="1440" w:right="1083" w:bottom="1440" w:left="1083" w:header="850" w:footer="510" w:gutter="0"/>
          <w:pgNumType w:fmt="numberInDash"/>
          <w:cols w:space="0" w:num="1"/>
          <w:docGrid w:linePitch="286" w:charSpace="0"/>
        </w:sectPr>
      </w:pPr>
    </w:p>
    <w:tbl>
      <w:tblPr>
        <w:tblStyle w:val="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13" w:type="dxa"/>
          <w:bottom w:w="0" w:type="dxa"/>
          <w:right w:w="113" w:type="dxa"/>
        </w:tblCellMar>
      </w:tblPr>
      <w:tblGrid>
        <w:gridCol w:w="1218"/>
        <w:gridCol w:w="370"/>
        <w:gridCol w:w="934"/>
        <w:gridCol w:w="727"/>
        <w:gridCol w:w="1343"/>
        <w:gridCol w:w="611"/>
        <w:gridCol w:w="3330"/>
      </w:tblGrid>
      <w:tr w14:paraId="19BCF8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567" w:hRule="atLeast"/>
          <w:jc w:val="center"/>
        </w:trPr>
        <w:tc>
          <w:tcPr>
            <w:tcW w:w="713" w:type="pct"/>
            <w:vMerge w:val="restart"/>
            <w:tcBorders>
              <w:top w:val="single" w:color="000000" w:sz="12" w:space="0"/>
            </w:tcBorders>
            <w:vAlign w:val="center"/>
          </w:tcPr>
          <w:p w14:paraId="2AD1D9D1">
            <w:pPr>
              <w:pStyle w:val="11"/>
              <w:spacing w:line="440" w:lineRule="exact"/>
              <w:rPr>
                <w:rFonts w:hint="eastAsia"/>
                <w:b/>
                <w:color w:val="auto"/>
                <w:sz w:val="21"/>
                <w:szCs w:val="21"/>
                <w:lang w:eastAsia="en-US"/>
              </w:rPr>
            </w:pPr>
            <w:r>
              <w:rPr>
                <w:rFonts w:hint="eastAsia"/>
                <w:b/>
                <w:color w:val="auto"/>
                <w:sz w:val="21"/>
                <w:szCs w:val="21"/>
                <w:lang w:eastAsia="en-US"/>
              </w:rPr>
              <w:t>条款号</w:t>
            </w:r>
          </w:p>
        </w:tc>
        <w:tc>
          <w:tcPr>
            <w:tcW w:w="2335" w:type="pct"/>
            <w:gridSpan w:val="5"/>
            <w:tcBorders>
              <w:top w:val="single" w:color="000000" w:sz="12" w:space="0"/>
            </w:tcBorders>
            <w:vAlign w:val="center"/>
          </w:tcPr>
          <w:p w14:paraId="00B5F14A">
            <w:pPr>
              <w:pStyle w:val="11"/>
              <w:spacing w:line="440" w:lineRule="exact"/>
              <w:rPr>
                <w:rFonts w:hint="eastAsia"/>
                <w:b/>
                <w:color w:val="auto"/>
                <w:sz w:val="21"/>
                <w:szCs w:val="21"/>
                <w:lang w:eastAsia="en-US"/>
              </w:rPr>
            </w:pPr>
            <w:r>
              <w:rPr>
                <w:rFonts w:hint="eastAsia"/>
                <w:b/>
                <w:color w:val="auto"/>
                <w:sz w:val="21"/>
                <w:szCs w:val="21"/>
                <w:lang w:eastAsia="en-US"/>
              </w:rPr>
              <w:t>评分因素与权重分值</w:t>
            </w:r>
          </w:p>
        </w:tc>
        <w:tc>
          <w:tcPr>
            <w:tcW w:w="1950" w:type="pct"/>
            <w:vMerge w:val="restart"/>
            <w:tcBorders>
              <w:top w:val="single" w:color="000000" w:sz="12" w:space="0"/>
            </w:tcBorders>
            <w:vAlign w:val="center"/>
          </w:tcPr>
          <w:p w14:paraId="6E209E81">
            <w:pPr>
              <w:pStyle w:val="11"/>
              <w:spacing w:line="440" w:lineRule="exact"/>
              <w:rPr>
                <w:rFonts w:hint="eastAsia"/>
                <w:b/>
                <w:color w:val="auto"/>
                <w:sz w:val="21"/>
                <w:szCs w:val="21"/>
                <w:lang w:eastAsia="en-US"/>
              </w:rPr>
            </w:pPr>
            <w:r>
              <w:rPr>
                <w:rFonts w:hint="eastAsia"/>
                <w:b/>
                <w:color w:val="auto"/>
                <w:sz w:val="21"/>
                <w:szCs w:val="21"/>
                <w:lang w:eastAsia="en-US"/>
              </w:rPr>
              <w:t>评分标准</w:t>
            </w:r>
          </w:p>
        </w:tc>
      </w:tr>
      <w:tr w14:paraId="2517B9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757" w:hRule="atLeast"/>
          <w:jc w:val="center"/>
        </w:trPr>
        <w:tc>
          <w:tcPr>
            <w:tcW w:w="713" w:type="pct"/>
            <w:vMerge w:val="continue"/>
            <w:vAlign w:val="center"/>
          </w:tcPr>
          <w:p w14:paraId="4995EB10">
            <w:pPr>
              <w:pStyle w:val="11"/>
              <w:spacing w:line="440" w:lineRule="exact"/>
              <w:rPr>
                <w:rFonts w:hint="eastAsia"/>
                <w:b/>
                <w:color w:val="auto"/>
                <w:sz w:val="21"/>
                <w:szCs w:val="21"/>
                <w:lang w:eastAsia="en-US"/>
              </w:rPr>
            </w:pPr>
          </w:p>
        </w:tc>
        <w:tc>
          <w:tcPr>
            <w:tcW w:w="764" w:type="pct"/>
            <w:gridSpan w:val="2"/>
            <w:vAlign w:val="center"/>
          </w:tcPr>
          <w:p w14:paraId="5C6C764D">
            <w:pPr>
              <w:pStyle w:val="11"/>
              <w:spacing w:line="440" w:lineRule="exact"/>
              <w:rPr>
                <w:rFonts w:hint="eastAsia"/>
                <w:b/>
                <w:color w:val="auto"/>
                <w:sz w:val="21"/>
                <w:szCs w:val="21"/>
                <w:lang w:eastAsia="en-US"/>
              </w:rPr>
            </w:pPr>
            <w:r>
              <w:rPr>
                <w:rFonts w:hint="eastAsia"/>
                <w:b/>
                <w:color w:val="auto"/>
                <w:sz w:val="21"/>
                <w:szCs w:val="21"/>
                <w:lang w:eastAsia="en-US"/>
              </w:rPr>
              <w:t>评分因素</w:t>
            </w:r>
          </w:p>
        </w:tc>
        <w:tc>
          <w:tcPr>
            <w:tcW w:w="426" w:type="pct"/>
            <w:vAlign w:val="center"/>
          </w:tcPr>
          <w:p w14:paraId="446A6892">
            <w:pPr>
              <w:pStyle w:val="11"/>
              <w:spacing w:line="440" w:lineRule="exact"/>
              <w:rPr>
                <w:rFonts w:hint="eastAsia"/>
                <w:b/>
                <w:color w:val="auto"/>
                <w:sz w:val="21"/>
                <w:szCs w:val="21"/>
                <w:lang w:eastAsia="en-US"/>
              </w:rPr>
            </w:pPr>
            <w:r>
              <w:rPr>
                <w:rFonts w:hint="eastAsia"/>
                <w:b/>
                <w:color w:val="auto"/>
                <w:sz w:val="21"/>
                <w:szCs w:val="21"/>
                <w:lang w:eastAsia="en-US"/>
              </w:rPr>
              <w:t>评分因素</w:t>
            </w:r>
            <w:r>
              <w:rPr>
                <w:rFonts w:hint="eastAsia"/>
                <w:b/>
                <w:color w:val="auto"/>
                <w:spacing w:val="-1"/>
                <w:sz w:val="21"/>
                <w:szCs w:val="21"/>
                <w:lang w:eastAsia="en-US"/>
              </w:rPr>
              <w:t>权重分值</w:t>
            </w:r>
          </w:p>
        </w:tc>
        <w:tc>
          <w:tcPr>
            <w:tcW w:w="787" w:type="pct"/>
            <w:vAlign w:val="center"/>
          </w:tcPr>
          <w:p w14:paraId="0F4933E6">
            <w:pPr>
              <w:pStyle w:val="11"/>
              <w:spacing w:line="440" w:lineRule="exact"/>
              <w:rPr>
                <w:rFonts w:hint="eastAsia"/>
                <w:b/>
                <w:color w:val="auto"/>
                <w:sz w:val="21"/>
                <w:szCs w:val="21"/>
                <w:lang w:eastAsia="en-US"/>
              </w:rPr>
            </w:pPr>
            <w:r>
              <w:rPr>
                <w:rFonts w:hint="eastAsia"/>
                <w:b/>
                <w:color w:val="auto"/>
                <w:sz w:val="21"/>
                <w:szCs w:val="21"/>
                <w:lang w:eastAsia="en-US"/>
              </w:rPr>
              <w:t>各评分因素细分项</w:t>
            </w:r>
          </w:p>
        </w:tc>
        <w:tc>
          <w:tcPr>
            <w:tcW w:w="357" w:type="pct"/>
            <w:vAlign w:val="center"/>
          </w:tcPr>
          <w:p w14:paraId="268B08B5">
            <w:pPr>
              <w:pStyle w:val="11"/>
              <w:spacing w:line="440" w:lineRule="exact"/>
              <w:rPr>
                <w:rFonts w:hint="eastAsia"/>
                <w:b/>
                <w:color w:val="auto"/>
                <w:sz w:val="21"/>
                <w:szCs w:val="21"/>
                <w:lang w:eastAsia="en-US"/>
              </w:rPr>
            </w:pPr>
            <w:r>
              <w:rPr>
                <w:rFonts w:hint="eastAsia"/>
                <w:b/>
                <w:color w:val="auto"/>
                <w:sz w:val="21"/>
                <w:szCs w:val="21"/>
                <w:lang w:eastAsia="en-US"/>
              </w:rPr>
              <w:t>分值</w:t>
            </w:r>
          </w:p>
        </w:tc>
        <w:tc>
          <w:tcPr>
            <w:tcW w:w="1950" w:type="pct"/>
            <w:vMerge w:val="continue"/>
          </w:tcPr>
          <w:p w14:paraId="22A2146F">
            <w:pPr>
              <w:spacing w:line="440" w:lineRule="exact"/>
              <w:jc w:val="center"/>
              <w:rPr>
                <w:rFonts w:hint="eastAsia" w:ascii="宋体" w:hAnsi="宋体" w:cs="宋体"/>
                <w:color w:val="auto"/>
                <w:szCs w:val="21"/>
                <w:lang w:eastAsia="en-US"/>
              </w:rPr>
            </w:pPr>
          </w:p>
        </w:tc>
      </w:tr>
      <w:tr w14:paraId="416C0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2578" w:hRule="atLeast"/>
          <w:jc w:val="center"/>
        </w:trPr>
        <w:tc>
          <w:tcPr>
            <w:tcW w:w="713" w:type="pct"/>
            <w:vMerge w:val="restart"/>
            <w:vAlign w:val="center"/>
          </w:tcPr>
          <w:p w14:paraId="0B8EA06A">
            <w:pPr>
              <w:pStyle w:val="11"/>
              <w:spacing w:line="440" w:lineRule="exact"/>
              <w:rPr>
                <w:rFonts w:hint="eastAsia"/>
                <w:color w:val="auto"/>
                <w:sz w:val="21"/>
                <w:szCs w:val="21"/>
              </w:rPr>
            </w:pPr>
            <w:r>
              <w:rPr>
                <w:rFonts w:hint="eastAsia"/>
                <w:color w:val="auto"/>
                <w:sz w:val="21"/>
                <w:szCs w:val="21"/>
                <w:lang w:eastAsia="en-US"/>
              </w:rPr>
              <w:t>2.2.</w:t>
            </w:r>
            <w:r>
              <w:rPr>
                <w:rFonts w:hint="eastAsia"/>
                <w:color w:val="auto"/>
                <w:sz w:val="21"/>
                <w:szCs w:val="21"/>
              </w:rPr>
              <w:t>2</w:t>
            </w:r>
            <w:r>
              <w:rPr>
                <w:rFonts w:hint="eastAsia"/>
                <w:color w:val="auto"/>
                <w:sz w:val="21"/>
                <w:szCs w:val="21"/>
                <w:lang w:eastAsia="en-US"/>
              </w:rPr>
              <w:t>（1）</w:t>
            </w:r>
          </w:p>
        </w:tc>
        <w:tc>
          <w:tcPr>
            <w:tcW w:w="764" w:type="pct"/>
            <w:gridSpan w:val="2"/>
            <w:vMerge w:val="restart"/>
            <w:vAlign w:val="center"/>
          </w:tcPr>
          <w:p w14:paraId="48C78CA3">
            <w:pPr>
              <w:widowControl/>
              <w:spacing w:line="440" w:lineRule="exact"/>
              <w:jc w:val="center"/>
              <w:rPr>
                <w:rFonts w:hint="eastAsia" w:ascii="宋体" w:hAnsi="宋体" w:cs="宋体"/>
                <w:color w:val="auto"/>
                <w:kern w:val="0"/>
                <w:szCs w:val="21"/>
                <w:lang w:eastAsia="en-US"/>
              </w:rPr>
            </w:pPr>
            <w:r>
              <w:rPr>
                <w:rFonts w:hint="eastAsia" w:ascii="宋体" w:hAnsi="宋体" w:cs="宋体"/>
                <w:color w:val="auto"/>
                <w:szCs w:val="21"/>
                <w:lang w:eastAsia="en-US"/>
              </w:rPr>
              <w:t>施工组织设计</w:t>
            </w:r>
          </w:p>
        </w:tc>
        <w:tc>
          <w:tcPr>
            <w:tcW w:w="426" w:type="pct"/>
            <w:vMerge w:val="restart"/>
            <w:vAlign w:val="center"/>
          </w:tcPr>
          <w:p w14:paraId="77D55C93">
            <w:pPr>
              <w:widowControl/>
              <w:spacing w:line="440" w:lineRule="exact"/>
              <w:jc w:val="center"/>
              <w:rPr>
                <w:rFonts w:hint="eastAsia" w:ascii="宋体" w:hAnsi="宋体" w:cs="宋体"/>
                <w:color w:val="auto"/>
                <w:kern w:val="0"/>
                <w:szCs w:val="21"/>
                <w:lang w:eastAsia="en-US"/>
              </w:rPr>
            </w:pPr>
            <w:r>
              <w:rPr>
                <w:rFonts w:hint="eastAsia" w:ascii="宋体" w:hAnsi="宋体" w:cs="宋体"/>
                <w:color w:val="auto"/>
                <w:kern w:val="0"/>
                <w:szCs w:val="21"/>
              </w:rPr>
              <w:t>40</w:t>
            </w:r>
            <w:r>
              <w:rPr>
                <w:rFonts w:hint="eastAsia" w:ascii="宋体" w:hAnsi="宋体" w:cs="宋体"/>
                <w:color w:val="auto"/>
                <w:kern w:val="0"/>
                <w:szCs w:val="21"/>
                <w:lang w:eastAsia="en-US"/>
              </w:rPr>
              <w:t>分</w:t>
            </w:r>
          </w:p>
        </w:tc>
        <w:tc>
          <w:tcPr>
            <w:tcW w:w="787" w:type="pct"/>
            <w:vAlign w:val="center"/>
          </w:tcPr>
          <w:p w14:paraId="2FA0EF7B">
            <w:pPr>
              <w:widowControl/>
              <w:spacing w:line="440" w:lineRule="exact"/>
              <w:jc w:val="center"/>
              <w:rPr>
                <w:rFonts w:hint="eastAsia" w:ascii="宋体" w:hAnsi="宋体" w:cs="宋体"/>
                <w:color w:val="auto"/>
                <w:kern w:val="0"/>
                <w:szCs w:val="21"/>
              </w:rPr>
            </w:pPr>
            <w:r>
              <w:rPr>
                <w:rFonts w:hint="eastAsia" w:ascii="宋体" w:hAnsi="宋体" w:cs="宋体"/>
                <w:color w:val="auto"/>
                <w:szCs w:val="21"/>
              </w:rPr>
              <w:t>施工总体计划</w:t>
            </w:r>
          </w:p>
        </w:tc>
        <w:tc>
          <w:tcPr>
            <w:tcW w:w="357" w:type="pct"/>
            <w:vAlign w:val="center"/>
          </w:tcPr>
          <w:p w14:paraId="4F884953">
            <w:pPr>
              <w:pStyle w:val="11"/>
              <w:tabs>
                <w:tab w:val="left" w:pos="457"/>
              </w:tabs>
              <w:spacing w:line="440" w:lineRule="exact"/>
              <w:rPr>
                <w:rFonts w:hint="eastAsia"/>
                <w:color w:val="auto"/>
                <w:sz w:val="21"/>
                <w:szCs w:val="21"/>
              </w:rPr>
            </w:pPr>
            <w:r>
              <w:rPr>
                <w:rFonts w:hint="eastAsia"/>
                <w:color w:val="auto"/>
                <w:sz w:val="21"/>
                <w:szCs w:val="21"/>
                <w:lang w:val="en-US"/>
              </w:rPr>
              <w:t>8分</w:t>
            </w:r>
          </w:p>
        </w:tc>
        <w:tc>
          <w:tcPr>
            <w:tcW w:w="1950" w:type="pct"/>
            <w:vAlign w:val="center"/>
          </w:tcPr>
          <w:p w14:paraId="10433241">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①项目进度计划、质量目标、工期目标、安全目标详细程度、合理性、针对性</w:t>
            </w:r>
            <w:r>
              <w:rPr>
                <w:rFonts w:hint="eastAsia"/>
                <w:color w:val="auto"/>
                <w:sz w:val="21"/>
                <w:szCs w:val="21"/>
                <w:lang w:val="en-US"/>
              </w:rPr>
              <w:t>基本满足</w:t>
            </w:r>
            <w:r>
              <w:rPr>
                <w:rFonts w:hint="eastAsia"/>
                <w:color w:val="auto"/>
                <w:sz w:val="21"/>
                <w:szCs w:val="21"/>
              </w:rPr>
              <w:t>，得4.8～</w:t>
            </w:r>
            <w:r>
              <w:rPr>
                <w:rFonts w:hint="eastAsia"/>
                <w:color w:val="auto"/>
                <w:sz w:val="21"/>
                <w:szCs w:val="21"/>
                <w:lang w:val="en-US"/>
              </w:rPr>
              <w:t>5.8</w:t>
            </w:r>
            <w:r>
              <w:rPr>
                <w:rFonts w:hint="eastAsia"/>
                <w:color w:val="auto"/>
                <w:sz w:val="21"/>
                <w:szCs w:val="21"/>
              </w:rPr>
              <w:t>分；</w:t>
            </w:r>
          </w:p>
          <w:p w14:paraId="40273BA7">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②项目进度计划、质量目标、工期目标、安全目标详细程度、合理性、针对性较好的，得</w:t>
            </w:r>
            <w:r>
              <w:rPr>
                <w:rFonts w:hint="eastAsia"/>
                <w:color w:val="auto"/>
                <w:sz w:val="21"/>
                <w:szCs w:val="21"/>
                <w:lang w:val="en-US"/>
              </w:rPr>
              <w:t>5.9</w:t>
            </w:r>
            <w:r>
              <w:rPr>
                <w:rFonts w:hint="eastAsia"/>
                <w:color w:val="auto"/>
                <w:sz w:val="21"/>
                <w:szCs w:val="21"/>
              </w:rPr>
              <w:t>～</w:t>
            </w:r>
            <w:r>
              <w:rPr>
                <w:rFonts w:hint="eastAsia"/>
                <w:color w:val="auto"/>
                <w:sz w:val="21"/>
                <w:szCs w:val="21"/>
                <w:lang w:val="en-US"/>
              </w:rPr>
              <w:t>6.9</w:t>
            </w:r>
            <w:r>
              <w:rPr>
                <w:rFonts w:hint="eastAsia"/>
                <w:color w:val="auto"/>
                <w:sz w:val="21"/>
                <w:szCs w:val="21"/>
              </w:rPr>
              <w:t>分；</w:t>
            </w:r>
          </w:p>
          <w:p w14:paraId="3990AFC3">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③项目进度计划、质量目标、工期目标、安全目标详细程度、合理性、针对性好的，得</w:t>
            </w:r>
            <w:r>
              <w:rPr>
                <w:rFonts w:hint="eastAsia"/>
                <w:color w:val="auto"/>
                <w:sz w:val="21"/>
                <w:szCs w:val="21"/>
                <w:lang w:val="en-US"/>
              </w:rPr>
              <w:t>7.0</w:t>
            </w:r>
            <w:r>
              <w:rPr>
                <w:rFonts w:hint="eastAsia"/>
                <w:color w:val="auto"/>
                <w:sz w:val="21"/>
                <w:szCs w:val="21"/>
              </w:rPr>
              <w:t>～8</w:t>
            </w:r>
            <w:r>
              <w:rPr>
                <w:rFonts w:hint="eastAsia"/>
                <w:color w:val="auto"/>
                <w:sz w:val="21"/>
                <w:szCs w:val="21"/>
                <w:lang w:val="en-US"/>
              </w:rPr>
              <w:t>.0</w:t>
            </w:r>
            <w:r>
              <w:rPr>
                <w:rFonts w:hint="eastAsia"/>
                <w:color w:val="auto"/>
                <w:sz w:val="21"/>
                <w:szCs w:val="21"/>
              </w:rPr>
              <w:t>分。</w:t>
            </w:r>
          </w:p>
        </w:tc>
      </w:tr>
      <w:tr w14:paraId="6742BF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2670" w:hRule="atLeast"/>
          <w:jc w:val="center"/>
        </w:trPr>
        <w:tc>
          <w:tcPr>
            <w:tcW w:w="713" w:type="pct"/>
            <w:vMerge w:val="continue"/>
            <w:vAlign w:val="center"/>
          </w:tcPr>
          <w:p w14:paraId="2C8B67E7">
            <w:pPr>
              <w:pStyle w:val="11"/>
              <w:spacing w:line="440" w:lineRule="exact"/>
              <w:rPr>
                <w:rFonts w:hint="eastAsia"/>
                <w:color w:val="auto"/>
                <w:sz w:val="21"/>
                <w:szCs w:val="21"/>
              </w:rPr>
            </w:pPr>
          </w:p>
        </w:tc>
        <w:tc>
          <w:tcPr>
            <w:tcW w:w="764" w:type="pct"/>
            <w:gridSpan w:val="2"/>
            <w:vMerge w:val="continue"/>
            <w:vAlign w:val="center"/>
          </w:tcPr>
          <w:p w14:paraId="2E115604">
            <w:pPr>
              <w:widowControl/>
              <w:spacing w:line="440" w:lineRule="exact"/>
              <w:jc w:val="center"/>
              <w:rPr>
                <w:rFonts w:hint="eastAsia" w:ascii="宋体" w:hAnsi="宋体" w:cs="宋体"/>
                <w:color w:val="auto"/>
                <w:szCs w:val="21"/>
              </w:rPr>
            </w:pPr>
          </w:p>
        </w:tc>
        <w:tc>
          <w:tcPr>
            <w:tcW w:w="426" w:type="pct"/>
            <w:vMerge w:val="continue"/>
            <w:vAlign w:val="center"/>
          </w:tcPr>
          <w:p w14:paraId="49C918AA">
            <w:pPr>
              <w:widowControl/>
              <w:spacing w:line="440" w:lineRule="exact"/>
              <w:jc w:val="center"/>
              <w:rPr>
                <w:rFonts w:hint="eastAsia" w:ascii="宋体" w:hAnsi="宋体" w:cs="宋体"/>
                <w:color w:val="auto"/>
                <w:kern w:val="0"/>
                <w:szCs w:val="21"/>
              </w:rPr>
            </w:pPr>
          </w:p>
        </w:tc>
        <w:tc>
          <w:tcPr>
            <w:tcW w:w="787" w:type="pct"/>
            <w:vAlign w:val="center"/>
          </w:tcPr>
          <w:p w14:paraId="7B17BA2D">
            <w:pPr>
              <w:widowControl/>
              <w:spacing w:line="440" w:lineRule="exact"/>
              <w:jc w:val="center"/>
              <w:rPr>
                <w:rFonts w:hint="eastAsia" w:ascii="宋体" w:hAnsi="宋体" w:cs="宋体"/>
                <w:color w:val="auto"/>
                <w:szCs w:val="21"/>
              </w:rPr>
            </w:pPr>
            <w:r>
              <w:rPr>
                <w:rFonts w:hint="eastAsia" w:ascii="宋体" w:hAnsi="宋体" w:cs="宋体"/>
                <w:color w:val="auto"/>
                <w:szCs w:val="21"/>
              </w:rPr>
              <w:t>关键工程的施工方案、方法与技术措施</w:t>
            </w:r>
          </w:p>
        </w:tc>
        <w:tc>
          <w:tcPr>
            <w:tcW w:w="357" w:type="pct"/>
            <w:vAlign w:val="center"/>
          </w:tcPr>
          <w:p w14:paraId="5982C482">
            <w:pPr>
              <w:pStyle w:val="11"/>
              <w:tabs>
                <w:tab w:val="left" w:pos="457"/>
              </w:tabs>
              <w:spacing w:line="440" w:lineRule="exact"/>
              <w:rPr>
                <w:rFonts w:hint="eastAsia"/>
                <w:color w:val="auto"/>
                <w:sz w:val="21"/>
                <w:szCs w:val="21"/>
                <w:lang w:val="en-US"/>
              </w:rPr>
            </w:pPr>
            <w:r>
              <w:rPr>
                <w:rFonts w:hint="eastAsia"/>
                <w:color w:val="auto"/>
                <w:sz w:val="21"/>
                <w:szCs w:val="21"/>
                <w:lang w:val="en-US"/>
              </w:rPr>
              <w:t>10分</w:t>
            </w:r>
          </w:p>
        </w:tc>
        <w:tc>
          <w:tcPr>
            <w:tcW w:w="1950" w:type="pct"/>
            <w:vAlign w:val="center"/>
          </w:tcPr>
          <w:p w14:paraId="70478DB9">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①重点、关键和难点工程的施工方案、方法与技术措施比较详细、比较合理，操作性较强，得6.0～7.5分；</w:t>
            </w:r>
          </w:p>
          <w:p w14:paraId="62D09345">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②重点、关键和难点工程的施工方案、方法与技术措施详细、合理，操作性强，得7.6～9.1分；</w:t>
            </w:r>
          </w:p>
          <w:p w14:paraId="34C1D312">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③重点、关键和难点工程的施工方案、方法与技术措施详细、合理，操作性强，生产保障措施详细合理；保证施工和公路正常运行的方案措施合理可行，得9.2～10分。</w:t>
            </w:r>
          </w:p>
        </w:tc>
      </w:tr>
      <w:tr w14:paraId="2E5E0D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2539" w:hRule="atLeast"/>
          <w:jc w:val="center"/>
        </w:trPr>
        <w:tc>
          <w:tcPr>
            <w:tcW w:w="713" w:type="pct"/>
            <w:vMerge w:val="continue"/>
            <w:vAlign w:val="center"/>
          </w:tcPr>
          <w:p w14:paraId="33E51EC8">
            <w:pPr>
              <w:pStyle w:val="11"/>
              <w:spacing w:line="440" w:lineRule="exact"/>
              <w:rPr>
                <w:rFonts w:hint="eastAsia"/>
                <w:color w:val="auto"/>
                <w:sz w:val="21"/>
                <w:szCs w:val="21"/>
              </w:rPr>
            </w:pPr>
          </w:p>
        </w:tc>
        <w:tc>
          <w:tcPr>
            <w:tcW w:w="764" w:type="pct"/>
            <w:gridSpan w:val="2"/>
            <w:vMerge w:val="continue"/>
            <w:vAlign w:val="center"/>
          </w:tcPr>
          <w:p w14:paraId="67C129C2">
            <w:pPr>
              <w:widowControl/>
              <w:spacing w:line="440" w:lineRule="exact"/>
              <w:jc w:val="center"/>
              <w:rPr>
                <w:rFonts w:hint="eastAsia" w:ascii="宋体" w:hAnsi="宋体" w:cs="宋体"/>
                <w:color w:val="auto"/>
                <w:szCs w:val="21"/>
              </w:rPr>
            </w:pPr>
          </w:p>
        </w:tc>
        <w:tc>
          <w:tcPr>
            <w:tcW w:w="426" w:type="pct"/>
            <w:vMerge w:val="continue"/>
            <w:vAlign w:val="center"/>
          </w:tcPr>
          <w:p w14:paraId="167D1A02">
            <w:pPr>
              <w:widowControl/>
              <w:spacing w:line="440" w:lineRule="exact"/>
              <w:jc w:val="center"/>
              <w:rPr>
                <w:rFonts w:hint="eastAsia" w:ascii="宋体" w:hAnsi="宋体" w:cs="宋体"/>
                <w:color w:val="auto"/>
                <w:kern w:val="0"/>
                <w:szCs w:val="21"/>
              </w:rPr>
            </w:pPr>
          </w:p>
        </w:tc>
        <w:tc>
          <w:tcPr>
            <w:tcW w:w="787" w:type="pct"/>
            <w:vAlign w:val="center"/>
          </w:tcPr>
          <w:p w14:paraId="046B4A9A">
            <w:pPr>
              <w:widowControl/>
              <w:spacing w:line="440" w:lineRule="exact"/>
              <w:jc w:val="center"/>
              <w:rPr>
                <w:rFonts w:hint="eastAsia" w:ascii="宋体" w:hAnsi="宋体" w:cs="宋体"/>
                <w:color w:val="auto"/>
                <w:szCs w:val="21"/>
              </w:rPr>
            </w:pPr>
            <w:r>
              <w:rPr>
                <w:rFonts w:hint="eastAsia" w:ascii="宋体" w:hAnsi="宋体" w:cs="宋体"/>
                <w:color w:val="auto"/>
                <w:szCs w:val="21"/>
              </w:rPr>
              <w:t>质量、安全、环保、水保、文明、文物、进度保证措施及合理化建议</w:t>
            </w:r>
          </w:p>
        </w:tc>
        <w:tc>
          <w:tcPr>
            <w:tcW w:w="357" w:type="pct"/>
            <w:vAlign w:val="center"/>
          </w:tcPr>
          <w:p w14:paraId="2731152F">
            <w:pPr>
              <w:pStyle w:val="11"/>
              <w:tabs>
                <w:tab w:val="left" w:pos="457"/>
              </w:tabs>
              <w:spacing w:line="440" w:lineRule="exact"/>
              <w:rPr>
                <w:rFonts w:hint="eastAsia"/>
                <w:color w:val="auto"/>
                <w:sz w:val="21"/>
                <w:szCs w:val="21"/>
                <w:lang w:val="en-US"/>
              </w:rPr>
            </w:pPr>
            <w:r>
              <w:rPr>
                <w:rFonts w:hint="eastAsia"/>
                <w:color w:val="auto"/>
                <w:sz w:val="21"/>
                <w:szCs w:val="21"/>
                <w:lang w:val="en-US"/>
              </w:rPr>
              <w:t>12分</w:t>
            </w:r>
          </w:p>
        </w:tc>
        <w:tc>
          <w:tcPr>
            <w:tcW w:w="1950" w:type="pct"/>
            <w:vAlign w:val="center"/>
          </w:tcPr>
          <w:p w14:paraId="1E4D2124">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①质量、安全、环保、水保、文明、文物、进度保证措施及合理化建议详细程度、合理性、针对性</w:t>
            </w:r>
            <w:r>
              <w:rPr>
                <w:rFonts w:hint="eastAsia"/>
                <w:color w:val="auto"/>
                <w:sz w:val="21"/>
                <w:szCs w:val="21"/>
                <w:lang w:val="en-US"/>
              </w:rPr>
              <w:t>基本满足</w:t>
            </w:r>
            <w:r>
              <w:rPr>
                <w:rFonts w:hint="eastAsia"/>
                <w:color w:val="auto"/>
                <w:sz w:val="21"/>
                <w:szCs w:val="21"/>
              </w:rPr>
              <w:t>，得7.2～</w:t>
            </w:r>
            <w:r>
              <w:rPr>
                <w:rFonts w:hint="eastAsia"/>
                <w:color w:val="auto"/>
                <w:sz w:val="21"/>
                <w:szCs w:val="21"/>
                <w:lang w:val="en-US"/>
              </w:rPr>
              <w:t>8.8</w:t>
            </w:r>
            <w:r>
              <w:rPr>
                <w:rFonts w:hint="eastAsia"/>
                <w:color w:val="auto"/>
                <w:sz w:val="21"/>
                <w:szCs w:val="21"/>
              </w:rPr>
              <w:t>分；</w:t>
            </w:r>
          </w:p>
          <w:p w14:paraId="02715B55">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②质量、安全、环保、水保、文明、文物、进度保证措施及合理化建议详细程度、合理性、针对性较好的，得</w:t>
            </w:r>
            <w:r>
              <w:rPr>
                <w:rFonts w:hint="eastAsia"/>
                <w:color w:val="auto"/>
                <w:sz w:val="21"/>
                <w:szCs w:val="21"/>
                <w:lang w:val="en-US"/>
              </w:rPr>
              <w:t>8.9</w:t>
            </w:r>
            <w:r>
              <w:rPr>
                <w:rFonts w:hint="eastAsia"/>
                <w:color w:val="auto"/>
                <w:sz w:val="21"/>
                <w:szCs w:val="21"/>
              </w:rPr>
              <w:t>～</w:t>
            </w:r>
            <w:r>
              <w:rPr>
                <w:rFonts w:hint="eastAsia"/>
                <w:color w:val="auto"/>
                <w:sz w:val="21"/>
                <w:szCs w:val="21"/>
                <w:lang w:val="en-US"/>
              </w:rPr>
              <w:t>10.5</w:t>
            </w:r>
            <w:r>
              <w:rPr>
                <w:rFonts w:hint="eastAsia"/>
                <w:color w:val="auto"/>
                <w:sz w:val="21"/>
                <w:szCs w:val="21"/>
              </w:rPr>
              <w:t>分；</w:t>
            </w:r>
          </w:p>
          <w:p w14:paraId="5864314F">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③质量、安全、环保、水保、文明、文物、进度保证措施及合理化建议详细程度、合理性、针对性好的，得</w:t>
            </w:r>
            <w:r>
              <w:rPr>
                <w:rFonts w:hint="eastAsia"/>
                <w:color w:val="auto"/>
                <w:sz w:val="21"/>
                <w:szCs w:val="21"/>
                <w:lang w:val="en-US"/>
              </w:rPr>
              <w:t>10.6</w:t>
            </w:r>
            <w:r>
              <w:rPr>
                <w:rFonts w:hint="eastAsia"/>
                <w:color w:val="auto"/>
                <w:sz w:val="21"/>
                <w:szCs w:val="21"/>
              </w:rPr>
              <w:t>～12</w:t>
            </w:r>
            <w:r>
              <w:rPr>
                <w:rFonts w:hint="eastAsia"/>
                <w:color w:val="auto"/>
                <w:sz w:val="21"/>
                <w:szCs w:val="21"/>
                <w:lang w:val="en-US"/>
              </w:rPr>
              <w:t>.0</w:t>
            </w:r>
            <w:r>
              <w:rPr>
                <w:rFonts w:hint="eastAsia"/>
                <w:color w:val="auto"/>
                <w:sz w:val="21"/>
                <w:szCs w:val="21"/>
              </w:rPr>
              <w:t>分。</w:t>
            </w:r>
          </w:p>
        </w:tc>
      </w:tr>
      <w:tr w14:paraId="5C2EF3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974" w:hRule="atLeast"/>
          <w:jc w:val="center"/>
        </w:trPr>
        <w:tc>
          <w:tcPr>
            <w:tcW w:w="713" w:type="pct"/>
            <w:vMerge w:val="continue"/>
            <w:vAlign w:val="center"/>
          </w:tcPr>
          <w:p w14:paraId="53B12503">
            <w:pPr>
              <w:pStyle w:val="11"/>
              <w:spacing w:line="440" w:lineRule="exact"/>
              <w:rPr>
                <w:rFonts w:hint="eastAsia"/>
                <w:color w:val="auto"/>
                <w:sz w:val="21"/>
                <w:szCs w:val="21"/>
              </w:rPr>
            </w:pPr>
          </w:p>
        </w:tc>
        <w:tc>
          <w:tcPr>
            <w:tcW w:w="764" w:type="pct"/>
            <w:gridSpan w:val="2"/>
            <w:vMerge w:val="continue"/>
            <w:vAlign w:val="center"/>
          </w:tcPr>
          <w:p w14:paraId="4159C1DB">
            <w:pPr>
              <w:widowControl/>
              <w:spacing w:line="440" w:lineRule="exact"/>
              <w:jc w:val="center"/>
              <w:rPr>
                <w:rFonts w:hint="eastAsia" w:ascii="宋体" w:hAnsi="宋体" w:cs="宋体"/>
                <w:color w:val="auto"/>
                <w:szCs w:val="21"/>
              </w:rPr>
            </w:pPr>
          </w:p>
        </w:tc>
        <w:tc>
          <w:tcPr>
            <w:tcW w:w="426" w:type="pct"/>
            <w:vMerge w:val="continue"/>
            <w:vAlign w:val="center"/>
          </w:tcPr>
          <w:p w14:paraId="7034C878">
            <w:pPr>
              <w:widowControl/>
              <w:spacing w:line="440" w:lineRule="exact"/>
              <w:jc w:val="center"/>
              <w:rPr>
                <w:rFonts w:hint="eastAsia" w:ascii="宋体" w:hAnsi="宋体" w:cs="宋体"/>
                <w:color w:val="auto"/>
                <w:kern w:val="0"/>
                <w:szCs w:val="21"/>
              </w:rPr>
            </w:pPr>
          </w:p>
        </w:tc>
        <w:tc>
          <w:tcPr>
            <w:tcW w:w="787" w:type="pct"/>
            <w:vAlign w:val="center"/>
          </w:tcPr>
          <w:p w14:paraId="105DEB35">
            <w:pPr>
              <w:widowControl/>
              <w:spacing w:line="440" w:lineRule="exact"/>
              <w:jc w:val="center"/>
              <w:rPr>
                <w:rFonts w:hint="eastAsia" w:ascii="宋体" w:hAnsi="宋体" w:cs="宋体"/>
                <w:color w:val="auto"/>
                <w:szCs w:val="21"/>
              </w:rPr>
            </w:pPr>
            <w:r>
              <w:rPr>
                <w:rFonts w:hint="eastAsia" w:ascii="宋体" w:hAnsi="宋体" w:cs="宋体"/>
                <w:color w:val="auto"/>
                <w:szCs w:val="21"/>
              </w:rPr>
              <w:t>项目风险预测与防范、事故应急预案</w:t>
            </w:r>
          </w:p>
        </w:tc>
        <w:tc>
          <w:tcPr>
            <w:tcW w:w="357" w:type="pct"/>
            <w:vAlign w:val="center"/>
          </w:tcPr>
          <w:p w14:paraId="69B02500">
            <w:pPr>
              <w:pStyle w:val="11"/>
              <w:tabs>
                <w:tab w:val="left" w:pos="457"/>
              </w:tabs>
              <w:spacing w:line="440" w:lineRule="exact"/>
              <w:rPr>
                <w:rFonts w:hint="eastAsia"/>
                <w:color w:val="auto"/>
                <w:sz w:val="21"/>
                <w:szCs w:val="21"/>
                <w:lang w:val="en-US"/>
              </w:rPr>
            </w:pPr>
            <w:r>
              <w:rPr>
                <w:rFonts w:hint="eastAsia"/>
                <w:color w:val="auto"/>
                <w:sz w:val="21"/>
                <w:szCs w:val="21"/>
                <w:lang w:val="en-US"/>
              </w:rPr>
              <w:t>10分</w:t>
            </w:r>
          </w:p>
        </w:tc>
        <w:tc>
          <w:tcPr>
            <w:tcW w:w="1950" w:type="pct"/>
            <w:vAlign w:val="center"/>
          </w:tcPr>
          <w:p w14:paraId="46847762">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①项目风险的处理措施、预案以及抵抗风险措施</w:t>
            </w:r>
            <w:r>
              <w:rPr>
                <w:rFonts w:hint="eastAsia"/>
                <w:color w:val="auto"/>
                <w:sz w:val="21"/>
                <w:szCs w:val="21"/>
                <w:lang w:val="en-US"/>
              </w:rPr>
              <w:t>基本满足得</w:t>
            </w:r>
            <w:r>
              <w:rPr>
                <w:rFonts w:hint="eastAsia"/>
                <w:color w:val="auto"/>
                <w:sz w:val="21"/>
                <w:szCs w:val="21"/>
              </w:rPr>
              <w:t>6.0～</w:t>
            </w:r>
            <w:r>
              <w:rPr>
                <w:rFonts w:hint="eastAsia"/>
                <w:color w:val="auto"/>
                <w:sz w:val="21"/>
                <w:szCs w:val="21"/>
                <w:lang w:val="en-US"/>
              </w:rPr>
              <w:t>7.5</w:t>
            </w:r>
            <w:r>
              <w:rPr>
                <w:rFonts w:hint="eastAsia"/>
                <w:color w:val="auto"/>
                <w:sz w:val="21"/>
                <w:szCs w:val="21"/>
              </w:rPr>
              <w:t>分；</w:t>
            </w:r>
          </w:p>
          <w:p w14:paraId="2648E9A6">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②项目风险的处理措施、预案以及抵抗风险措施切实可行、</w:t>
            </w:r>
            <w:r>
              <w:rPr>
                <w:rFonts w:hint="eastAsia"/>
                <w:color w:val="auto"/>
                <w:sz w:val="21"/>
                <w:szCs w:val="21"/>
                <w:lang w:val="en-US"/>
              </w:rPr>
              <w:t>较好</w:t>
            </w:r>
            <w:r>
              <w:rPr>
                <w:rFonts w:hint="eastAsia"/>
                <w:color w:val="auto"/>
                <w:sz w:val="21"/>
                <w:szCs w:val="21"/>
              </w:rPr>
              <w:t>得</w:t>
            </w:r>
            <w:r>
              <w:rPr>
                <w:rFonts w:hint="eastAsia"/>
                <w:color w:val="auto"/>
                <w:sz w:val="21"/>
                <w:szCs w:val="21"/>
                <w:lang w:val="en-US"/>
              </w:rPr>
              <w:t>7.6</w:t>
            </w:r>
            <w:r>
              <w:rPr>
                <w:rFonts w:hint="eastAsia"/>
                <w:color w:val="auto"/>
                <w:sz w:val="21"/>
                <w:szCs w:val="21"/>
              </w:rPr>
              <w:t>～</w:t>
            </w:r>
            <w:r>
              <w:rPr>
                <w:rFonts w:hint="eastAsia"/>
                <w:color w:val="auto"/>
                <w:sz w:val="21"/>
                <w:szCs w:val="21"/>
                <w:lang w:val="en-US"/>
              </w:rPr>
              <w:t>9.1</w:t>
            </w:r>
            <w:r>
              <w:rPr>
                <w:rFonts w:hint="eastAsia"/>
                <w:color w:val="auto"/>
                <w:sz w:val="21"/>
                <w:szCs w:val="21"/>
              </w:rPr>
              <w:t>分。</w:t>
            </w:r>
          </w:p>
          <w:p w14:paraId="00237894">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③项目风险的处理措施、预案以及抵抗风险措施切实可行、</w:t>
            </w:r>
            <w:r>
              <w:rPr>
                <w:rFonts w:hint="eastAsia"/>
                <w:color w:val="auto"/>
                <w:sz w:val="21"/>
                <w:szCs w:val="21"/>
                <w:lang w:val="en-US"/>
              </w:rPr>
              <w:t>优秀</w:t>
            </w:r>
            <w:r>
              <w:rPr>
                <w:rFonts w:hint="eastAsia"/>
                <w:color w:val="auto"/>
                <w:sz w:val="21"/>
                <w:szCs w:val="21"/>
              </w:rPr>
              <w:t>得</w:t>
            </w:r>
            <w:r>
              <w:rPr>
                <w:rFonts w:hint="eastAsia"/>
                <w:color w:val="auto"/>
                <w:sz w:val="21"/>
                <w:szCs w:val="21"/>
                <w:lang w:val="en-US"/>
              </w:rPr>
              <w:t>9.2</w:t>
            </w:r>
            <w:r>
              <w:rPr>
                <w:rFonts w:hint="eastAsia"/>
                <w:color w:val="auto"/>
                <w:sz w:val="21"/>
                <w:szCs w:val="21"/>
              </w:rPr>
              <w:t>～</w:t>
            </w:r>
            <w:r>
              <w:rPr>
                <w:rFonts w:hint="eastAsia"/>
                <w:color w:val="auto"/>
                <w:sz w:val="21"/>
                <w:szCs w:val="21"/>
                <w:lang w:val="en-US"/>
              </w:rPr>
              <w:t>10.0</w:t>
            </w:r>
            <w:r>
              <w:rPr>
                <w:rFonts w:hint="eastAsia"/>
                <w:color w:val="auto"/>
                <w:sz w:val="21"/>
                <w:szCs w:val="21"/>
              </w:rPr>
              <w:t>分。</w:t>
            </w:r>
          </w:p>
        </w:tc>
      </w:tr>
      <w:tr w14:paraId="3AA5EC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85" w:hRule="atLeast"/>
          <w:jc w:val="center"/>
        </w:trPr>
        <w:tc>
          <w:tcPr>
            <w:tcW w:w="713" w:type="pct"/>
            <w:vMerge w:val="restart"/>
            <w:vAlign w:val="center"/>
          </w:tcPr>
          <w:p w14:paraId="0F23C4D6">
            <w:pPr>
              <w:pStyle w:val="11"/>
              <w:spacing w:line="440" w:lineRule="exact"/>
              <w:rPr>
                <w:rFonts w:hint="eastAsia"/>
                <w:color w:val="auto"/>
                <w:sz w:val="21"/>
                <w:szCs w:val="21"/>
              </w:rPr>
            </w:pPr>
            <w:r>
              <w:rPr>
                <w:rFonts w:hint="eastAsia"/>
                <w:color w:val="auto"/>
                <w:sz w:val="21"/>
                <w:szCs w:val="21"/>
                <w:lang w:eastAsia="en-US"/>
              </w:rPr>
              <w:t>2.2.</w:t>
            </w:r>
            <w:r>
              <w:rPr>
                <w:rFonts w:hint="eastAsia"/>
                <w:color w:val="auto"/>
                <w:sz w:val="21"/>
                <w:szCs w:val="21"/>
              </w:rPr>
              <w:t>2</w:t>
            </w:r>
            <w:r>
              <w:rPr>
                <w:rFonts w:hint="eastAsia"/>
                <w:color w:val="auto"/>
                <w:sz w:val="21"/>
                <w:szCs w:val="21"/>
                <w:lang w:eastAsia="en-US"/>
              </w:rPr>
              <w:t>（2）</w:t>
            </w:r>
          </w:p>
        </w:tc>
        <w:tc>
          <w:tcPr>
            <w:tcW w:w="764" w:type="pct"/>
            <w:gridSpan w:val="2"/>
            <w:vMerge w:val="restart"/>
            <w:vAlign w:val="center"/>
          </w:tcPr>
          <w:p w14:paraId="338270D9">
            <w:pPr>
              <w:pStyle w:val="11"/>
              <w:spacing w:line="440" w:lineRule="exact"/>
              <w:rPr>
                <w:rFonts w:hint="eastAsia"/>
                <w:color w:val="auto"/>
                <w:sz w:val="21"/>
                <w:szCs w:val="21"/>
              </w:rPr>
            </w:pPr>
            <w:r>
              <w:rPr>
                <w:rFonts w:hint="eastAsia"/>
                <w:color w:val="auto"/>
                <w:sz w:val="21"/>
                <w:szCs w:val="21"/>
                <w:lang w:eastAsia="en-US"/>
              </w:rPr>
              <w:t>主要人员</w:t>
            </w:r>
          </w:p>
        </w:tc>
        <w:tc>
          <w:tcPr>
            <w:tcW w:w="426" w:type="pct"/>
            <w:vMerge w:val="restart"/>
            <w:vAlign w:val="center"/>
          </w:tcPr>
          <w:p w14:paraId="25E16939">
            <w:pPr>
              <w:pStyle w:val="11"/>
              <w:tabs>
                <w:tab w:val="left" w:pos="674"/>
              </w:tabs>
              <w:spacing w:line="440" w:lineRule="exact"/>
              <w:rPr>
                <w:rFonts w:hint="eastAsia"/>
                <w:color w:val="auto"/>
                <w:sz w:val="21"/>
                <w:szCs w:val="21"/>
              </w:rPr>
            </w:pPr>
            <w:r>
              <w:rPr>
                <w:rFonts w:hint="eastAsia"/>
                <w:color w:val="auto"/>
                <w:sz w:val="21"/>
                <w:szCs w:val="21"/>
              </w:rPr>
              <w:t>3</w:t>
            </w:r>
            <w:r>
              <w:rPr>
                <w:rFonts w:hint="eastAsia"/>
                <w:color w:val="auto"/>
                <w:sz w:val="21"/>
                <w:szCs w:val="21"/>
                <w:lang w:val="en-US"/>
              </w:rPr>
              <w:t>5</w:t>
            </w:r>
            <w:r>
              <w:rPr>
                <w:rFonts w:hint="eastAsia"/>
                <w:color w:val="auto"/>
                <w:sz w:val="21"/>
                <w:szCs w:val="21"/>
              </w:rPr>
              <w:t>分</w:t>
            </w:r>
          </w:p>
        </w:tc>
        <w:tc>
          <w:tcPr>
            <w:tcW w:w="787" w:type="pct"/>
            <w:vAlign w:val="center"/>
          </w:tcPr>
          <w:p w14:paraId="0A216A86">
            <w:pPr>
              <w:spacing w:line="440" w:lineRule="exact"/>
              <w:jc w:val="center"/>
              <w:rPr>
                <w:rFonts w:hint="eastAsia" w:ascii="宋体" w:hAnsi="宋体" w:cs="宋体"/>
                <w:color w:val="auto"/>
                <w:kern w:val="0"/>
                <w:szCs w:val="21"/>
              </w:rPr>
            </w:pPr>
            <w:r>
              <w:rPr>
                <w:rFonts w:hint="eastAsia" w:ascii="宋体" w:hAnsi="宋体" w:cs="宋体"/>
                <w:color w:val="auto"/>
                <w:kern w:val="0"/>
                <w:szCs w:val="21"/>
              </w:rPr>
              <w:t>项目经理</w:t>
            </w:r>
          </w:p>
          <w:p w14:paraId="4ACDBB1B">
            <w:pPr>
              <w:spacing w:line="440" w:lineRule="exact"/>
              <w:jc w:val="center"/>
              <w:rPr>
                <w:rFonts w:hint="eastAsia" w:ascii="宋体" w:hAnsi="宋体" w:cs="宋体"/>
                <w:color w:val="auto"/>
                <w:kern w:val="0"/>
                <w:szCs w:val="21"/>
              </w:rPr>
            </w:pPr>
            <w:r>
              <w:rPr>
                <w:rFonts w:hint="eastAsia" w:ascii="宋体" w:hAnsi="宋体" w:cs="宋体"/>
                <w:color w:val="auto"/>
                <w:kern w:val="0"/>
                <w:szCs w:val="21"/>
              </w:rPr>
              <w:t>任职资格</w:t>
            </w:r>
          </w:p>
        </w:tc>
        <w:tc>
          <w:tcPr>
            <w:tcW w:w="357" w:type="pct"/>
            <w:vAlign w:val="center"/>
          </w:tcPr>
          <w:p w14:paraId="0FA7251D">
            <w:pPr>
              <w:spacing w:line="440" w:lineRule="exact"/>
              <w:jc w:val="center"/>
              <w:rPr>
                <w:rFonts w:hint="eastAsia" w:ascii="宋体" w:hAnsi="宋体" w:cs="宋体"/>
                <w:color w:val="auto"/>
                <w:kern w:val="0"/>
                <w:szCs w:val="21"/>
                <w:lang w:eastAsia="en-US"/>
              </w:rPr>
            </w:pPr>
            <w:r>
              <w:rPr>
                <w:rFonts w:hint="eastAsia" w:ascii="宋体" w:hAnsi="宋体" w:cs="宋体"/>
                <w:color w:val="auto"/>
                <w:kern w:val="0"/>
                <w:szCs w:val="21"/>
              </w:rPr>
              <w:t>20分</w:t>
            </w:r>
          </w:p>
        </w:tc>
        <w:tc>
          <w:tcPr>
            <w:tcW w:w="1950" w:type="pct"/>
            <w:vAlign w:val="center"/>
          </w:tcPr>
          <w:p w14:paraId="366B655E">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满足资格审查条件(项目经理最低要求)，得</w:t>
            </w:r>
            <w:r>
              <w:rPr>
                <w:rFonts w:hint="eastAsia"/>
                <w:color w:val="auto"/>
                <w:sz w:val="21"/>
                <w:szCs w:val="21"/>
                <w:lang w:val="en-US"/>
              </w:rPr>
              <w:t>12</w:t>
            </w:r>
            <w:r>
              <w:rPr>
                <w:rFonts w:hint="eastAsia"/>
                <w:color w:val="auto"/>
                <w:sz w:val="21"/>
                <w:szCs w:val="21"/>
              </w:rPr>
              <w:t>分，加分条件如下：</w:t>
            </w:r>
          </w:p>
          <w:p w14:paraId="08806039">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①</w:t>
            </w:r>
            <w:r>
              <w:rPr>
                <w:rFonts w:hint="eastAsia"/>
                <w:color w:val="auto"/>
                <w:sz w:val="21"/>
                <w:szCs w:val="21"/>
                <w:lang w:val="en-US"/>
              </w:rPr>
              <w:t>项目经理具备</w:t>
            </w:r>
            <w:r>
              <w:rPr>
                <w:rFonts w:hint="eastAsia"/>
                <w:color w:val="auto"/>
                <w:sz w:val="21"/>
                <w:szCs w:val="21"/>
              </w:rPr>
              <w:t>高级工程师及以上职称加</w:t>
            </w:r>
            <w:r>
              <w:rPr>
                <w:rFonts w:hint="eastAsia"/>
                <w:color w:val="auto"/>
                <w:sz w:val="21"/>
                <w:szCs w:val="21"/>
                <w:lang w:val="en-US"/>
              </w:rPr>
              <w:t>2</w:t>
            </w:r>
            <w:r>
              <w:rPr>
                <w:rFonts w:hint="eastAsia"/>
                <w:color w:val="auto"/>
                <w:sz w:val="21"/>
                <w:szCs w:val="21"/>
              </w:rPr>
              <w:t>分；</w:t>
            </w:r>
          </w:p>
          <w:p w14:paraId="112F222D">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②</w:t>
            </w:r>
            <w:r>
              <w:rPr>
                <w:rFonts w:hint="eastAsia"/>
                <w:color w:val="auto"/>
                <w:sz w:val="21"/>
                <w:szCs w:val="21"/>
                <w:lang w:val="en-US"/>
              </w:rPr>
              <w:t>项目经理</w:t>
            </w:r>
            <w:r>
              <w:rPr>
                <w:rFonts w:hint="eastAsia"/>
                <w:color w:val="auto"/>
                <w:sz w:val="21"/>
                <w:szCs w:val="21"/>
                <w:shd w:val="clear" w:color="auto" w:fill="FFFFFF"/>
              </w:rPr>
              <w:t>在所有已交工业绩中，</w:t>
            </w:r>
            <w:r>
              <w:rPr>
                <w:rFonts w:hint="eastAsia"/>
                <w:color w:val="auto"/>
                <w:sz w:val="21"/>
                <w:szCs w:val="21"/>
              </w:rPr>
              <w:t>每</w:t>
            </w:r>
            <w:r>
              <w:rPr>
                <w:rFonts w:hint="eastAsia"/>
                <w:color w:val="auto"/>
                <w:sz w:val="21"/>
                <w:szCs w:val="21"/>
                <w:lang w:val="en-US"/>
              </w:rPr>
              <w:t>提供</w:t>
            </w:r>
            <w:r>
              <w:rPr>
                <w:rFonts w:hint="eastAsia"/>
                <w:color w:val="auto"/>
                <w:sz w:val="21"/>
                <w:szCs w:val="21"/>
              </w:rPr>
              <w:t>1个二级及以上新建或改扩建公路工程</w:t>
            </w:r>
            <w:r>
              <w:rPr>
                <w:rFonts w:hint="eastAsia"/>
                <w:color w:val="auto"/>
                <w:sz w:val="21"/>
                <w:szCs w:val="21"/>
                <w:lang w:val="en-US"/>
              </w:rPr>
              <w:t>施工项目业绩</w:t>
            </w:r>
            <w:r>
              <w:rPr>
                <w:rFonts w:hint="eastAsia"/>
                <w:color w:val="auto"/>
                <w:sz w:val="21"/>
                <w:szCs w:val="21"/>
                <w:shd w:val="clear" w:color="auto" w:fill="FFFFFF"/>
              </w:rPr>
              <w:t>，加</w:t>
            </w:r>
            <w:r>
              <w:rPr>
                <w:rFonts w:hint="eastAsia"/>
                <w:color w:val="auto"/>
                <w:sz w:val="21"/>
                <w:szCs w:val="21"/>
                <w:shd w:val="clear" w:color="auto" w:fill="FFFFFF"/>
                <w:lang w:val="en-US" w:eastAsia="zh-CN"/>
              </w:rPr>
              <w:t>2</w:t>
            </w:r>
            <w:r>
              <w:rPr>
                <w:rFonts w:hint="eastAsia"/>
                <w:color w:val="auto"/>
                <w:sz w:val="21"/>
                <w:szCs w:val="21"/>
                <w:shd w:val="clear" w:color="auto" w:fill="FFFFFF"/>
              </w:rPr>
              <w:t>分，最多加</w:t>
            </w:r>
            <w:r>
              <w:rPr>
                <w:rFonts w:hint="eastAsia"/>
                <w:color w:val="auto"/>
                <w:sz w:val="21"/>
                <w:szCs w:val="21"/>
                <w:shd w:val="clear" w:color="auto" w:fill="FFFFFF"/>
                <w:lang w:val="en-US"/>
              </w:rPr>
              <w:t>6</w:t>
            </w:r>
            <w:r>
              <w:rPr>
                <w:rFonts w:hint="eastAsia"/>
                <w:color w:val="auto"/>
                <w:sz w:val="21"/>
                <w:szCs w:val="21"/>
                <w:shd w:val="clear" w:color="auto" w:fill="FFFFFF"/>
              </w:rPr>
              <w:t>分。</w:t>
            </w:r>
          </w:p>
        </w:tc>
      </w:tr>
      <w:tr w14:paraId="7AB43D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978" w:hRule="atLeast"/>
          <w:jc w:val="center"/>
        </w:trPr>
        <w:tc>
          <w:tcPr>
            <w:tcW w:w="713" w:type="pct"/>
            <w:vMerge w:val="continue"/>
            <w:vAlign w:val="center"/>
          </w:tcPr>
          <w:p w14:paraId="28B2FB53">
            <w:pPr>
              <w:spacing w:line="440" w:lineRule="exact"/>
              <w:jc w:val="center"/>
              <w:rPr>
                <w:rFonts w:hint="eastAsia" w:ascii="宋体" w:hAnsi="宋体" w:cs="宋体"/>
                <w:color w:val="auto"/>
                <w:szCs w:val="21"/>
              </w:rPr>
            </w:pPr>
          </w:p>
        </w:tc>
        <w:tc>
          <w:tcPr>
            <w:tcW w:w="764" w:type="pct"/>
            <w:gridSpan w:val="2"/>
            <w:vMerge w:val="continue"/>
            <w:vAlign w:val="center"/>
          </w:tcPr>
          <w:p w14:paraId="11B52511">
            <w:pPr>
              <w:spacing w:line="440" w:lineRule="exact"/>
              <w:jc w:val="center"/>
              <w:rPr>
                <w:rFonts w:hint="eastAsia" w:ascii="宋体" w:hAnsi="宋体" w:cs="宋体"/>
                <w:color w:val="auto"/>
                <w:szCs w:val="21"/>
              </w:rPr>
            </w:pPr>
          </w:p>
        </w:tc>
        <w:tc>
          <w:tcPr>
            <w:tcW w:w="426" w:type="pct"/>
            <w:vMerge w:val="continue"/>
            <w:vAlign w:val="center"/>
          </w:tcPr>
          <w:p w14:paraId="70FCCFD0">
            <w:pPr>
              <w:spacing w:line="440" w:lineRule="exact"/>
              <w:jc w:val="center"/>
              <w:rPr>
                <w:rFonts w:hint="eastAsia" w:ascii="宋体" w:hAnsi="宋体" w:cs="宋体"/>
                <w:color w:val="auto"/>
                <w:szCs w:val="21"/>
              </w:rPr>
            </w:pPr>
          </w:p>
        </w:tc>
        <w:tc>
          <w:tcPr>
            <w:tcW w:w="787" w:type="pct"/>
            <w:vAlign w:val="center"/>
          </w:tcPr>
          <w:p w14:paraId="0BCC1614">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项目总工</w:t>
            </w:r>
          </w:p>
          <w:p w14:paraId="642C71FD">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任职资格</w:t>
            </w:r>
          </w:p>
        </w:tc>
        <w:tc>
          <w:tcPr>
            <w:tcW w:w="357" w:type="pct"/>
            <w:vAlign w:val="center"/>
          </w:tcPr>
          <w:p w14:paraId="1D7825A5">
            <w:pPr>
              <w:spacing w:line="440" w:lineRule="exact"/>
              <w:jc w:val="center"/>
              <w:rPr>
                <w:rFonts w:hint="eastAsia" w:ascii="宋体" w:hAnsi="宋体" w:cs="宋体"/>
                <w:color w:val="auto"/>
                <w:kern w:val="0"/>
                <w:szCs w:val="21"/>
                <w:lang w:eastAsia="en-US"/>
              </w:rPr>
            </w:pPr>
            <w:r>
              <w:rPr>
                <w:rFonts w:hint="eastAsia" w:ascii="宋体" w:hAnsi="宋体" w:cs="宋体"/>
                <w:color w:val="auto"/>
                <w:kern w:val="0"/>
                <w:szCs w:val="21"/>
              </w:rPr>
              <w:t>15</w:t>
            </w:r>
            <w:r>
              <w:rPr>
                <w:rFonts w:hint="eastAsia" w:ascii="宋体" w:hAnsi="宋体" w:cs="宋体"/>
                <w:color w:val="auto"/>
                <w:kern w:val="0"/>
                <w:szCs w:val="21"/>
                <w:lang w:eastAsia="en-US"/>
              </w:rPr>
              <w:t>分</w:t>
            </w:r>
          </w:p>
        </w:tc>
        <w:tc>
          <w:tcPr>
            <w:tcW w:w="1950" w:type="pct"/>
            <w:vAlign w:val="center"/>
          </w:tcPr>
          <w:p w14:paraId="39721E8C">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满足资格审查条件(项目总工最低要求)，得</w:t>
            </w:r>
            <w:r>
              <w:rPr>
                <w:rFonts w:hint="eastAsia"/>
                <w:color w:val="auto"/>
                <w:sz w:val="21"/>
                <w:szCs w:val="21"/>
                <w:lang w:val="en-US"/>
              </w:rPr>
              <w:t>9</w:t>
            </w:r>
            <w:r>
              <w:rPr>
                <w:rFonts w:hint="eastAsia"/>
                <w:color w:val="auto"/>
                <w:sz w:val="21"/>
                <w:szCs w:val="21"/>
              </w:rPr>
              <w:t>分，加分条件如下：①</w:t>
            </w:r>
            <w:r>
              <w:rPr>
                <w:rFonts w:hint="eastAsia"/>
                <w:color w:val="auto"/>
                <w:sz w:val="21"/>
                <w:szCs w:val="21"/>
                <w:lang w:val="en-US"/>
              </w:rPr>
              <w:t>项目总工</w:t>
            </w:r>
            <w:r>
              <w:rPr>
                <w:rFonts w:hint="eastAsia"/>
                <w:color w:val="auto"/>
                <w:sz w:val="21"/>
                <w:szCs w:val="21"/>
                <w:shd w:val="clear" w:color="auto" w:fill="FFFFFF"/>
              </w:rPr>
              <w:t>在所有已交工业绩中，</w:t>
            </w:r>
            <w:r>
              <w:rPr>
                <w:rFonts w:hint="eastAsia"/>
                <w:color w:val="auto"/>
                <w:sz w:val="21"/>
                <w:szCs w:val="21"/>
              </w:rPr>
              <w:t>每</w:t>
            </w:r>
            <w:r>
              <w:rPr>
                <w:rFonts w:hint="eastAsia"/>
                <w:color w:val="auto"/>
                <w:sz w:val="21"/>
                <w:szCs w:val="21"/>
                <w:lang w:val="en-US"/>
              </w:rPr>
              <w:t>提供</w:t>
            </w:r>
            <w:r>
              <w:rPr>
                <w:rFonts w:hint="eastAsia"/>
                <w:color w:val="auto"/>
                <w:sz w:val="21"/>
                <w:szCs w:val="21"/>
              </w:rPr>
              <w:t>1个二级及以上新建或改扩建公路工程</w:t>
            </w:r>
            <w:r>
              <w:rPr>
                <w:rFonts w:hint="eastAsia"/>
                <w:color w:val="auto"/>
                <w:sz w:val="21"/>
                <w:szCs w:val="21"/>
                <w:lang w:val="en-US"/>
              </w:rPr>
              <w:t>施工项目业绩</w:t>
            </w:r>
            <w:r>
              <w:rPr>
                <w:rFonts w:hint="eastAsia"/>
                <w:color w:val="auto"/>
                <w:sz w:val="21"/>
                <w:szCs w:val="21"/>
                <w:shd w:val="clear" w:color="auto" w:fill="FFFFFF"/>
              </w:rPr>
              <w:t>，加</w:t>
            </w:r>
            <w:r>
              <w:rPr>
                <w:rFonts w:hint="eastAsia"/>
                <w:color w:val="auto"/>
                <w:sz w:val="21"/>
                <w:szCs w:val="21"/>
                <w:shd w:val="clear" w:color="auto" w:fill="FFFFFF"/>
                <w:lang w:val="en-US"/>
              </w:rPr>
              <w:t>2</w:t>
            </w:r>
            <w:r>
              <w:rPr>
                <w:rFonts w:hint="eastAsia"/>
                <w:color w:val="auto"/>
                <w:sz w:val="21"/>
                <w:szCs w:val="21"/>
                <w:shd w:val="clear" w:color="auto" w:fill="FFFFFF"/>
              </w:rPr>
              <w:t>分，最多加</w:t>
            </w:r>
            <w:r>
              <w:rPr>
                <w:rFonts w:hint="eastAsia"/>
                <w:color w:val="auto"/>
                <w:sz w:val="21"/>
                <w:szCs w:val="21"/>
                <w:shd w:val="clear" w:color="auto" w:fill="FFFFFF"/>
                <w:lang w:val="en-US"/>
              </w:rPr>
              <w:t>6</w:t>
            </w:r>
            <w:r>
              <w:rPr>
                <w:rFonts w:hint="eastAsia"/>
                <w:color w:val="auto"/>
                <w:sz w:val="21"/>
                <w:szCs w:val="21"/>
                <w:shd w:val="clear" w:color="auto" w:fill="FFFFFF"/>
              </w:rPr>
              <w:t>分。</w:t>
            </w:r>
          </w:p>
        </w:tc>
      </w:tr>
      <w:tr w14:paraId="2C8C8C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102" w:hRule="atLeast"/>
          <w:jc w:val="center"/>
        </w:trPr>
        <w:tc>
          <w:tcPr>
            <w:tcW w:w="713" w:type="pct"/>
            <w:vMerge w:val="continue"/>
            <w:vAlign w:val="center"/>
          </w:tcPr>
          <w:p w14:paraId="35E3062A">
            <w:pPr>
              <w:pStyle w:val="11"/>
              <w:spacing w:line="440" w:lineRule="exact"/>
              <w:rPr>
                <w:rFonts w:hint="eastAsia"/>
                <w:color w:val="auto"/>
                <w:sz w:val="21"/>
                <w:szCs w:val="21"/>
              </w:rPr>
            </w:pPr>
          </w:p>
        </w:tc>
        <w:tc>
          <w:tcPr>
            <w:tcW w:w="217" w:type="pct"/>
            <w:vMerge w:val="restart"/>
            <w:vAlign w:val="center"/>
          </w:tcPr>
          <w:p w14:paraId="2588D792">
            <w:pPr>
              <w:pStyle w:val="11"/>
              <w:spacing w:line="440" w:lineRule="exact"/>
              <w:rPr>
                <w:rFonts w:hint="eastAsia"/>
                <w:color w:val="auto"/>
                <w:sz w:val="21"/>
                <w:szCs w:val="21"/>
              </w:rPr>
            </w:pPr>
            <w:r>
              <w:rPr>
                <w:rFonts w:hint="eastAsia"/>
                <w:color w:val="auto"/>
                <w:sz w:val="21"/>
                <w:szCs w:val="21"/>
              </w:rPr>
              <w:t>履约信誉</w:t>
            </w:r>
          </w:p>
        </w:tc>
        <w:tc>
          <w:tcPr>
            <w:tcW w:w="546" w:type="pct"/>
            <w:vAlign w:val="center"/>
          </w:tcPr>
          <w:p w14:paraId="748F7CC9">
            <w:pPr>
              <w:pStyle w:val="11"/>
              <w:spacing w:line="440" w:lineRule="exact"/>
              <w:rPr>
                <w:rFonts w:hint="eastAsia"/>
                <w:color w:val="auto"/>
                <w:sz w:val="21"/>
                <w:szCs w:val="21"/>
              </w:rPr>
            </w:pPr>
            <w:r>
              <w:rPr>
                <w:rFonts w:hint="eastAsia"/>
                <w:color w:val="auto"/>
                <w:sz w:val="21"/>
                <w:szCs w:val="21"/>
              </w:rPr>
              <w:t>财务能力</w:t>
            </w:r>
          </w:p>
        </w:tc>
        <w:tc>
          <w:tcPr>
            <w:tcW w:w="426" w:type="pct"/>
            <w:vAlign w:val="center"/>
          </w:tcPr>
          <w:p w14:paraId="198688C9">
            <w:pPr>
              <w:pStyle w:val="11"/>
              <w:spacing w:line="440" w:lineRule="exact"/>
              <w:rPr>
                <w:rFonts w:hint="eastAsia"/>
                <w:color w:val="auto"/>
                <w:spacing w:val="-3"/>
                <w:sz w:val="21"/>
                <w:szCs w:val="21"/>
              </w:rPr>
            </w:pPr>
            <w:r>
              <w:rPr>
                <w:rFonts w:hint="eastAsia"/>
                <w:color w:val="auto"/>
                <w:sz w:val="21"/>
                <w:szCs w:val="21"/>
                <w:lang w:val="en-US"/>
              </w:rPr>
              <w:t>5</w:t>
            </w:r>
            <w:r>
              <w:rPr>
                <w:rFonts w:hint="eastAsia"/>
                <w:color w:val="auto"/>
                <w:sz w:val="21"/>
                <w:szCs w:val="21"/>
              </w:rPr>
              <w:t>分</w:t>
            </w:r>
          </w:p>
        </w:tc>
        <w:tc>
          <w:tcPr>
            <w:tcW w:w="3095" w:type="pct"/>
            <w:gridSpan w:val="3"/>
            <w:vAlign w:val="center"/>
          </w:tcPr>
          <w:p w14:paraId="6CFAA5EB">
            <w:pPr>
              <w:pStyle w:val="11"/>
              <w:wordWrap w:val="0"/>
              <w:topLinePunct/>
              <w:spacing w:line="440" w:lineRule="exact"/>
              <w:ind w:right="105" w:rightChars="50"/>
              <w:jc w:val="left"/>
              <w:rPr>
                <w:rFonts w:hint="eastAsia" w:eastAsia="宋体"/>
                <w:color w:val="auto"/>
                <w:sz w:val="21"/>
                <w:szCs w:val="21"/>
                <w:u w:val="single"/>
                <w:lang w:eastAsia="zh-CN"/>
              </w:rPr>
            </w:pPr>
            <w:r>
              <w:rPr>
                <w:rFonts w:hint="eastAsia"/>
                <w:color w:val="auto"/>
                <w:sz w:val="21"/>
                <w:szCs w:val="21"/>
                <w:lang w:val="en-US"/>
              </w:rPr>
              <w:t>满足资格审查条件(财务最低要求)，得</w:t>
            </w:r>
            <w:r>
              <w:rPr>
                <w:rFonts w:hint="eastAsia"/>
                <w:color w:val="auto"/>
                <w:sz w:val="21"/>
                <w:szCs w:val="21"/>
                <w:lang w:val="en-US" w:eastAsia="zh-CN"/>
              </w:rPr>
              <w:t>5</w:t>
            </w:r>
            <w:r>
              <w:rPr>
                <w:rFonts w:hint="eastAsia"/>
                <w:color w:val="auto"/>
                <w:sz w:val="21"/>
                <w:szCs w:val="21"/>
                <w:lang w:val="en-US"/>
              </w:rPr>
              <w:t>分</w:t>
            </w:r>
            <w:r>
              <w:rPr>
                <w:rFonts w:hint="eastAsia"/>
                <w:color w:val="auto"/>
                <w:sz w:val="21"/>
                <w:szCs w:val="21"/>
                <w:lang w:val="en-US" w:eastAsia="zh-CN"/>
              </w:rPr>
              <w:t>。</w:t>
            </w:r>
          </w:p>
        </w:tc>
      </w:tr>
      <w:tr w14:paraId="3D948D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102" w:hRule="atLeast"/>
          <w:jc w:val="center"/>
        </w:trPr>
        <w:tc>
          <w:tcPr>
            <w:tcW w:w="713" w:type="pct"/>
            <w:vMerge w:val="continue"/>
            <w:vAlign w:val="center"/>
          </w:tcPr>
          <w:p w14:paraId="34D7B6DF">
            <w:pPr>
              <w:pStyle w:val="11"/>
              <w:spacing w:line="440" w:lineRule="exact"/>
              <w:rPr>
                <w:rFonts w:hint="eastAsia"/>
                <w:color w:val="auto"/>
                <w:sz w:val="21"/>
                <w:szCs w:val="21"/>
              </w:rPr>
            </w:pPr>
          </w:p>
        </w:tc>
        <w:tc>
          <w:tcPr>
            <w:tcW w:w="217" w:type="pct"/>
            <w:vMerge w:val="continue"/>
            <w:vAlign w:val="center"/>
          </w:tcPr>
          <w:p w14:paraId="7274D7FD">
            <w:pPr>
              <w:pStyle w:val="11"/>
              <w:spacing w:line="440" w:lineRule="exact"/>
              <w:rPr>
                <w:rFonts w:hint="eastAsia"/>
                <w:color w:val="auto"/>
                <w:sz w:val="21"/>
                <w:szCs w:val="21"/>
              </w:rPr>
            </w:pPr>
          </w:p>
        </w:tc>
        <w:tc>
          <w:tcPr>
            <w:tcW w:w="546" w:type="pct"/>
            <w:shd w:val="clear" w:color="auto" w:fill="auto"/>
            <w:vAlign w:val="center"/>
          </w:tcPr>
          <w:p w14:paraId="2352D73D">
            <w:pPr>
              <w:pStyle w:val="11"/>
              <w:spacing w:line="440" w:lineRule="exact"/>
              <w:rPr>
                <w:rFonts w:hint="eastAsia"/>
                <w:color w:val="auto"/>
                <w:sz w:val="21"/>
                <w:szCs w:val="21"/>
                <w:lang w:eastAsia="en-US"/>
              </w:rPr>
            </w:pPr>
            <w:r>
              <w:rPr>
                <w:rFonts w:hint="eastAsia"/>
                <w:color w:val="auto"/>
                <w:sz w:val="21"/>
                <w:szCs w:val="21"/>
                <w:lang w:eastAsia="en-US"/>
              </w:rPr>
              <w:t>企业业绩</w:t>
            </w:r>
          </w:p>
        </w:tc>
        <w:tc>
          <w:tcPr>
            <w:tcW w:w="426" w:type="pct"/>
            <w:shd w:val="clear" w:color="auto" w:fill="auto"/>
            <w:vAlign w:val="center"/>
          </w:tcPr>
          <w:p w14:paraId="405BD139">
            <w:pPr>
              <w:pStyle w:val="11"/>
              <w:spacing w:line="440" w:lineRule="exact"/>
              <w:rPr>
                <w:rFonts w:hint="eastAsia"/>
                <w:color w:val="auto"/>
                <w:spacing w:val="-3"/>
                <w:sz w:val="21"/>
                <w:szCs w:val="21"/>
                <w:lang w:val="en-US"/>
              </w:rPr>
            </w:pPr>
            <w:r>
              <w:rPr>
                <w:rFonts w:hint="eastAsia"/>
                <w:color w:val="auto"/>
                <w:sz w:val="21"/>
                <w:szCs w:val="21"/>
                <w:lang w:val="en-US"/>
              </w:rPr>
              <w:t>10</w:t>
            </w:r>
            <w:r>
              <w:rPr>
                <w:rFonts w:hint="eastAsia"/>
                <w:color w:val="auto"/>
                <w:sz w:val="21"/>
                <w:szCs w:val="21"/>
              </w:rPr>
              <w:t>分</w:t>
            </w:r>
          </w:p>
        </w:tc>
        <w:tc>
          <w:tcPr>
            <w:tcW w:w="3095" w:type="pct"/>
            <w:gridSpan w:val="3"/>
            <w:shd w:val="clear" w:color="auto" w:fill="auto"/>
            <w:vAlign w:val="center"/>
          </w:tcPr>
          <w:p w14:paraId="5EDA3F34">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满足资格审查条件(业绩最低要求)，得</w:t>
            </w:r>
            <w:r>
              <w:rPr>
                <w:rFonts w:hint="eastAsia"/>
                <w:color w:val="auto"/>
                <w:sz w:val="21"/>
                <w:szCs w:val="21"/>
                <w:lang w:val="en-US"/>
              </w:rPr>
              <w:t>6</w:t>
            </w:r>
            <w:r>
              <w:rPr>
                <w:rFonts w:hint="eastAsia"/>
                <w:color w:val="auto"/>
                <w:sz w:val="21"/>
                <w:szCs w:val="21"/>
              </w:rPr>
              <w:t>分，加分条件如下：</w:t>
            </w:r>
          </w:p>
          <w:p w14:paraId="6EC30F92">
            <w:pPr>
              <w:pStyle w:val="11"/>
              <w:wordWrap w:val="0"/>
              <w:topLinePunct/>
              <w:spacing w:line="440" w:lineRule="exact"/>
              <w:ind w:right="105" w:rightChars="50"/>
              <w:jc w:val="left"/>
              <w:rPr>
                <w:rFonts w:hint="eastAsia"/>
                <w:color w:val="auto"/>
                <w:sz w:val="21"/>
                <w:szCs w:val="21"/>
                <w:u w:val="single"/>
              </w:rPr>
            </w:pPr>
            <w:r>
              <w:rPr>
                <w:rFonts w:hint="eastAsia"/>
                <w:color w:val="auto"/>
                <w:sz w:val="21"/>
                <w:szCs w:val="21"/>
              </w:rPr>
              <w:t>①近五年（20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01</w:t>
            </w:r>
            <w:r>
              <w:rPr>
                <w:rFonts w:hint="eastAsia"/>
                <w:color w:val="auto"/>
                <w:sz w:val="21"/>
                <w:szCs w:val="21"/>
              </w:rPr>
              <w:t>月01日至投标文件递交截止时间）</w:t>
            </w:r>
            <w:r>
              <w:rPr>
                <w:rFonts w:hint="eastAsia"/>
                <w:color w:val="auto"/>
                <w:sz w:val="21"/>
                <w:szCs w:val="21"/>
                <w:lang w:val="en-US"/>
              </w:rPr>
              <w:t>在满足资格审查条件的基础上，累计增加10公里的</w:t>
            </w:r>
            <w:r>
              <w:rPr>
                <w:rFonts w:hint="eastAsia"/>
                <w:color w:val="auto"/>
                <w:sz w:val="21"/>
                <w:szCs w:val="21"/>
              </w:rPr>
              <w:t>二级及以上新建或改扩建公路工程</w:t>
            </w:r>
            <w:r>
              <w:rPr>
                <w:rFonts w:hint="eastAsia"/>
                <w:color w:val="auto"/>
                <w:sz w:val="21"/>
                <w:szCs w:val="21"/>
                <w:lang w:val="en-US"/>
              </w:rPr>
              <w:t>施工，加1分，最多加4分。</w:t>
            </w:r>
          </w:p>
        </w:tc>
      </w:tr>
      <w:tr w14:paraId="602C23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532" w:hRule="atLeast"/>
          <w:jc w:val="center"/>
        </w:trPr>
        <w:tc>
          <w:tcPr>
            <w:tcW w:w="713" w:type="pct"/>
            <w:vMerge w:val="continue"/>
            <w:vAlign w:val="center"/>
          </w:tcPr>
          <w:p w14:paraId="50E4600F">
            <w:pPr>
              <w:pStyle w:val="11"/>
              <w:spacing w:line="440" w:lineRule="exact"/>
              <w:rPr>
                <w:rFonts w:hint="eastAsia"/>
                <w:color w:val="auto"/>
                <w:sz w:val="21"/>
                <w:szCs w:val="21"/>
              </w:rPr>
            </w:pPr>
          </w:p>
        </w:tc>
        <w:tc>
          <w:tcPr>
            <w:tcW w:w="217" w:type="pct"/>
            <w:vMerge w:val="continue"/>
            <w:vAlign w:val="center"/>
          </w:tcPr>
          <w:p w14:paraId="657C10ED">
            <w:pPr>
              <w:pStyle w:val="11"/>
              <w:spacing w:line="440" w:lineRule="exact"/>
              <w:rPr>
                <w:rFonts w:hint="eastAsia"/>
                <w:color w:val="auto"/>
                <w:sz w:val="21"/>
                <w:szCs w:val="21"/>
              </w:rPr>
            </w:pPr>
          </w:p>
        </w:tc>
        <w:tc>
          <w:tcPr>
            <w:tcW w:w="546" w:type="pct"/>
            <w:vAlign w:val="center"/>
          </w:tcPr>
          <w:p w14:paraId="37BEC442">
            <w:pPr>
              <w:widowControl/>
              <w:spacing w:line="440" w:lineRule="exact"/>
              <w:jc w:val="center"/>
              <w:rPr>
                <w:rFonts w:hint="eastAsia" w:ascii="宋体" w:hAnsi="宋体" w:cs="宋体"/>
                <w:color w:val="auto"/>
                <w:szCs w:val="21"/>
                <w:lang w:eastAsia="en-US"/>
              </w:rPr>
            </w:pPr>
            <w:r>
              <w:rPr>
                <w:rFonts w:hint="eastAsia" w:ascii="宋体" w:hAnsi="宋体" w:cs="宋体"/>
                <w:color w:val="auto"/>
                <w:szCs w:val="21"/>
                <w:lang w:eastAsia="en-US"/>
              </w:rPr>
              <w:t>信誉</w:t>
            </w:r>
          </w:p>
        </w:tc>
        <w:tc>
          <w:tcPr>
            <w:tcW w:w="426" w:type="pct"/>
            <w:vAlign w:val="center"/>
          </w:tcPr>
          <w:p w14:paraId="40FD2670">
            <w:pPr>
              <w:widowControl/>
              <w:spacing w:line="440" w:lineRule="exact"/>
              <w:jc w:val="center"/>
              <w:rPr>
                <w:rFonts w:hint="eastAsia" w:ascii="宋体" w:hAnsi="宋体" w:cs="宋体"/>
                <w:color w:val="auto"/>
                <w:kern w:val="0"/>
                <w:szCs w:val="21"/>
                <w:lang w:eastAsia="en-US"/>
              </w:rPr>
            </w:pPr>
            <w:r>
              <w:rPr>
                <w:rFonts w:hint="eastAsia" w:ascii="宋体" w:hAnsi="宋体" w:cs="宋体"/>
                <w:color w:val="auto"/>
                <w:kern w:val="0"/>
                <w:szCs w:val="21"/>
              </w:rPr>
              <w:t>10</w:t>
            </w:r>
            <w:r>
              <w:rPr>
                <w:rFonts w:hint="eastAsia" w:ascii="宋体" w:hAnsi="宋体" w:cs="宋体"/>
                <w:color w:val="auto"/>
                <w:kern w:val="0"/>
                <w:szCs w:val="21"/>
                <w:lang w:eastAsia="en-US"/>
              </w:rPr>
              <w:t>分</w:t>
            </w:r>
          </w:p>
        </w:tc>
        <w:tc>
          <w:tcPr>
            <w:tcW w:w="3095" w:type="pct"/>
            <w:gridSpan w:val="3"/>
            <w:vAlign w:val="center"/>
          </w:tcPr>
          <w:p w14:paraId="48EE2E18">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满足资格审查条件(信誉要求)，得</w:t>
            </w:r>
            <w:r>
              <w:rPr>
                <w:rFonts w:hint="eastAsia"/>
                <w:color w:val="auto"/>
                <w:sz w:val="21"/>
                <w:szCs w:val="21"/>
                <w:lang w:val="en-US"/>
              </w:rPr>
              <w:t>6</w:t>
            </w:r>
            <w:r>
              <w:rPr>
                <w:rFonts w:hint="eastAsia"/>
                <w:color w:val="auto"/>
                <w:sz w:val="21"/>
                <w:szCs w:val="21"/>
              </w:rPr>
              <w:t>分，加分条件如下：</w:t>
            </w:r>
          </w:p>
          <w:p w14:paraId="39EA9B90">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①202</w:t>
            </w:r>
            <w:r>
              <w:rPr>
                <w:rFonts w:hint="eastAsia"/>
                <w:color w:val="auto"/>
                <w:sz w:val="21"/>
                <w:szCs w:val="21"/>
                <w:lang w:val="en-US" w:eastAsia="zh-CN"/>
              </w:rPr>
              <w:t>3</w:t>
            </w:r>
            <w:r>
              <w:rPr>
                <w:rFonts w:hint="eastAsia"/>
                <w:color w:val="auto"/>
                <w:sz w:val="21"/>
                <w:szCs w:val="21"/>
              </w:rPr>
              <w:t>年度被黑龙江省交通运输厅或202</w:t>
            </w:r>
            <w:r>
              <w:rPr>
                <w:rFonts w:hint="eastAsia"/>
                <w:color w:val="auto"/>
                <w:sz w:val="21"/>
                <w:szCs w:val="21"/>
                <w:lang w:val="en-US"/>
              </w:rPr>
              <w:t>3</w:t>
            </w:r>
            <w:r>
              <w:rPr>
                <w:rFonts w:hint="eastAsia"/>
                <w:color w:val="auto"/>
                <w:sz w:val="21"/>
                <w:szCs w:val="21"/>
              </w:rPr>
              <w:t>年度被交通运输部认定为施工企业AA级信用评价等级的，加</w:t>
            </w:r>
            <w:r>
              <w:rPr>
                <w:rFonts w:hint="eastAsia"/>
                <w:color w:val="auto"/>
                <w:sz w:val="21"/>
                <w:szCs w:val="21"/>
                <w:lang w:val="en-US"/>
              </w:rPr>
              <w:t>4</w:t>
            </w:r>
            <w:r>
              <w:rPr>
                <w:rFonts w:hint="eastAsia"/>
                <w:color w:val="auto"/>
                <w:sz w:val="21"/>
                <w:szCs w:val="21"/>
              </w:rPr>
              <w:t>分</w:t>
            </w:r>
            <w:r>
              <w:rPr>
                <w:rFonts w:hint="eastAsia"/>
                <w:color w:val="auto"/>
                <w:sz w:val="21"/>
                <w:szCs w:val="21"/>
                <w:lang w:val="en-US"/>
              </w:rPr>
              <w:t>；</w:t>
            </w:r>
          </w:p>
          <w:p w14:paraId="57A2179C">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②202</w:t>
            </w:r>
            <w:r>
              <w:rPr>
                <w:rFonts w:hint="eastAsia"/>
                <w:color w:val="auto"/>
                <w:sz w:val="21"/>
                <w:szCs w:val="21"/>
                <w:lang w:val="en-US" w:eastAsia="zh-CN"/>
              </w:rPr>
              <w:t>3</w:t>
            </w:r>
            <w:r>
              <w:rPr>
                <w:rFonts w:hint="eastAsia"/>
                <w:color w:val="auto"/>
                <w:sz w:val="21"/>
                <w:szCs w:val="21"/>
              </w:rPr>
              <w:t>年度被黑龙江省交通运输厅或202</w:t>
            </w:r>
            <w:r>
              <w:rPr>
                <w:rFonts w:hint="eastAsia"/>
                <w:color w:val="auto"/>
                <w:sz w:val="21"/>
                <w:szCs w:val="21"/>
                <w:lang w:val="en-US"/>
              </w:rPr>
              <w:t>3</w:t>
            </w:r>
            <w:r>
              <w:rPr>
                <w:rFonts w:hint="eastAsia"/>
                <w:color w:val="auto"/>
                <w:sz w:val="21"/>
                <w:szCs w:val="21"/>
              </w:rPr>
              <w:t>年度被交通运输部认定为施工企业A级信用评价等级的，加</w:t>
            </w:r>
            <w:r>
              <w:rPr>
                <w:rFonts w:hint="eastAsia"/>
                <w:color w:val="auto"/>
                <w:sz w:val="21"/>
                <w:szCs w:val="21"/>
                <w:lang w:val="en-US"/>
              </w:rPr>
              <w:t>2</w:t>
            </w:r>
            <w:r>
              <w:rPr>
                <w:rFonts w:hint="eastAsia"/>
                <w:color w:val="auto"/>
                <w:sz w:val="21"/>
                <w:szCs w:val="21"/>
              </w:rPr>
              <w:t>分；</w:t>
            </w:r>
          </w:p>
          <w:p w14:paraId="7A49BCC2">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③</w:t>
            </w:r>
            <w:r>
              <w:rPr>
                <w:rFonts w:hint="eastAsia"/>
                <w:color w:val="auto"/>
                <w:sz w:val="21"/>
                <w:szCs w:val="21"/>
                <w:lang w:val="en-US"/>
              </w:rPr>
              <w:t>得分不累加，只计一次最高分，本项最高得分10分。</w:t>
            </w:r>
          </w:p>
          <w:p w14:paraId="5A563E5C">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注：</w:t>
            </w:r>
          </w:p>
          <w:p w14:paraId="6655F076">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w:t>
            </w:r>
            <w:r>
              <w:rPr>
                <w:rFonts w:hint="eastAsia"/>
                <w:color w:val="auto"/>
                <w:sz w:val="21"/>
                <w:szCs w:val="21"/>
                <w:lang w:val="en-US"/>
              </w:rPr>
              <w:t>1</w:t>
            </w:r>
            <w:r>
              <w:rPr>
                <w:rFonts w:hint="eastAsia"/>
                <w:color w:val="auto"/>
                <w:sz w:val="21"/>
                <w:szCs w:val="21"/>
              </w:rPr>
              <w:t>）投标人未参加202</w:t>
            </w:r>
            <w:r>
              <w:rPr>
                <w:rFonts w:hint="eastAsia"/>
                <w:color w:val="auto"/>
                <w:sz w:val="21"/>
                <w:szCs w:val="21"/>
                <w:lang w:val="en-US" w:eastAsia="zh-CN"/>
              </w:rPr>
              <w:t>3</w:t>
            </w:r>
            <w:r>
              <w:rPr>
                <w:rFonts w:hint="eastAsia"/>
                <w:color w:val="auto"/>
                <w:sz w:val="21"/>
                <w:szCs w:val="21"/>
              </w:rPr>
              <w:t>年度黑龙江省交通运输厅公路施工企业信用评价或交通运输部202</w:t>
            </w:r>
            <w:r>
              <w:rPr>
                <w:rFonts w:hint="eastAsia"/>
                <w:color w:val="auto"/>
                <w:sz w:val="21"/>
                <w:szCs w:val="21"/>
                <w:lang w:val="en-US"/>
              </w:rPr>
              <w:t>3</w:t>
            </w:r>
            <w:r>
              <w:rPr>
                <w:rFonts w:hint="eastAsia"/>
                <w:color w:val="auto"/>
                <w:sz w:val="21"/>
                <w:szCs w:val="21"/>
              </w:rPr>
              <w:t>年公路施工企业全国综合信用评价的，采用 202</w:t>
            </w:r>
            <w:r>
              <w:rPr>
                <w:rFonts w:hint="eastAsia"/>
                <w:color w:val="auto"/>
                <w:sz w:val="21"/>
                <w:szCs w:val="21"/>
                <w:lang w:val="en-US" w:eastAsia="zh-CN"/>
              </w:rPr>
              <w:t>2</w:t>
            </w:r>
            <w:r>
              <w:rPr>
                <w:rFonts w:hint="eastAsia"/>
                <w:color w:val="auto"/>
                <w:sz w:val="21"/>
                <w:szCs w:val="21"/>
              </w:rPr>
              <w:t>年黑龙江省交通运输厅公路施工企业信用评价或202</w:t>
            </w:r>
            <w:r>
              <w:rPr>
                <w:rFonts w:hint="eastAsia"/>
                <w:color w:val="auto"/>
                <w:sz w:val="21"/>
                <w:szCs w:val="21"/>
                <w:lang w:val="en-US"/>
              </w:rPr>
              <w:t>2</w:t>
            </w:r>
            <w:r>
              <w:rPr>
                <w:rFonts w:hint="eastAsia"/>
                <w:color w:val="auto"/>
                <w:sz w:val="21"/>
                <w:szCs w:val="21"/>
              </w:rPr>
              <w:t>年交通运输部公路施工企业全国综合信用评价结果。</w:t>
            </w:r>
          </w:p>
          <w:p w14:paraId="37C0AF98">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w:t>
            </w:r>
            <w:r>
              <w:rPr>
                <w:rFonts w:hint="eastAsia"/>
                <w:color w:val="auto"/>
                <w:sz w:val="21"/>
                <w:szCs w:val="21"/>
                <w:lang w:val="en-US"/>
              </w:rPr>
              <w:t>2</w:t>
            </w:r>
            <w:r>
              <w:rPr>
                <w:rFonts w:hint="eastAsia"/>
                <w:color w:val="auto"/>
                <w:sz w:val="21"/>
                <w:szCs w:val="21"/>
              </w:rPr>
              <w:t>）国务院有关部门许可资质的公路施工企业初次进入黑龙江省，其信用评价等级按照其最新一年交通运输部施工企业评价结果确定。尚无交通运输部施工企业评价结果的企业，若无不良信用记录，按A级对待；</w:t>
            </w:r>
          </w:p>
          <w:p w14:paraId="055A8547">
            <w:pPr>
              <w:pStyle w:val="11"/>
              <w:wordWrap w:val="0"/>
              <w:topLinePunct/>
              <w:spacing w:line="440" w:lineRule="exact"/>
              <w:ind w:right="105" w:rightChars="50"/>
              <w:jc w:val="left"/>
              <w:rPr>
                <w:rFonts w:hint="eastAsia"/>
                <w:color w:val="auto"/>
                <w:sz w:val="21"/>
                <w:szCs w:val="21"/>
              </w:rPr>
            </w:pPr>
            <w:r>
              <w:rPr>
                <w:rFonts w:hint="eastAsia"/>
                <w:color w:val="auto"/>
                <w:sz w:val="21"/>
                <w:szCs w:val="21"/>
              </w:rPr>
              <w:t>（</w:t>
            </w:r>
            <w:r>
              <w:rPr>
                <w:rFonts w:hint="eastAsia"/>
                <w:color w:val="auto"/>
                <w:sz w:val="21"/>
                <w:szCs w:val="21"/>
                <w:lang w:val="en-US"/>
              </w:rPr>
              <w:t>3</w:t>
            </w:r>
            <w:r>
              <w:rPr>
                <w:rFonts w:hint="eastAsia"/>
                <w:color w:val="auto"/>
                <w:sz w:val="21"/>
                <w:szCs w:val="21"/>
              </w:rPr>
              <w:t>）省级有关部门许可资质的公路施工企业初次进入黑龙江省，其信用等级参照企业注册地省级交通运输主管部门的省级综合评价结果确定；尚无注册地省级交通运输主管部门的省级综合评价的企业，若无不良信用记录，按A级对待。其他情形不得分。</w:t>
            </w:r>
          </w:p>
          <w:p w14:paraId="3899BCFB">
            <w:pPr>
              <w:pStyle w:val="11"/>
              <w:wordWrap w:val="0"/>
              <w:topLinePunct/>
              <w:spacing w:line="440" w:lineRule="exact"/>
              <w:ind w:right="105" w:rightChars="50"/>
              <w:jc w:val="left"/>
              <w:rPr>
                <w:rFonts w:hint="eastAsia" w:eastAsia="宋体"/>
                <w:color w:val="auto"/>
                <w:sz w:val="21"/>
                <w:szCs w:val="21"/>
                <w:lang w:eastAsia="zh-CN"/>
              </w:rPr>
            </w:pPr>
            <w:r>
              <w:rPr>
                <w:rFonts w:hint="eastAsia"/>
                <w:color w:val="auto"/>
                <w:sz w:val="21"/>
                <w:szCs w:val="21"/>
              </w:rPr>
              <w:t>注：①如果省级和部级评价等级不一致，以最高的信用评价等级认定</w:t>
            </w:r>
            <w:r>
              <w:rPr>
                <w:rFonts w:hint="eastAsia"/>
                <w:color w:val="auto"/>
                <w:sz w:val="21"/>
                <w:szCs w:val="21"/>
                <w:lang w:eastAsia="zh-CN"/>
              </w:rPr>
              <w:t>；</w:t>
            </w:r>
          </w:p>
          <w:p w14:paraId="1136D01A">
            <w:pPr>
              <w:pStyle w:val="11"/>
              <w:wordWrap w:val="0"/>
              <w:topLinePunct/>
              <w:spacing w:line="440" w:lineRule="exact"/>
              <w:ind w:right="105" w:rightChars="50"/>
              <w:jc w:val="left"/>
              <w:rPr>
                <w:rFonts w:hint="default" w:eastAsia="宋体"/>
                <w:color w:val="auto"/>
                <w:sz w:val="21"/>
                <w:szCs w:val="21"/>
                <w:lang w:val="en-US" w:eastAsia="zh-CN"/>
              </w:rPr>
            </w:pPr>
            <w:r>
              <w:rPr>
                <w:rFonts w:hint="eastAsia"/>
                <w:color w:val="auto"/>
                <w:sz w:val="21"/>
                <w:szCs w:val="21"/>
                <w:lang w:eastAsia="zh-CN"/>
              </w:rPr>
              <w:t>②以联合体形式投标的，联合体各成员提供均可。</w:t>
            </w:r>
          </w:p>
        </w:tc>
      </w:tr>
    </w:tbl>
    <w:p w14:paraId="2DC7CFEF">
      <w:pPr>
        <w:spacing w:line="440" w:lineRule="exact"/>
        <w:rPr>
          <w:rFonts w:hint="eastAsia" w:ascii="宋体" w:hAnsi="宋体" w:cs="宋体"/>
          <w:b w:val="0"/>
          <w:bCs w:val="0"/>
          <w:color w:val="auto"/>
          <w:szCs w:val="21"/>
        </w:rPr>
      </w:pPr>
      <w:r>
        <w:rPr>
          <w:rFonts w:hint="eastAsia" w:ascii="宋体" w:hAnsi="宋体" w:cs="宋体"/>
          <w:b w:val="0"/>
          <w:bCs w:val="0"/>
          <w:color w:val="auto"/>
          <w:szCs w:val="21"/>
        </w:rPr>
        <w:t>注：</w:t>
      </w:r>
    </w:p>
    <w:p w14:paraId="30BF9161">
      <w:pPr>
        <w:spacing w:line="440" w:lineRule="exact"/>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1.各评分因素（评标价评分项除外）得分以评标委员会各成员的打分平均值确定（评标委员会成员总数为7人时，该平均值以去掉一个最高分和一个最低分后计算）。评标委员会各成员的单项打分分值小数点后保留一位，计算过程及计算结果小数点后保留两位小数，小数点后第三位“四舍五入”。</w:t>
      </w:r>
    </w:p>
    <w:p w14:paraId="39AA8363">
      <w:pPr>
        <w:spacing w:line="440" w:lineRule="exact"/>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2.投标人所附企业加分业绩应为近5年（20</w:t>
      </w:r>
      <w:r>
        <w:rPr>
          <w:rFonts w:hint="eastAsia" w:ascii="宋体" w:hAnsi="宋体" w:cs="宋体"/>
          <w:b w:val="0"/>
          <w:bCs w:val="0"/>
          <w:color w:val="auto"/>
          <w:szCs w:val="21"/>
          <w:lang w:val="en-US" w:eastAsia="zh-CN"/>
        </w:rPr>
        <w:t>20</w:t>
      </w:r>
      <w:r>
        <w:rPr>
          <w:rFonts w:hint="eastAsia" w:ascii="宋体" w:hAnsi="宋体" w:cs="宋体"/>
          <w:b w:val="0"/>
          <w:bCs w:val="0"/>
          <w:color w:val="auto"/>
          <w:szCs w:val="21"/>
        </w:rPr>
        <w:t>年</w:t>
      </w:r>
      <w:r>
        <w:rPr>
          <w:rFonts w:hint="eastAsia" w:ascii="宋体" w:hAnsi="宋体" w:cs="宋体"/>
          <w:b w:val="0"/>
          <w:bCs w:val="0"/>
          <w:color w:val="auto"/>
          <w:szCs w:val="21"/>
          <w:lang w:val="en-US" w:eastAsia="zh-CN"/>
        </w:rPr>
        <w:t>01</w:t>
      </w:r>
      <w:r>
        <w:rPr>
          <w:rFonts w:hint="eastAsia" w:ascii="宋体" w:hAnsi="宋体" w:cs="宋体"/>
          <w:b w:val="0"/>
          <w:bCs w:val="0"/>
          <w:color w:val="auto"/>
          <w:szCs w:val="21"/>
        </w:rPr>
        <w:t>月01日至投标文件递交截止时间）内完成的项目业绩（以实际交工日期为准），超出此时间范围的业绩不加分。</w:t>
      </w:r>
    </w:p>
    <w:p w14:paraId="62D89101">
      <w:pPr>
        <w:spacing w:line="440" w:lineRule="exact"/>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3.项目经理、项目总工的个人业绩加分项不设年限要求。</w:t>
      </w:r>
    </w:p>
    <w:p w14:paraId="3DBC7B95">
      <w:pPr>
        <w:spacing w:line="440" w:lineRule="exact"/>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4.如单个业绩能同时满足加分条件要求的，则该业绩可分别按照加分条件的要求分别进行加分。如投标人提供高速公路、一级公路业绩的，其里程可折算成2倍的二级公路里程。例如：投标人已完成某条一级、高速公路的里程为5公里，则评标时可折算为：投标人已完成二级公路里程为10公里。</w:t>
      </w:r>
    </w:p>
    <w:p w14:paraId="33F909E1">
      <w:pPr>
        <w:spacing w:line="440" w:lineRule="exact"/>
        <w:ind w:firstLine="420" w:firstLineChars="200"/>
        <w:rPr>
          <w:rFonts w:hint="eastAsia" w:ascii="宋体" w:hAnsi="宋体" w:cs="宋体"/>
          <w:b w:val="0"/>
          <w:bCs w:val="0"/>
          <w:color w:val="auto"/>
          <w:szCs w:val="21"/>
          <w:lang w:eastAsia="zh-CN"/>
        </w:rPr>
      </w:pPr>
      <w:r>
        <w:rPr>
          <w:rFonts w:hint="eastAsia" w:ascii="宋体" w:hAnsi="宋体" w:cs="宋体"/>
          <w:b w:val="0"/>
          <w:bCs w:val="0"/>
          <w:color w:val="auto"/>
          <w:szCs w:val="21"/>
        </w:rPr>
        <w:t>5.业绩加分项要求中的施工项目是指新建或改扩建项目</w:t>
      </w:r>
      <w:r>
        <w:rPr>
          <w:rFonts w:hint="eastAsia" w:ascii="宋体" w:hAnsi="宋体" w:cs="宋体"/>
          <w:b w:val="0"/>
          <w:bCs w:val="0"/>
          <w:color w:val="auto"/>
          <w:szCs w:val="21"/>
          <w:lang w:eastAsia="zh-CN"/>
        </w:rPr>
        <w:t>。</w:t>
      </w:r>
    </w:p>
    <w:p w14:paraId="228DE01B">
      <w:pPr>
        <w:spacing w:line="440" w:lineRule="exact"/>
        <w:ind w:firstLine="420" w:firstLineChars="200"/>
        <w:rPr>
          <w:rFonts w:hint="eastAsia" w:ascii="宋体" w:hAnsi="宋体" w:cs="宋体"/>
          <w:b w:val="0"/>
          <w:bCs w:val="0"/>
          <w:color w:val="auto"/>
          <w:szCs w:val="21"/>
          <w:lang w:eastAsia="zh-CN"/>
        </w:rPr>
      </w:pPr>
      <w:r>
        <w:rPr>
          <w:rFonts w:hint="eastAsia" w:ascii="宋体" w:hAnsi="宋体" w:cs="宋体"/>
          <w:b w:val="0"/>
          <w:bCs w:val="0"/>
          <w:color w:val="auto"/>
          <w:szCs w:val="21"/>
          <w:lang w:val="en-US" w:eastAsia="zh-CN"/>
        </w:rPr>
        <w:t>6.业绩的认定</w:t>
      </w:r>
      <w:r>
        <w:rPr>
          <w:rFonts w:hint="eastAsia" w:ascii="宋体" w:hAnsi="宋体" w:cs="宋体"/>
          <w:b w:val="0"/>
          <w:bCs w:val="0"/>
          <w:color w:val="auto"/>
          <w:szCs w:val="21"/>
          <w:lang w:eastAsia="zh-CN"/>
        </w:rPr>
        <w:t>要求</w:t>
      </w:r>
      <w:r>
        <w:rPr>
          <w:rFonts w:hint="eastAsia" w:ascii="宋体" w:hAnsi="宋体" w:cs="宋体"/>
          <w:b w:val="0"/>
          <w:bCs w:val="0"/>
          <w:color w:val="auto"/>
          <w:szCs w:val="21"/>
          <w:lang w:val="en-US" w:eastAsia="zh-CN"/>
        </w:rPr>
        <w:t>投标</w:t>
      </w:r>
      <w:r>
        <w:rPr>
          <w:rFonts w:hint="eastAsia" w:ascii="宋体" w:hAnsi="宋体" w:cs="宋体"/>
          <w:b w:val="0"/>
          <w:bCs w:val="0"/>
          <w:color w:val="auto"/>
          <w:szCs w:val="21"/>
          <w:lang w:eastAsia="zh-CN"/>
        </w:rPr>
        <w:t>在黑龙江省交通运输厅网站的“黑龙江省公路水路建设市场信用信息管理系统”或交通运输部网站“全国公路建设市场监督管理系统”中能够查询，业绩的认定以查询的业绩截图为准，如果查询不到该业绩的信息或查询的信息与投标人提供的信息不一致，业绩审查时将不予认定。</w:t>
      </w:r>
    </w:p>
    <w:p w14:paraId="0525F7F5">
      <w:pPr>
        <w:spacing w:line="440" w:lineRule="exact"/>
        <w:ind w:firstLine="420" w:firstLineChars="200"/>
        <w:rPr>
          <w:rFonts w:hint="eastAsia" w:ascii="宋体" w:hAnsi="宋体" w:cs="宋体"/>
          <w:b w:val="0"/>
          <w:bCs w:val="0"/>
          <w:color w:val="auto"/>
          <w:szCs w:val="21"/>
          <w:lang w:eastAsia="zh-CN"/>
        </w:rPr>
      </w:pPr>
      <w:r>
        <w:rPr>
          <w:rFonts w:hint="eastAsia" w:ascii="宋体" w:hAnsi="宋体" w:cs="宋体"/>
          <w:b w:val="0"/>
          <w:bCs w:val="0"/>
          <w:color w:val="auto"/>
          <w:szCs w:val="21"/>
          <w:lang w:val="en-US" w:eastAsia="zh-CN"/>
        </w:rPr>
        <w:t>6</w:t>
      </w:r>
      <w:r>
        <w:rPr>
          <w:rFonts w:hint="eastAsia" w:ascii="宋体" w:hAnsi="宋体" w:cs="宋体"/>
          <w:b w:val="0"/>
          <w:bCs w:val="0"/>
          <w:color w:val="auto"/>
          <w:szCs w:val="21"/>
          <w:lang w:eastAsia="zh-CN"/>
        </w:rPr>
        <w:t>.目前黑龙江省交通运输厅网站的“黑龙江省公路水路建设市场信用信息管理系统”进行升级改造,如在投标截止时间前未完成升级改造，投标人应提供交通运输部网站“全国公路建设市场监督管理系统”查询的业绩截图，业绩的认定以“全国公路建设市场监督管理系统”查询的业绩截图为准。</w:t>
      </w:r>
    </w:p>
    <w:p w14:paraId="7670C20C">
      <w:pPr>
        <w:spacing w:line="440" w:lineRule="exact"/>
        <w:ind w:firstLine="420" w:firstLineChars="200"/>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7.以联合体形式投标的，联合体各成员提供的业绩均可。</w:t>
      </w:r>
    </w:p>
    <w:p w14:paraId="7AEC3C90">
      <w:pPr>
        <w:pStyle w:val="2"/>
        <w:rPr>
          <w:rFonts w:hint="eastAsia" w:ascii="宋体" w:hAnsi="宋体" w:cs="宋体"/>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8BFC3"/>
    <w:multiLevelType w:val="singleLevel"/>
    <w:tmpl w:val="0B68BF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B5873"/>
    <w:rsid w:val="339C5337"/>
    <w:rsid w:val="3D6C76C2"/>
    <w:rsid w:val="46C2665A"/>
    <w:rsid w:val="4AA45A61"/>
    <w:rsid w:val="695D4175"/>
    <w:rsid w:val="6B1F558A"/>
    <w:rsid w:val="700F11B1"/>
    <w:rsid w:val="7790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9"/>
    <w:pPr>
      <w:keepNext/>
      <w:keepLines/>
      <w:jc w:val="center"/>
      <w:outlineLvl w:val="0"/>
    </w:pPr>
    <w:rPr>
      <w:rFonts w:ascii="Times New Roman" w:hAnsi="Times New Roman"/>
      <w:kern w:val="44"/>
      <w:sz w:val="52"/>
      <w:szCs w:val="20"/>
    </w:rPr>
  </w:style>
  <w:style w:type="paragraph" w:styleId="6">
    <w:name w:val="heading 3"/>
    <w:basedOn w:val="1"/>
    <w:next w:val="1"/>
    <w:qFormat/>
    <w:uiPriority w:val="99"/>
    <w:pPr>
      <w:keepNext/>
      <w:keepLines/>
      <w:spacing w:before="260" w:after="260" w:line="412" w:lineRule="auto"/>
      <w:ind w:firstLine="49" w:firstLineChars="49"/>
      <w:outlineLvl w:val="2"/>
    </w:pPr>
    <w:rPr>
      <w:rFonts w:ascii="黑体"/>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312" w:lineRule="auto"/>
      <w:ind w:firstLine="420"/>
    </w:pPr>
    <w:rPr>
      <w:szCs w:val="24"/>
    </w:rPr>
  </w:style>
  <w:style w:type="paragraph" w:styleId="3">
    <w:name w:val="Body Text"/>
    <w:basedOn w:val="1"/>
    <w:next w:val="4"/>
    <w:qFormat/>
    <w:uiPriority w:val="99"/>
    <w:pPr>
      <w:spacing w:after="120"/>
    </w:pPr>
    <w:rPr>
      <w:rFonts w:ascii="Times New Roman" w:hAnsi="Times New Roman"/>
      <w:szCs w:val="20"/>
    </w:rPr>
  </w:style>
  <w:style w:type="paragraph" w:styleId="4">
    <w:name w:val="Date"/>
    <w:basedOn w:val="1"/>
    <w:next w:val="1"/>
    <w:qFormat/>
    <w:uiPriority w:val="99"/>
    <w:pPr>
      <w:ind w:left="2500" w:leftChars="2500"/>
    </w:pPr>
    <w:rPr>
      <w:rFonts w:ascii="Times New Roman" w:hAnsi="Times New Roman"/>
      <w:szCs w:val="20"/>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tabs>
        <w:tab w:val="center" w:pos="4153"/>
        <w:tab w:val="right" w:pos="8306"/>
      </w:tabs>
      <w:snapToGrid w:val="0"/>
    </w:pPr>
    <w:rPr>
      <w:rFonts w:ascii="Times New Roman" w:hAnsi="Times New Roman"/>
      <w:sz w:val="18"/>
      <w:szCs w:val="20"/>
    </w:rPr>
  </w:style>
  <w:style w:type="paragraph" w:customStyle="1" w:styleId="11">
    <w:name w:val="Table Paragraph"/>
    <w:basedOn w:val="1"/>
    <w:qFormat/>
    <w:uiPriority w:val="1"/>
    <w:pPr>
      <w:widowControl/>
      <w:jc w:val="center"/>
    </w:pPr>
    <w:rPr>
      <w:rFonts w:ascii="宋体" w:hAnsi="宋体" w:cs="宋体"/>
      <w:kern w:val="0"/>
      <w:sz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5749</Words>
  <Characters>6438</Characters>
  <Lines>0</Lines>
  <Paragraphs>0</Paragraphs>
  <TotalTime>0</TotalTime>
  <ScaleCrop>false</ScaleCrop>
  <LinksUpToDate>false</LinksUpToDate>
  <CharactersWithSpaces>6482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2025-04-23T00:47:00Z</dcterms:created>
  <dc:creator>ASUS</dc:creator>
  <cp:lastModifiedBy>Wu.</cp:lastModifiedBy>
  <dcterms:modified xsi:type="dcterms:W3CDTF">2025-04-23T06:21:33Z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eyJoZGlkIjoiOTA4YWIzZWJmZGQ4MmVhMGJkMDA5MjAxNTViZjczOGQiLCJ1c2VySWQiOiIzNzI4ODUxMDkifQ==</vt:lpwstr>
  </property>
  <property fmtid="{D5CDD505-2E9C-101B-9397-08002B2CF9AE}" pid="4" name="ICV">
    <vt:lpwstr>1D506D9C8774469F840889832EC5E930_12</vt:lpwstr>
  </property>
</Properties>
</file>