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DEB46">
      <w:pPr>
        <w:tabs>
          <w:tab w:val="left" w:pos="1260"/>
          <w:tab w:val="left" w:pos="3220"/>
          <w:tab w:val="left" w:pos="5602"/>
        </w:tabs>
        <w:spacing w:before="0" w:beforeLines="0" w:after="0" w:afterLines="0" w:line="360" w:lineRule="auto"/>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国道丹阿公路同江松花江公路大桥及引道工程项目土建工程</w:t>
      </w:r>
      <w:r>
        <w:rPr>
          <w:rFonts w:hint="eastAsia" w:ascii="宋体" w:hAnsi="宋体" w:eastAsia="宋体" w:cs="宋体"/>
          <w:b/>
          <w:color w:val="auto"/>
          <w:sz w:val="24"/>
          <w:szCs w:val="24"/>
          <w:highlight w:val="none"/>
        </w:rPr>
        <w:t>施工招标公告</w:t>
      </w:r>
    </w:p>
    <w:p w14:paraId="1E765450">
      <w:pPr>
        <w:keepNext w:val="0"/>
        <w:keepLines w:val="0"/>
        <w:pageBreakBefore w:val="0"/>
        <w:widowControl w:val="0"/>
        <w:tabs>
          <w:tab w:val="left" w:pos="1260"/>
        </w:tabs>
        <w:kinsoku/>
        <w:overflowPunct/>
        <w:topLinePunct w:val="0"/>
        <w:autoSpaceDE/>
        <w:autoSpaceDN/>
        <w:bidi w:val="0"/>
        <w:adjustRightInd w:val="0"/>
        <w:snapToGrid w:val="0"/>
        <w:spacing w:beforeLines="0" w:afterLines="0" w:line="360" w:lineRule="auto"/>
        <w:textAlignment w:val="auto"/>
        <w:outlineLvl w:val="1"/>
        <w:rPr>
          <w:rFonts w:hint="eastAsia" w:ascii="宋体" w:hAnsi="宋体" w:eastAsia="宋体" w:cs="宋体"/>
          <w:b/>
          <w:bCs/>
          <w:color w:val="auto"/>
          <w:szCs w:val="21"/>
          <w:highlight w:val="none"/>
        </w:rPr>
      </w:pPr>
      <w:bookmarkStart w:id="0" w:name="_Toc509819250"/>
      <w:bookmarkStart w:id="1" w:name="_Toc509334288"/>
      <w:r>
        <w:rPr>
          <w:rFonts w:hint="eastAsia" w:ascii="宋体" w:hAnsi="宋体" w:eastAsia="宋体" w:cs="宋体"/>
          <w:b/>
          <w:bCs/>
          <w:color w:val="auto"/>
          <w:szCs w:val="21"/>
          <w:highlight w:val="none"/>
        </w:rPr>
        <w:t>1．招标条件</w:t>
      </w:r>
      <w:bookmarkEnd w:id="0"/>
      <w:bookmarkEnd w:id="1"/>
    </w:p>
    <w:p w14:paraId="79AAE876">
      <w:pPr>
        <w:keepNext w:val="0"/>
        <w:keepLines w:val="0"/>
        <w:pageBreakBefore w:val="0"/>
        <w:widowControl w:val="0"/>
        <w:tabs>
          <w:tab w:val="left" w:pos="1260"/>
        </w:tabs>
        <w:kinsoku/>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color w:val="auto"/>
          <w:szCs w:val="21"/>
          <w:highlight w:val="none"/>
          <w:lang w:val="en-US" w:eastAsia="zh-CN"/>
        </w:rPr>
      </w:pPr>
      <w:bookmarkStart w:id="2" w:name="OLE_LINK3"/>
      <w:r>
        <w:rPr>
          <w:rFonts w:hint="eastAsia" w:ascii="宋体" w:hAnsi="宋体" w:cs="宋体"/>
          <w:color w:val="auto"/>
          <w:szCs w:val="21"/>
          <w:highlight w:val="none"/>
          <w:lang w:val="en-US" w:eastAsia="zh-CN"/>
        </w:rPr>
        <w:t>国道丹阿公路同江松花江公路大桥及引道工程项目</w:t>
      </w:r>
      <w:r>
        <w:rPr>
          <w:rFonts w:hint="eastAsia" w:ascii="宋体" w:hAnsi="宋体" w:eastAsia="宋体" w:cs="宋体"/>
          <w:color w:val="auto"/>
          <w:szCs w:val="21"/>
          <w:highlight w:val="none"/>
          <w:lang w:val="en-US" w:eastAsia="zh-CN"/>
        </w:rPr>
        <w:t>（以下简称“本项目”），已由黑龙江省发展和改革委员会以《关于国道丹阿公路同江松花江公路大桥及引道工程项目可行性研究报告的批复》（黑发改交通〔2025〕203号）文件批准建设，初步设计已由黑龙江省交通运输厅以《关于国道丹阿公路同江松花江公路大桥及引道工程初步设计的批复》（黑交发【2025】111号）批准，</w:t>
      </w:r>
      <w:r>
        <w:rPr>
          <w:rFonts w:hint="eastAsia" w:ascii="宋体" w:hAnsi="宋体" w:cs="宋体"/>
          <w:szCs w:val="21"/>
          <w:highlight w:val="none"/>
        </w:rPr>
        <w:t>施工图设计已由黑龙江省交通运输厅以《关于国道丹阿公路同江松花江公路大桥及引道工程施工图设计的批复》（黑交发[202</w:t>
      </w:r>
      <w:r>
        <w:rPr>
          <w:rFonts w:hint="eastAsia" w:ascii="宋体" w:hAnsi="宋体" w:cs="宋体"/>
          <w:szCs w:val="21"/>
          <w:highlight w:val="none"/>
          <w:lang w:eastAsia="zh-CN"/>
        </w:rPr>
        <w:t>5</w:t>
      </w:r>
      <w:r>
        <w:rPr>
          <w:rFonts w:hint="eastAsia" w:ascii="宋体" w:hAnsi="宋体" w:cs="宋体"/>
          <w:szCs w:val="21"/>
          <w:highlight w:val="none"/>
        </w:rPr>
        <w:t>]</w:t>
      </w:r>
      <w:r>
        <w:rPr>
          <w:rFonts w:hint="eastAsia" w:ascii="宋体" w:hAnsi="宋体" w:cs="宋体"/>
          <w:szCs w:val="21"/>
          <w:highlight w:val="none"/>
          <w:lang w:val="en-US" w:eastAsia="zh-CN"/>
        </w:rPr>
        <w:t>136</w:t>
      </w:r>
      <w:r>
        <w:rPr>
          <w:rFonts w:hint="eastAsia" w:ascii="宋体" w:hAnsi="宋体" w:cs="宋体"/>
          <w:szCs w:val="21"/>
          <w:highlight w:val="none"/>
        </w:rPr>
        <w:t>号）批准，</w:t>
      </w:r>
      <w:r>
        <w:rPr>
          <w:rFonts w:hint="eastAsia" w:ascii="宋体" w:hAnsi="宋体" w:eastAsia="宋体" w:cs="宋体"/>
          <w:color w:val="auto"/>
          <w:szCs w:val="21"/>
          <w:highlight w:val="none"/>
          <w:lang w:val="en-US" w:eastAsia="zh-CN"/>
        </w:rPr>
        <w:t>项目建设资金已落实，来源为</w:t>
      </w:r>
      <w:r>
        <w:rPr>
          <w:rFonts w:hint="eastAsia" w:ascii="宋体" w:hAnsi="宋体" w:cs="宋体"/>
          <w:color w:val="auto"/>
          <w:szCs w:val="21"/>
          <w:highlight w:val="none"/>
          <w:lang w:val="en-US" w:eastAsia="zh-CN"/>
        </w:rPr>
        <w:t>交通领域重点项目资金、省本级一般债券资金、地方配套资金</w:t>
      </w:r>
      <w:r>
        <w:rPr>
          <w:rFonts w:hint="eastAsia" w:ascii="宋体" w:hAnsi="宋体" w:eastAsia="宋体" w:cs="宋体"/>
          <w:color w:val="auto"/>
          <w:szCs w:val="21"/>
          <w:highlight w:val="none"/>
          <w:lang w:val="en-US" w:eastAsia="zh-CN"/>
        </w:rPr>
        <w:t>。项目业主即招标人为黑龙江省公路建设中心。项目已具备招标条件，现对本项目的</w:t>
      </w:r>
      <w:r>
        <w:rPr>
          <w:rFonts w:hint="eastAsia" w:ascii="宋体" w:hAnsi="宋体" w:cs="宋体"/>
          <w:color w:val="auto"/>
          <w:szCs w:val="21"/>
          <w:highlight w:val="none"/>
          <w:lang w:val="en-US" w:eastAsia="zh-CN"/>
        </w:rPr>
        <w:t>土建</w:t>
      </w:r>
      <w:r>
        <w:rPr>
          <w:rFonts w:hint="eastAsia" w:ascii="宋体" w:hAnsi="宋体" w:eastAsia="宋体" w:cs="宋体"/>
          <w:color w:val="auto"/>
          <w:szCs w:val="21"/>
          <w:highlight w:val="none"/>
          <w:lang w:val="en-US" w:eastAsia="zh-CN"/>
        </w:rPr>
        <w:t>工程进行施工公开招标。</w:t>
      </w:r>
    </w:p>
    <w:bookmarkEnd w:id="2"/>
    <w:p w14:paraId="7676FE64">
      <w:pPr>
        <w:keepNext w:val="0"/>
        <w:keepLines w:val="0"/>
        <w:pageBreakBefore w:val="0"/>
        <w:widowControl w:val="0"/>
        <w:tabs>
          <w:tab w:val="left" w:pos="1260"/>
        </w:tabs>
        <w:kinsoku/>
        <w:overflowPunct/>
        <w:topLinePunct w:val="0"/>
        <w:autoSpaceDE/>
        <w:autoSpaceDN/>
        <w:bidi w:val="0"/>
        <w:adjustRightInd w:val="0"/>
        <w:snapToGrid w:val="0"/>
        <w:spacing w:beforeLines="0" w:afterLines="0" w:line="360" w:lineRule="auto"/>
        <w:textAlignment w:val="auto"/>
        <w:outlineLvl w:val="1"/>
        <w:rPr>
          <w:rFonts w:hint="eastAsia" w:ascii="宋体" w:hAnsi="宋体" w:eastAsia="宋体" w:cs="宋体"/>
          <w:b/>
          <w:bCs/>
          <w:color w:val="auto"/>
          <w:szCs w:val="21"/>
          <w:highlight w:val="none"/>
        </w:rPr>
      </w:pPr>
      <w:bookmarkStart w:id="3" w:name="_Toc509334289"/>
      <w:bookmarkStart w:id="4" w:name="_Toc509819251"/>
      <w:r>
        <w:rPr>
          <w:rFonts w:hint="eastAsia" w:ascii="宋体" w:hAnsi="宋体" w:eastAsia="宋体" w:cs="宋体"/>
          <w:b/>
          <w:bCs/>
          <w:color w:val="auto"/>
          <w:szCs w:val="21"/>
          <w:highlight w:val="none"/>
        </w:rPr>
        <w:t>2．项目概况</w:t>
      </w:r>
      <w:bookmarkEnd w:id="3"/>
      <w:r>
        <w:rPr>
          <w:rFonts w:hint="eastAsia" w:ascii="宋体" w:hAnsi="宋体" w:eastAsia="宋体" w:cs="宋体"/>
          <w:b/>
          <w:bCs/>
          <w:color w:val="auto"/>
          <w:szCs w:val="21"/>
          <w:highlight w:val="none"/>
        </w:rPr>
        <w:t>和招标范围</w:t>
      </w:r>
      <w:bookmarkEnd w:id="4"/>
    </w:p>
    <w:p w14:paraId="14918D1A">
      <w:pPr>
        <w:keepNext w:val="0"/>
        <w:keepLines w:val="0"/>
        <w:pageBreakBefore w:val="0"/>
        <w:widowControl w:val="0"/>
        <w:tabs>
          <w:tab w:val="left" w:pos="1260"/>
        </w:tabs>
        <w:kinsoku/>
        <w:overflowPunct/>
        <w:topLinePunct w:val="0"/>
        <w:autoSpaceDE/>
        <w:autoSpaceDN/>
        <w:bidi w:val="0"/>
        <w:adjustRightInd w:val="0"/>
        <w:snapToGrid w:val="0"/>
        <w:spacing w:beforeLines="0" w:afterLines="0" w:line="360" w:lineRule="auto"/>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lang w:val="zh-CN"/>
        </w:rPr>
        <w:t>2.1建设规模</w:t>
      </w:r>
    </w:p>
    <w:p w14:paraId="4C8C29D4">
      <w:pPr>
        <w:keepNext w:val="0"/>
        <w:keepLines w:val="0"/>
        <w:pageBreakBefore w:val="0"/>
        <w:widowControl w:val="0"/>
        <w:tabs>
          <w:tab w:val="left" w:pos="1260"/>
        </w:tabs>
        <w:kinsoku/>
        <w:overflowPunct/>
        <w:topLinePunct w:val="0"/>
        <w:autoSpaceDE/>
        <w:autoSpaceDN/>
        <w:bidi w:val="0"/>
        <w:adjustRightInd w:val="0"/>
        <w:snapToGrid w:val="0"/>
        <w:spacing w:beforeLines="0" w:afterLines="0" w:line="360" w:lineRule="auto"/>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本项目路线全长13.63公里，其中：新建13.63公里。全线采用二级公路标准，设计速度80公里/小时，路基宽度12米，沥青混凝土路面宽度10.5米。全线共设桥梁5849.72米/3座，其中：特大桥5741米/1座，中桥108.72米/2座，涵洞13道；设互通式立体交叉1处，平面交叉10处，养护道班1处，简易停车区2处，交调站1处。</w:t>
      </w:r>
    </w:p>
    <w:p w14:paraId="791FD337">
      <w:pPr>
        <w:keepNext w:val="0"/>
        <w:keepLines w:val="0"/>
        <w:pageBreakBefore w:val="0"/>
        <w:widowControl w:val="0"/>
        <w:tabs>
          <w:tab w:val="left" w:pos="1260"/>
        </w:tabs>
        <w:kinsoku/>
        <w:overflowPunct/>
        <w:topLinePunct w:val="0"/>
        <w:autoSpaceDE/>
        <w:autoSpaceDN/>
        <w:bidi w:val="0"/>
        <w:adjustRightInd w:val="0"/>
        <w:snapToGrid w:val="0"/>
        <w:spacing w:beforeLines="0" w:afterLines="0" w:line="360" w:lineRule="auto"/>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特大桥起点桩号K2604+762,终点桩号K2610+503，桥梁全长5741米，分别包括同江侧堤防背水侧引桥2x40米+3x40米预应力混凝土简支转连续箱梁，同江侧跨堤桥36.5米+65米+36.5米预应力混凝土连续箱梁，同江侧堤防迎水侧引桥12x（3x40米）预应力混凝土简支转连续箱梁，汊河桥55米+3x90米+55米预应力混凝土连续箱梁，沙洲引桥2x40+3x（3x40米）预应力混凝土简支转连续箱梁，主桥115+2x280+115米混凝土斜拉桥，绥滨侧堤防迎水侧引桥15x（3x40米）+3x35米预应力混凝土简支转连续箱梁，绥滨侧跨堤桥55米+90米+55米预应力混凝土连续箱梁，绥滨侧堤防背水侧引桥3x40米+2x40米预应力混凝土简支转连续箱梁，主桥跨越主河槽，绥滨侧主孔为通航孔。</w:t>
      </w:r>
    </w:p>
    <w:p w14:paraId="51F48D45">
      <w:pPr>
        <w:keepNext w:val="0"/>
        <w:keepLines w:val="0"/>
        <w:pageBreakBefore w:val="0"/>
        <w:widowControl w:val="0"/>
        <w:tabs>
          <w:tab w:val="left" w:pos="1260"/>
        </w:tabs>
        <w:kinsoku/>
        <w:overflowPunct/>
        <w:topLinePunct w:val="0"/>
        <w:autoSpaceDE/>
        <w:autoSpaceDN/>
        <w:bidi w:val="0"/>
        <w:adjustRightInd w:val="0"/>
        <w:snapToGrid w:val="0"/>
        <w:spacing w:beforeLines="0" w:afterLines="0" w:line="360" w:lineRule="auto"/>
        <w:ind w:firstLine="420" w:firstLineChars="200"/>
        <w:jc w:val="both"/>
        <w:textAlignment w:val="auto"/>
        <w:rPr>
          <w:rFonts w:hint="eastAsia" w:ascii="宋体" w:hAnsi="宋体" w:cs="宋体"/>
          <w:color w:val="auto"/>
          <w:highlight w:val="none"/>
        </w:rPr>
      </w:pPr>
      <w:r>
        <w:rPr>
          <w:rFonts w:hint="eastAsia" w:ascii="宋体" w:hAnsi="宋体" w:cs="宋体"/>
          <w:color w:val="auto"/>
          <w:highlight w:val="none"/>
        </w:rPr>
        <w:t>本项目概算总金额</w:t>
      </w:r>
      <w:r>
        <w:rPr>
          <w:rFonts w:hint="eastAsia" w:ascii="宋体" w:hAnsi="宋体" w:cs="宋体"/>
          <w:color w:val="auto"/>
          <w:highlight w:val="none"/>
          <w:lang w:val="en-US" w:eastAsia="zh-CN"/>
        </w:rPr>
        <w:t>12.99</w:t>
      </w:r>
      <w:r>
        <w:rPr>
          <w:rFonts w:hint="eastAsia" w:ascii="宋体" w:hAnsi="宋体" w:cs="宋体"/>
          <w:color w:val="auto"/>
          <w:highlight w:val="none"/>
        </w:rPr>
        <w:t>亿</w:t>
      </w:r>
      <w:r>
        <w:rPr>
          <w:rFonts w:hint="eastAsia" w:ascii="宋体" w:hAnsi="宋体" w:cs="宋体"/>
          <w:color w:val="auto"/>
          <w:highlight w:val="none"/>
          <w:lang w:eastAsia="zh-CN"/>
        </w:rPr>
        <w:t>。</w:t>
      </w:r>
    </w:p>
    <w:p w14:paraId="701DB105">
      <w:pPr>
        <w:tabs>
          <w:tab w:val="left" w:pos="1260"/>
        </w:tabs>
        <w:adjustRightInd w:val="0"/>
        <w:snapToGrid w:val="0"/>
        <w:spacing w:beforeLines="0" w:afterLines="0" w:line="360" w:lineRule="auto"/>
        <w:ind w:firstLine="420" w:firstLineChars="200"/>
        <w:rPr>
          <w:rFonts w:hint="eastAsia"/>
        </w:rPr>
      </w:pPr>
      <w:r>
        <w:rPr>
          <w:rFonts w:hint="eastAsia" w:ascii="宋体" w:hAnsi="宋体" w:eastAsia="宋体" w:cs="宋体"/>
          <w:color w:val="auto"/>
          <w:szCs w:val="21"/>
          <w:highlight w:val="none"/>
        </w:rPr>
        <w:t>2.2建设地点：</w:t>
      </w:r>
      <w:r>
        <w:rPr>
          <w:rFonts w:hint="eastAsia" w:ascii="宋体" w:hAnsi="宋体" w:cs="宋体"/>
          <w:color w:val="auto"/>
          <w:szCs w:val="21"/>
          <w:highlight w:val="none"/>
          <w:lang w:eastAsia="zh-CN"/>
        </w:rPr>
        <w:t>同江市、绥滨县</w:t>
      </w:r>
      <w:r>
        <w:rPr>
          <w:rFonts w:hint="eastAsia" w:ascii="宋体" w:hAnsi="宋体" w:eastAsia="宋体" w:cs="宋体"/>
          <w:color w:val="auto"/>
          <w:szCs w:val="21"/>
          <w:highlight w:val="none"/>
        </w:rPr>
        <w:t>。</w:t>
      </w:r>
    </w:p>
    <w:p w14:paraId="100782F2">
      <w:pPr>
        <w:keepNext w:val="0"/>
        <w:keepLines w:val="0"/>
        <w:pageBreakBefore w:val="0"/>
        <w:widowControl w:val="0"/>
        <w:tabs>
          <w:tab w:val="left" w:pos="1260"/>
        </w:tabs>
        <w:kinsoku/>
        <w:overflowPunct/>
        <w:topLinePunct w:val="0"/>
        <w:autoSpaceDE/>
        <w:autoSpaceDN/>
        <w:bidi w:val="0"/>
        <w:adjustRightInd w:val="0"/>
        <w:snapToGrid w:val="0"/>
        <w:spacing w:beforeLines="0" w:afterLines="0" w:line="360" w:lineRule="auto"/>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2.3计划工期：</w:t>
      </w:r>
      <w:r>
        <w:rPr>
          <w:rFonts w:hint="eastAsia" w:ascii="宋体" w:hAnsi="宋体" w:cs="宋体"/>
          <w:color w:val="auto"/>
          <w:szCs w:val="21"/>
          <w:highlight w:val="none"/>
          <w:lang w:eastAsia="zh-CN"/>
        </w:rPr>
        <w:t>2025年7月至2029年7月，共计48个月，缺陷责任期24个月</w:t>
      </w:r>
      <w:r>
        <w:rPr>
          <w:rFonts w:hint="eastAsia" w:ascii="宋体" w:hAnsi="宋体" w:eastAsia="宋体" w:cs="宋体"/>
          <w:color w:val="auto"/>
          <w:szCs w:val="21"/>
          <w:highlight w:val="none"/>
        </w:rPr>
        <w:t>，上述时间仅作为编制投标文件的统一标准，实际开工日期按施工合同相关条款规定执行。</w:t>
      </w:r>
    </w:p>
    <w:p w14:paraId="6386E4FC">
      <w:pPr>
        <w:keepNext w:val="0"/>
        <w:keepLines w:val="0"/>
        <w:pageBreakBefore w:val="0"/>
        <w:widowControl w:val="0"/>
        <w:tabs>
          <w:tab w:val="left" w:pos="1260"/>
        </w:tabs>
        <w:kinsoku/>
        <w:overflowPunct/>
        <w:topLinePunct w:val="0"/>
        <w:autoSpaceDE/>
        <w:autoSpaceDN/>
        <w:bidi w:val="0"/>
        <w:adjustRightInd w:val="0"/>
        <w:snapToGrid w:val="0"/>
        <w:spacing w:beforeLines="0" w:afterLines="0" w:line="360" w:lineRule="auto"/>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2.4招标范围：本项目路基、路面、桥涵、交叉、环保绿化等工程施工及缺陷责任修复的全部内容。</w:t>
      </w:r>
    </w:p>
    <w:p w14:paraId="76B47FD2">
      <w:pPr>
        <w:keepNext w:val="0"/>
        <w:keepLines w:val="0"/>
        <w:pageBreakBefore w:val="0"/>
        <w:widowControl w:val="0"/>
        <w:tabs>
          <w:tab w:val="left" w:pos="1260"/>
        </w:tabs>
        <w:kinsoku/>
        <w:overflowPunct/>
        <w:topLinePunct w:val="0"/>
        <w:autoSpaceDE/>
        <w:autoSpaceDN/>
        <w:bidi w:val="0"/>
        <w:adjustRightInd w:val="0"/>
        <w:snapToGrid w:val="0"/>
        <w:spacing w:beforeLines="0" w:afterLines="0" w:line="360" w:lineRule="auto"/>
        <w:ind w:firstLine="420" w:firstLineChars="20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2.5质量要求：</w:t>
      </w:r>
      <w:r>
        <w:rPr>
          <w:rFonts w:hint="eastAsia" w:ascii="宋体" w:hAnsi="宋体" w:eastAsia="宋体" w:cs="宋体"/>
          <w:color w:val="auto"/>
          <w:szCs w:val="21"/>
          <w:highlight w:val="none"/>
          <w:lang w:eastAsia="zh-CN"/>
        </w:rPr>
        <w:t>工程质量符合《公路工程质量检验评定标准》（JTG F80∕1-2017）；竣（交）工验收依据《公路工程竣（交）工验收办法实施细则》（交公路发[2010]65号）规定，标段交工验收质量评定合格，</w:t>
      </w:r>
      <w:r>
        <w:rPr>
          <w:rFonts w:hint="eastAsia" w:ascii="宋体" w:hAnsi="宋体" w:cs="宋体"/>
          <w:color w:val="auto"/>
          <w:szCs w:val="21"/>
          <w:highlight w:val="none"/>
          <w:lang w:eastAsia="zh-CN"/>
        </w:rPr>
        <w:t>竣工验收质量等级优良</w:t>
      </w:r>
      <w:r>
        <w:rPr>
          <w:rFonts w:hint="eastAsia" w:ascii="宋体" w:hAnsi="宋体" w:eastAsia="宋体" w:cs="宋体"/>
          <w:color w:val="auto"/>
          <w:szCs w:val="21"/>
          <w:highlight w:val="none"/>
          <w:lang w:eastAsia="zh-CN"/>
        </w:rPr>
        <w:t>。</w:t>
      </w:r>
    </w:p>
    <w:p w14:paraId="24618D35">
      <w:pPr>
        <w:keepNext w:val="0"/>
        <w:keepLines w:val="0"/>
        <w:pageBreakBefore w:val="0"/>
        <w:widowControl w:val="0"/>
        <w:tabs>
          <w:tab w:val="left" w:pos="1260"/>
        </w:tabs>
        <w:kinsoku/>
        <w:overflowPunct/>
        <w:topLinePunct w:val="0"/>
        <w:autoSpaceDE/>
        <w:autoSpaceDN/>
        <w:bidi w:val="0"/>
        <w:adjustRightInd w:val="0"/>
        <w:snapToGrid w:val="0"/>
        <w:spacing w:beforeLines="0" w:afterLines="0" w:line="360" w:lineRule="auto"/>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2.6安全目标：</w:t>
      </w:r>
      <w:r>
        <w:rPr>
          <w:rFonts w:hint="eastAsia" w:ascii="宋体" w:hAnsi="宋体" w:eastAsia="宋体" w:cs="宋体"/>
          <w:color w:val="auto"/>
          <w:sz w:val="21"/>
          <w:szCs w:val="21"/>
          <w:highlight w:val="none"/>
          <w:lang w:eastAsia="zh-CN"/>
        </w:rPr>
        <w:t>在项目建设过程中坚决杜绝重大、特重大安全责任事故，避免发生较大安全责任事故，减少一般安全责任事故，实现安全责任事故零死亡</w:t>
      </w:r>
      <w:r>
        <w:rPr>
          <w:rFonts w:hint="eastAsia" w:ascii="宋体" w:hAnsi="宋体" w:eastAsia="宋体" w:cs="宋体"/>
          <w:color w:val="auto"/>
          <w:szCs w:val="21"/>
          <w:highlight w:val="none"/>
        </w:rPr>
        <w:t>。</w:t>
      </w:r>
    </w:p>
    <w:p w14:paraId="551D3198">
      <w:pPr>
        <w:keepNext w:val="0"/>
        <w:keepLines w:val="0"/>
        <w:pageBreakBefore w:val="0"/>
        <w:widowControl w:val="0"/>
        <w:tabs>
          <w:tab w:val="left" w:pos="1260"/>
        </w:tabs>
        <w:kinsoku/>
        <w:overflowPunct/>
        <w:topLinePunct w:val="0"/>
        <w:autoSpaceDE/>
        <w:autoSpaceDN/>
        <w:bidi w:val="0"/>
        <w:adjustRightInd w:val="0"/>
        <w:snapToGrid w:val="0"/>
        <w:spacing w:beforeLines="0" w:afterLines="0" w:line="360" w:lineRule="auto"/>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2.7标段划分：本次招标共划分为</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个施工标段，</w:t>
      </w:r>
      <w:r>
        <w:rPr>
          <w:rFonts w:hint="eastAsia" w:ascii="宋体" w:hAnsi="宋体" w:cs="宋体"/>
          <w:color w:val="auto"/>
          <w:szCs w:val="21"/>
          <w:highlight w:val="none"/>
          <w:lang w:val="en-US" w:eastAsia="zh-CN"/>
        </w:rPr>
        <w:t>各标段里程、公路等级、主要工程内容等情况见下表</w:t>
      </w:r>
      <w:r>
        <w:rPr>
          <w:rFonts w:hint="eastAsia" w:ascii="宋体" w:hAnsi="宋体" w:eastAsia="宋体" w:cs="宋体"/>
          <w:color w:val="auto"/>
          <w:szCs w:val="21"/>
          <w:highlight w:val="none"/>
        </w:rPr>
        <w:t>：</w:t>
      </w:r>
    </w:p>
    <w:tbl>
      <w:tblPr>
        <w:tblStyle w:val="9"/>
        <w:tblW w:w="91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5"/>
        <w:gridCol w:w="2023"/>
        <w:gridCol w:w="1254"/>
        <w:gridCol w:w="791"/>
        <w:gridCol w:w="3109"/>
        <w:gridCol w:w="1425"/>
      </w:tblGrid>
      <w:tr w14:paraId="56D98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565" w:type="dxa"/>
            <w:tcBorders>
              <w:bottom w:val="single" w:color="000000" w:sz="4" w:space="0"/>
              <w:right w:val="single" w:color="000000" w:sz="4" w:space="0"/>
            </w:tcBorders>
            <w:shd w:val="clear" w:color="auto" w:fill="auto"/>
            <w:vAlign w:val="center"/>
          </w:tcPr>
          <w:p w14:paraId="2608F41A">
            <w:pPr>
              <w:spacing w:beforeLines="0" w:afterLines="0"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标段</w:t>
            </w:r>
          </w:p>
        </w:tc>
        <w:tc>
          <w:tcPr>
            <w:tcW w:w="2023" w:type="dxa"/>
            <w:tcBorders>
              <w:left w:val="single" w:color="000000" w:sz="4" w:space="0"/>
              <w:bottom w:val="single" w:color="000000" w:sz="4" w:space="0"/>
              <w:right w:val="single" w:color="000000" w:sz="4" w:space="0"/>
            </w:tcBorders>
            <w:shd w:val="clear" w:color="auto" w:fill="auto"/>
            <w:vAlign w:val="center"/>
          </w:tcPr>
          <w:p w14:paraId="159FB19A">
            <w:pPr>
              <w:spacing w:beforeLines="0" w:afterLines="0"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桩号</w:t>
            </w:r>
          </w:p>
        </w:tc>
        <w:tc>
          <w:tcPr>
            <w:tcW w:w="1254" w:type="dxa"/>
            <w:tcBorders>
              <w:left w:val="single" w:color="000000" w:sz="4" w:space="0"/>
              <w:bottom w:val="single" w:color="000000" w:sz="4" w:space="0"/>
              <w:right w:val="single" w:color="000000" w:sz="4" w:space="0"/>
            </w:tcBorders>
            <w:shd w:val="clear" w:color="auto" w:fill="auto"/>
            <w:vAlign w:val="center"/>
          </w:tcPr>
          <w:p w14:paraId="197C4DC2">
            <w:pPr>
              <w:spacing w:beforeLines="0" w:afterLines="0"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里程</w:t>
            </w:r>
          </w:p>
          <w:p w14:paraId="415CAFE4">
            <w:pPr>
              <w:spacing w:beforeLines="0" w:afterLines="0"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（公里）</w:t>
            </w:r>
          </w:p>
        </w:tc>
        <w:tc>
          <w:tcPr>
            <w:tcW w:w="791" w:type="dxa"/>
            <w:tcBorders>
              <w:left w:val="single" w:color="000000" w:sz="4" w:space="0"/>
              <w:bottom w:val="single" w:color="000000" w:sz="4" w:space="0"/>
              <w:right w:val="single" w:color="000000" w:sz="4" w:space="0"/>
            </w:tcBorders>
            <w:shd w:val="clear" w:color="auto" w:fill="auto"/>
            <w:vAlign w:val="center"/>
          </w:tcPr>
          <w:p w14:paraId="7AFE8163">
            <w:pPr>
              <w:spacing w:beforeLines="0" w:afterLines="0"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公路等级</w:t>
            </w:r>
          </w:p>
        </w:tc>
        <w:tc>
          <w:tcPr>
            <w:tcW w:w="3109" w:type="dxa"/>
            <w:tcBorders>
              <w:left w:val="single" w:color="000000" w:sz="4" w:space="0"/>
              <w:bottom w:val="single" w:color="000000" w:sz="4" w:space="0"/>
              <w:right w:val="single" w:color="000000" w:sz="4" w:space="0"/>
            </w:tcBorders>
            <w:shd w:val="clear" w:color="auto" w:fill="auto"/>
            <w:vAlign w:val="center"/>
          </w:tcPr>
          <w:p w14:paraId="4DB55CD8">
            <w:pPr>
              <w:spacing w:beforeLines="0" w:afterLines="0"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主要工程内容</w:t>
            </w:r>
          </w:p>
        </w:tc>
        <w:tc>
          <w:tcPr>
            <w:tcW w:w="1425" w:type="dxa"/>
            <w:tcBorders>
              <w:left w:val="single" w:color="000000" w:sz="4" w:space="0"/>
              <w:bottom w:val="single" w:color="000000" w:sz="4" w:space="0"/>
            </w:tcBorders>
            <w:shd w:val="clear" w:color="auto" w:fill="auto"/>
            <w:vAlign w:val="center"/>
          </w:tcPr>
          <w:p w14:paraId="2FE3C065">
            <w:pPr>
              <w:spacing w:beforeLines="0" w:afterLines="0"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预估金额</w:t>
            </w:r>
          </w:p>
          <w:p w14:paraId="5D47FF7A">
            <w:pPr>
              <w:spacing w:beforeLines="0" w:afterLines="0"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（万元）</w:t>
            </w:r>
          </w:p>
        </w:tc>
      </w:tr>
      <w:tr w14:paraId="65579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565" w:type="dxa"/>
            <w:tcBorders>
              <w:top w:val="single" w:color="000000" w:sz="4" w:space="0"/>
              <w:bottom w:val="single" w:color="000000" w:sz="4" w:space="0"/>
              <w:right w:val="single" w:color="000000" w:sz="4" w:space="0"/>
            </w:tcBorders>
            <w:shd w:val="clear" w:color="auto" w:fill="auto"/>
            <w:vAlign w:val="center"/>
          </w:tcPr>
          <w:p w14:paraId="4716F6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A1</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5C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K2601+900-K2604+762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78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2.862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30A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二级</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296E">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sz w:val="21"/>
                <w:szCs w:val="21"/>
                <w:highlight w:val="none"/>
                <w:u w:val="none"/>
              </w:rPr>
              <w:t>引道路基、基层2</w:t>
            </w:r>
            <w:r>
              <w:rPr>
                <w:rFonts w:hint="eastAsia" w:ascii="宋体" w:hAnsi="宋体" w:eastAsia="宋体" w:cs="宋体"/>
                <w:i w:val="0"/>
                <w:iCs w:val="0"/>
                <w:color w:val="000000"/>
                <w:sz w:val="21"/>
                <w:szCs w:val="21"/>
                <w:highlight w:val="none"/>
                <w:u w:val="none"/>
                <w:lang w:val="en-US" w:eastAsia="zh-CN"/>
              </w:rPr>
              <w:t>.862</w:t>
            </w:r>
            <w:r>
              <w:rPr>
                <w:rFonts w:hint="eastAsia" w:ascii="宋体" w:hAnsi="宋体" w:eastAsia="宋体" w:cs="宋体"/>
                <w:i w:val="0"/>
                <w:iCs w:val="0"/>
                <w:color w:val="000000"/>
                <w:sz w:val="21"/>
                <w:szCs w:val="21"/>
                <w:highlight w:val="none"/>
                <w:u w:val="none"/>
              </w:rPr>
              <w:t>公里，曙光互通，涵洞</w:t>
            </w:r>
            <w:r>
              <w:rPr>
                <w:rFonts w:hint="eastAsia" w:ascii="宋体" w:hAnsi="宋体" w:eastAsia="宋体" w:cs="宋体"/>
                <w:i w:val="0"/>
                <w:iCs w:val="0"/>
                <w:color w:val="000000"/>
                <w:sz w:val="21"/>
                <w:szCs w:val="21"/>
                <w:highlight w:val="none"/>
                <w:u w:val="none"/>
                <w:lang w:val="en-US" w:eastAsia="zh-CN"/>
              </w:rPr>
              <w:t>2</w:t>
            </w:r>
            <w:r>
              <w:rPr>
                <w:rFonts w:hint="eastAsia" w:ascii="宋体" w:hAnsi="宋体" w:eastAsia="宋体" w:cs="宋体"/>
                <w:i w:val="0"/>
                <w:iCs w:val="0"/>
                <w:color w:val="000000"/>
                <w:sz w:val="21"/>
                <w:szCs w:val="21"/>
                <w:highlight w:val="none"/>
                <w:u w:val="none"/>
              </w:rPr>
              <w:t>道，平面交叉</w:t>
            </w:r>
            <w:r>
              <w:rPr>
                <w:rFonts w:hint="eastAsia" w:ascii="宋体" w:hAnsi="宋体" w:eastAsia="宋体" w:cs="宋体"/>
                <w:i w:val="0"/>
                <w:iCs w:val="0"/>
                <w:color w:val="000000"/>
                <w:sz w:val="21"/>
                <w:szCs w:val="21"/>
                <w:highlight w:val="none"/>
                <w:u w:val="none"/>
                <w:lang w:val="en-US" w:eastAsia="zh-CN"/>
              </w:rPr>
              <w:t>3</w:t>
            </w:r>
            <w:r>
              <w:rPr>
                <w:rFonts w:hint="eastAsia" w:ascii="宋体" w:hAnsi="宋体" w:eastAsia="宋体" w:cs="宋体"/>
                <w:i w:val="0"/>
                <w:iCs w:val="0"/>
                <w:color w:val="000000"/>
                <w:sz w:val="21"/>
                <w:szCs w:val="21"/>
                <w:highlight w:val="none"/>
                <w:u w:val="none"/>
              </w:rPr>
              <w:t>处，简易停车区一处。</w:t>
            </w:r>
          </w:p>
        </w:tc>
        <w:tc>
          <w:tcPr>
            <w:tcW w:w="1425" w:type="dxa"/>
            <w:tcBorders>
              <w:top w:val="single" w:color="000000" w:sz="4" w:space="0"/>
              <w:left w:val="single" w:color="000000" w:sz="4" w:space="0"/>
              <w:bottom w:val="single" w:color="000000" w:sz="4" w:space="0"/>
            </w:tcBorders>
            <w:shd w:val="clear" w:color="auto" w:fill="auto"/>
            <w:vAlign w:val="center"/>
          </w:tcPr>
          <w:p w14:paraId="1BC20E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rPr>
              <w:t>11</w:t>
            </w:r>
            <w:r>
              <w:rPr>
                <w:rFonts w:hint="eastAsia" w:ascii="宋体" w:hAnsi="宋体" w:eastAsia="宋体" w:cs="宋体"/>
                <w:i w:val="0"/>
                <w:iCs w:val="0"/>
                <w:color w:val="000000"/>
                <w:sz w:val="21"/>
                <w:szCs w:val="21"/>
                <w:highlight w:val="none"/>
                <w:u w:val="none"/>
                <w:lang w:val="en-US" w:eastAsia="zh-CN"/>
              </w:rPr>
              <w:t>000</w:t>
            </w:r>
          </w:p>
        </w:tc>
      </w:tr>
      <w:tr w14:paraId="42BF1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565" w:type="dxa"/>
            <w:tcBorders>
              <w:top w:val="single" w:color="000000" w:sz="4" w:space="0"/>
              <w:bottom w:val="single" w:color="000000" w:sz="4" w:space="0"/>
              <w:right w:val="single" w:color="000000" w:sz="4" w:space="0"/>
            </w:tcBorders>
            <w:shd w:val="clear" w:color="auto" w:fill="auto"/>
            <w:vAlign w:val="center"/>
          </w:tcPr>
          <w:p w14:paraId="1C007C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A2</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77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K2604+762-K2610+503特大桥（5741m）</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54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5.741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563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二级</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C67A">
            <w:pPr>
              <w:keepNext w:val="0"/>
              <w:keepLines w:val="0"/>
              <w:widowControl/>
              <w:suppressLineNumbers w:val="0"/>
              <w:jc w:val="left"/>
              <w:textAlignment w:val="center"/>
              <w:rPr>
                <w:rFonts w:hint="eastAsia" w:ascii="宋体" w:hAnsi="宋体" w:eastAsia="宋体" w:cs="宋体"/>
                <w:i w:val="0"/>
                <w:iCs w:val="0"/>
                <w:color w:val="000000"/>
                <w:sz w:val="21"/>
                <w:szCs w:val="21"/>
                <w:highlight w:val="yellow"/>
                <w:u w:val="none"/>
                <w:lang w:val="en-US" w:eastAsia="zh-CN"/>
              </w:rPr>
            </w:pPr>
            <w:r>
              <w:rPr>
                <w:rFonts w:hint="eastAsia" w:ascii="宋体" w:hAnsi="宋体" w:eastAsia="宋体" w:cs="宋体"/>
                <w:i w:val="0"/>
                <w:iCs w:val="0"/>
                <w:color w:val="000000"/>
                <w:sz w:val="21"/>
                <w:szCs w:val="21"/>
                <w:highlight w:val="none"/>
                <w:u w:val="none"/>
              </w:rPr>
              <w:t>特大桥5741米，钢栈桥5122米</w:t>
            </w:r>
            <w:r>
              <w:rPr>
                <w:rFonts w:hint="eastAsia" w:ascii="宋体" w:hAnsi="宋体" w:eastAsia="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lang w:val="en-US" w:eastAsia="zh-CN"/>
              </w:rPr>
              <w:t>其中主桥为790米三塔斜拉桥，引桥4951米。包括桥梁主体工程及附属工程施工（不含沥青混凝土桥面铺装）</w:t>
            </w:r>
          </w:p>
        </w:tc>
        <w:tc>
          <w:tcPr>
            <w:tcW w:w="1425" w:type="dxa"/>
            <w:tcBorders>
              <w:top w:val="single" w:color="000000" w:sz="4" w:space="0"/>
              <w:left w:val="single" w:color="000000" w:sz="4" w:space="0"/>
              <w:bottom w:val="single" w:color="000000" w:sz="4" w:space="0"/>
            </w:tcBorders>
            <w:shd w:val="clear" w:color="auto" w:fill="auto"/>
            <w:vAlign w:val="center"/>
          </w:tcPr>
          <w:p w14:paraId="10CBBD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84000</w:t>
            </w:r>
          </w:p>
        </w:tc>
      </w:tr>
      <w:tr w14:paraId="04122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65" w:type="dxa"/>
            <w:tcBorders>
              <w:top w:val="single" w:color="000000" w:sz="4" w:space="0"/>
              <w:bottom w:val="single" w:color="000000" w:sz="4" w:space="0"/>
              <w:right w:val="single" w:color="000000" w:sz="4" w:space="0"/>
            </w:tcBorders>
            <w:shd w:val="clear" w:color="auto" w:fill="auto"/>
            <w:vAlign w:val="center"/>
          </w:tcPr>
          <w:p w14:paraId="0AC9D60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A3</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340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K2610+503-K2615+530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DE6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5.027</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3E8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二级</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689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引道路基、基层5.027公里及全线沥青混凝土路面，中桥2座，涵洞11道，平面交叉7处，简易停车区一处。</w:t>
            </w:r>
          </w:p>
        </w:tc>
        <w:tc>
          <w:tcPr>
            <w:tcW w:w="1425" w:type="dxa"/>
            <w:tcBorders>
              <w:top w:val="single" w:color="000000" w:sz="4" w:space="0"/>
              <w:left w:val="single" w:color="000000" w:sz="4" w:space="0"/>
              <w:bottom w:val="single" w:color="000000" w:sz="4" w:space="0"/>
            </w:tcBorders>
            <w:shd w:val="clear" w:color="auto" w:fill="auto"/>
            <w:vAlign w:val="center"/>
          </w:tcPr>
          <w:p w14:paraId="15423B5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14000</w:t>
            </w:r>
          </w:p>
        </w:tc>
      </w:tr>
      <w:tr w14:paraId="072E9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588" w:type="dxa"/>
            <w:gridSpan w:val="2"/>
            <w:tcBorders>
              <w:top w:val="single" w:color="000000" w:sz="4" w:space="0"/>
              <w:right w:val="single" w:color="000000" w:sz="4" w:space="0"/>
            </w:tcBorders>
            <w:shd w:val="clear" w:color="auto" w:fill="auto"/>
            <w:vAlign w:val="center"/>
          </w:tcPr>
          <w:p w14:paraId="0FE1BFE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1254" w:type="dxa"/>
            <w:tcBorders>
              <w:top w:val="single" w:color="000000" w:sz="4" w:space="0"/>
              <w:left w:val="single" w:color="000000" w:sz="4" w:space="0"/>
              <w:right w:val="single" w:color="000000" w:sz="4" w:space="0"/>
            </w:tcBorders>
            <w:shd w:val="clear" w:color="auto" w:fill="auto"/>
            <w:vAlign w:val="center"/>
          </w:tcPr>
          <w:p w14:paraId="6FCBD66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13.63</w:t>
            </w:r>
          </w:p>
        </w:tc>
        <w:tc>
          <w:tcPr>
            <w:tcW w:w="791" w:type="dxa"/>
            <w:tcBorders>
              <w:top w:val="single" w:color="000000" w:sz="4" w:space="0"/>
              <w:left w:val="single" w:color="000000" w:sz="4" w:space="0"/>
              <w:right w:val="single" w:color="000000" w:sz="4" w:space="0"/>
            </w:tcBorders>
            <w:shd w:val="clear" w:color="auto" w:fill="auto"/>
            <w:vAlign w:val="center"/>
          </w:tcPr>
          <w:p w14:paraId="76FA609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109" w:type="dxa"/>
            <w:tcBorders>
              <w:top w:val="single" w:color="000000" w:sz="4" w:space="0"/>
              <w:left w:val="single" w:color="000000" w:sz="4" w:space="0"/>
              <w:right w:val="single" w:color="000000" w:sz="4" w:space="0"/>
            </w:tcBorders>
            <w:shd w:val="clear" w:color="auto" w:fill="auto"/>
            <w:vAlign w:val="center"/>
          </w:tcPr>
          <w:p w14:paraId="72EC7A21">
            <w:pPr>
              <w:jc w:val="center"/>
              <w:rPr>
                <w:rFonts w:hint="eastAsia" w:ascii="宋体" w:hAnsi="宋体" w:eastAsia="宋体" w:cs="宋体"/>
                <w:b/>
                <w:bCs/>
                <w:i w:val="0"/>
                <w:iCs w:val="0"/>
                <w:color w:val="000000"/>
                <w:sz w:val="21"/>
                <w:szCs w:val="21"/>
                <w:highlight w:val="none"/>
                <w:u w:val="none"/>
              </w:rPr>
            </w:pPr>
          </w:p>
        </w:tc>
        <w:tc>
          <w:tcPr>
            <w:tcW w:w="1425" w:type="dxa"/>
            <w:tcBorders>
              <w:top w:val="single" w:color="000000" w:sz="4" w:space="0"/>
              <w:left w:val="single" w:color="000000" w:sz="4" w:space="0"/>
            </w:tcBorders>
            <w:shd w:val="clear" w:color="auto" w:fill="auto"/>
            <w:vAlign w:val="center"/>
          </w:tcPr>
          <w:p w14:paraId="18984DE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109000</w:t>
            </w:r>
          </w:p>
        </w:tc>
      </w:tr>
    </w:tbl>
    <w:p w14:paraId="51499DF5">
      <w:pPr>
        <w:pStyle w:val="13"/>
        <w:numPr>
          <w:ilvl w:val="0"/>
          <w:numId w:val="0"/>
        </w:numPr>
        <w:tabs>
          <w:tab w:val="left" w:pos="1260"/>
        </w:tabs>
        <w:spacing w:beforeLines="0" w:after="0" w:afterLines="0"/>
        <w:ind w:firstLine="361" w:firstLineChars="200"/>
        <w:rPr>
          <w:rFonts w:hint="eastAsia" w:ascii="宋体" w:hAnsi="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注：具体工程量以施工图纸和招标工程量清单为准。</w:t>
      </w:r>
    </w:p>
    <w:p w14:paraId="4F190AE6">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2" w:firstLineChars="200"/>
        <w:textAlignment w:val="auto"/>
        <w:outlineLvl w:val="9"/>
        <w:rPr>
          <w:rFonts w:hint="eastAsia" w:ascii="宋体" w:hAnsi="宋体" w:eastAsia="宋体" w:cs="宋体"/>
          <w:b/>
          <w:bCs w:val="0"/>
          <w:color w:val="auto"/>
          <w:sz w:val="21"/>
          <w:szCs w:val="21"/>
          <w:highlight w:val="none"/>
        </w:rPr>
      </w:pPr>
      <w:bookmarkStart w:id="5" w:name="_Toc509334290"/>
      <w:bookmarkStart w:id="6" w:name="_Toc509819252"/>
      <w:r>
        <w:rPr>
          <w:rFonts w:hint="eastAsia" w:ascii="宋体" w:hAnsi="宋体" w:eastAsia="宋体" w:cs="宋体"/>
          <w:b/>
          <w:bCs w:val="0"/>
          <w:color w:val="auto"/>
          <w:sz w:val="21"/>
          <w:szCs w:val="21"/>
          <w:highlight w:val="none"/>
        </w:rPr>
        <w:t>3．投标人资格要求</w:t>
      </w:r>
      <w:bookmarkEnd w:id="5"/>
      <w:bookmarkEnd w:id="6"/>
    </w:p>
    <w:p w14:paraId="769FEEAA">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次招标要求投标人具有国内独立法人资格，持有市场监督行政管理部门颁发的有效的企业法人营业执照，具有有效的建筑施工企业安全生产许可证，并在人员、设备、资金等方面具有相应的施工能力，且同时满足下列要求：</w:t>
      </w:r>
    </w:p>
    <w:p w14:paraId="364E6721">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3.1.1资质最低要求</w:t>
      </w:r>
    </w:p>
    <w:p w14:paraId="09E5DB1C">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A1、A</w:t>
      </w:r>
      <w:r>
        <w:rPr>
          <w:rFonts w:hint="eastAsia" w:ascii="宋体" w:hAnsi="宋体" w:eastAsia="宋体" w:cs="宋体"/>
          <w:color w:val="auto"/>
          <w:sz w:val="21"/>
          <w:szCs w:val="21"/>
          <w:highlight w:val="none"/>
          <w:lang w:val="en-US" w:eastAsia="zh-CN"/>
        </w:rPr>
        <w:t>3标段：</w:t>
      </w:r>
    </w:p>
    <w:p w14:paraId="61440C38">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投标人须具备建设行政主管部门颁发的公路工程施工总承包</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级及以上资质。</w:t>
      </w:r>
    </w:p>
    <w:p w14:paraId="2EF6FA8D">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投标人具有公路工程施工总承包一级及以上资质，应列入交通运输部“全国公路建设市场监督管理系统（http://hwdms.mot.gov.cn/）”中的施工企业名录，且投标人名称和资质与该名录中的相应企业名称和资质完全一致。</w:t>
      </w:r>
    </w:p>
    <w:p w14:paraId="49EB33C3">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A</w:t>
      </w:r>
      <w:r>
        <w:rPr>
          <w:rFonts w:hint="eastAsia" w:ascii="宋体" w:hAnsi="宋体" w:eastAsia="宋体" w:cs="宋体"/>
          <w:color w:val="auto"/>
          <w:sz w:val="21"/>
          <w:szCs w:val="21"/>
          <w:highlight w:val="none"/>
          <w:lang w:val="en-US" w:eastAsia="zh-CN"/>
        </w:rPr>
        <w:t>2标段：</w:t>
      </w:r>
    </w:p>
    <w:p w14:paraId="39DCFEA9">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投标人须具备公路工程施工总承包一级及以上资质或桥梁工程专业承包一级资质。</w:t>
      </w:r>
    </w:p>
    <w:p w14:paraId="7244A773">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投标人具有公路工程施工总承包一级及以上资质，应列入交通运输部“全国公路建设市场监督管理系统（http://hwdms.mot.gov.cn/）”中的施工企业名录，且投标人名称和资质与该名录中的相应企业名称和资质完全一致。</w:t>
      </w:r>
    </w:p>
    <w:p w14:paraId="1ECC8A8F">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3.1.2</w:t>
      </w:r>
      <w:r>
        <w:rPr>
          <w:rFonts w:hint="eastAsia" w:ascii="宋体" w:hAnsi="宋体" w:eastAsia="宋体" w:cs="宋体"/>
          <w:b/>
          <w:bCs w:val="0"/>
          <w:color w:val="auto"/>
          <w:sz w:val="21"/>
          <w:szCs w:val="21"/>
          <w:highlight w:val="none"/>
          <w:lang w:eastAsia="zh-CN"/>
        </w:rPr>
        <w:t>业绩最低要求</w:t>
      </w:r>
    </w:p>
    <w:p w14:paraId="7A0D6BCC">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近五年内（2020年5</w:t>
      </w:r>
      <w:r>
        <w:rPr>
          <w:rFonts w:hint="eastAsia" w:ascii="宋体" w:hAnsi="宋体" w:cs="宋体"/>
          <w:color w:val="auto"/>
          <w:sz w:val="21"/>
          <w:szCs w:val="21"/>
          <w:highlight w:val="none"/>
          <w:lang w:val="en-US" w:eastAsia="zh-CN"/>
        </w:rPr>
        <w:t>月</w:t>
      </w:r>
      <w:r>
        <w:rPr>
          <w:rFonts w:hint="eastAsia" w:ascii="宋体" w:hAnsi="宋体" w:eastAsia="宋体" w:cs="宋体"/>
          <w:color w:val="auto"/>
          <w:sz w:val="21"/>
          <w:szCs w:val="21"/>
          <w:highlight w:val="none"/>
          <w:lang w:val="en-US" w:eastAsia="zh-CN"/>
        </w:rPr>
        <w:t>1日至投标文件递交截止时间止，以实际交工日期为准）</w:t>
      </w:r>
      <w:r>
        <w:rPr>
          <w:rFonts w:hint="eastAsia" w:ascii="宋体" w:hAnsi="宋体" w:cs="宋体"/>
          <w:color w:val="auto"/>
          <w:sz w:val="21"/>
          <w:szCs w:val="21"/>
          <w:highlight w:val="none"/>
          <w:lang w:val="en-US" w:eastAsia="zh-CN"/>
        </w:rPr>
        <w:t>投标人完成过下列公路工程施工</w:t>
      </w:r>
      <w:r>
        <w:rPr>
          <w:rFonts w:hint="eastAsia" w:ascii="宋体" w:hAnsi="宋体" w:eastAsia="宋体" w:cs="宋体"/>
          <w:color w:val="auto"/>
          <w:sz w:val="21"/>
          <w:szCs w:val="21"/>
          <w:highlight w:val="none"/>
          <w:lang w:val="en-US" w:eastAsia="zh-CN"/>
        </w:rPr>
        <w:t>，交工验收达到合格标准，且同时满足：</w:t>
      </w:r>
    </w:p>
    <w:p w14:paraId="50EE9954">
      <w:pPr>
        <w:keepNext w:val="0"/>
        <w:keepLines w:val="0"/>
        <w:pageBreakBefore w:val="0"/>
        <w:widowControl w:val="0"/>
        <w:tabs>
          <w:tab w:val="left" w:pos="1260"/>
        </w:tabs>
        <w:kinsoku/>
        <w:overflowPunct/>
        <w:topLinePunct w:val="0"/>
        <w:autoSpaceDE/>
        <w:autoSpaceDN/>
        <w:bidi w:val="0"/>
        <w:spacing w:beforeLines="0" w:afterLines="0"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A1标段：至少独立完成过一个二级及以上等级公路路基工程施工项目。</w:t>
      </w:r>
    </w:p>
    <w:p w14:paraId="0371C3FE">
      <w:pPr>
        <w:keepNext w:val="0"/>
        <w:keepLines w:val="0"/>
        <w:pageBreakBefore w:val="0"/>
        <w:widowControl w:val="0"/>
        <w:tabs>
          <w:tab w:val="left" w:pos="1260"/>
        </w:tabs>
        <w:kinsoku/>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A2标段：</w:t>
      </w:r>
      <w:r>
        <w:rPr>
          <w:rFonts w:hint="eastAsia" w:ascii="宋体" w:hAnsi="宋体" w:eastAsia="宋体" w:cs="宋体"/>
          <w:color w:val="auto"/>
          <w:sz w:val="21"/>
          <w:szCs w:val="21"/>
          <w:highlight w:val="none"/>
          <w:lang w:val="en-US" w:eastAsia="zh-CN"/>
        </w:rPr>
        <w:t>至少独立完成过一座特大桥梁工程施工项目</w:t>
      </w:r>
      <w:r>
        <w:rPr>
          <w:rFonts w:hint="eastAsia" w:ascii="宋体" w:hAnsi="宋体" w:cs="宋体"/>
          <w:color w:val="auto"/>
          <w:sz w:val="21"/>
          <w:szCs w:val="21"/>
          <w:highlight w:val="none"/>
          <w:lang w:val="en-US" w:eastAsia="zh-CN"/>
        </w:rPr>
        <w:t>。</w:t>
      </w:r>
    </w:p>
    <w:p w14:paraId="6B786711">
      <w:pPr>
        <w:keepNext w:val="0"/>
        <w:keepLines w:val="0"/>
        <w:pageBreakBefore w:val="0"/>
        <w:widowControl w:val="0"/>
        <w:tabs>
          <w:tab w:val="left" w:pos="1260"/>
        </w:tabs>
        <w:kinsoku/>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A3标段：</w:t>
      </w:r>
    </w:p>
    <w:p w14:paraId="0B167A07">
      <w:pPr>
        <w:keepNext w:val="0"/>
        <w:keepLines w:val="0"/>
        <w:pageBreakBefore w:val="0"/>
        <w:widowControl w:val="0"/>
        <w:tabs>
          <w:tab w:val="left" w:pos="1260"/>
        </w:tabs>
        <w:kinsoku/>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1.至少独立完成过一个二级及以上等级公路路基工程施工项目；</w:t>
      </w:r>
    </w:p>
    <w:p w14:paraId="0FED7652">
      <w:pPr>
        <w:keepNext w:val="0"/>
        <w:keepLines w:val="0"/>
        <w:pageBreakBefore w:val="0"/>
        <w:widowControl w:val="0"/>
        <w:tabs>
          <w:tab w:val="left" w:pos="1260"/>
        </w:tabs>
        <w:kinsoku/>
        <w:overflowPunct/>
        <w:topLinePunct w:val="0"/>
        <w:autoSpaceDE/>
        <w:autoSpaceDN/>
        <w:bidi w:val="0"/>
        <w:spacing w:beforeLines="0" w:afterLines="0"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2.至少独立完成过一个二级及以上等级公路沥青混凝土路面工程施工项目。</w:t>
      </w:r>
    </w:p>
    <w:p w14:paraId="1FD0AAC0">
      <w:pPr>
        <w:keepNext w:val="0"/>
        <w:keepLines w:val="0"/>
        <w:pageBreakBefore w:val="0"/>
        <w:widowControl w:val="0"/>
        <w:tabs>
          <w:tab w:val="left" w:pos="1260"/>
        </w:tabs>
        <w:kinsoku/>
        <w:wordWrap/>
        <w:overflowPunct/>
        <w:topLinePunct w:val="0"/>
        <w:autoSpaceDE/>
        <w:autoSpaceDN/>
        <w:bidi w:val="0"/>
        <w:snapToGrid/>
        <w:spacing w:beforeLines="0" w:afterLines="0" w:line="360" w:lineRule="auto"/>
        <w:ind w:firstLine="420" w:firstLineChars="200"/>
        <w:jc w:val="left"/>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val="0"/>
          <w:bCs/>
          <w:color w:val="auto"/>
          <w:sz w:val="21"/>
          <w:szCs w:val="21"/>
          <w:highlight w:val="none"/>
        </w:rPr>
        <w:t>注：</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上述施工业绩指的是公路新建或改扩建项目（不含养护项目）的施工。</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A3标段</w:t>
      </w:r>
      <w:r>
        <w:rPr>
          <w:rFonts w:hint="eastAsia" w:ascii="宋体" w:hAnsi="宋体" w:eastAsia="宋体" w:cs="宋体"/>
          <w:b w:val="0"/>
          <w:bCs/>
          <w:color w:val="auto"/>
          <w:sz w:val="21"/>
          <w:szCs w:val="21"/>
          <w:highlight w:val="none"/>
        </w:rPr>
        <w:t>如单个业绩能同时满足上述条件要求的，则该业绩可分别予以认定。</w:t>
      </w:r>
    </w:p>
    <w:p w14:paraId="35666C07">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3.1.3财务</w:t>
      </w:r>
      <w:r>
        <w:rPr>
          <w:rFonts w:hint="eastAsia" w:ascii="宋体" w:hAnsi="宋体" w:cs="宋体"/>
          <w:b/>
          <w:bCs/>
          <w:color w:val="auto"/>
          <w:sz w:val="21"/>
          <w:szCs w:val="21"/>
          <w:highlight w:val="none"/>
          <w:lang w:val="en-US" w:eastAsia="zh-CN"/>
        </w:rPr>
        <w:t>最低</w:t>
      </w:r>
      <w:r>
        <w:rPr>
          <w:rFonts w:hint="eastAsia" w:ascii="宋体" w:hAnsi="宋体" w:eastAsia="宋体" w:cs="宋体"/>
          <w:b/>
          <w:bCs/>
          <w:color w:val="auto"/>
          <w:sz w:val="21"/>
          <w:szCs w:val="21"/>
          <w:highlight w:val="none"/>
          <w:lang w:eastAsia="zh-CN"/>
        </w:rPr>
        <w:t>要求</w:t>
      </w:r>
    </w:p>
    <w:p w14:paraId="543C6E77">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营运资金（2024年度流动资产-2024年度流动负债+银行专为本工程出具的银行信贷）不得少于投标人所申请标段最高投标限价的15%。</w:t>
      </w:r>
    </w:p>
    <w:p w14:paraId="4A1ABCE7">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注：如2024年度财务审计报告为未出具，可提供2023年度财务审计报告，营运资金以2023年度财务审计报告数据为准</w:t>
      </w:r>
      <w:r>
        <w:rPr>
          <w:rFonts w:hint="eastAsia" w:ascii="宋体" w:hAnsi="宋体" w:cs="宋体"/>
          <w:color w:val="auto"/>
          <w:sz w:val="21"/>
          <w:szCs w:val="21"/>
          <w:highlight w:val="none"/>
          <w:lang w:eastAsia="zh-CN"/>
        </w:rPr>
        <w:t>。</w:t>
      </w:r>
    </w:p>
    <w:p w14:paraId="71A037B0">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3.1.4项目经理和项目总工</w:t>
      </w:r>
      <w:r>
        <w:rPr>
          <w:rFonts w:hint="eastAsia" w:ascii="宋体" w:hAnsi="宋体" w:cs="宋体"/>
          <w:b/>
          <w:bCs/>
          <w:color w:val="auto"/>
          <w:sz w:val="21"/>
          <w:szCs w:val="21"/>
          <w:highlight w:val="none"/>
          <w:lang w:val="en-US" w:eastAsia="zh-CN"/>
        </w:rPr>
        <w:t>最低</w:t>
      </w:r>
      <w:r>
        <w:rPr>
          <w:rFonts w:hint="eastAsia" w:ascii="宋体" w:hAnsi="宋体" w:eastAsia="宋体" w:cs="宋体"/>
          <w:b/>
          <w:bCs/>
          <w:color w:val="auto"/>
          <w:sz w:val="21"/>
          <w:szCs w:val="21"/>
          <w:highlight w:val="none"/>
          <w:lang w:eastAsia="zh-CN"/>
        </w:rPr>
        <w:t>要求</w:t>
      </w:r>
    </w:p>
    <w:p w14:paraId="6AF5CF68">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r>
        <w:rPr>
          <w:rFonts w:hint="eastAsia" w:ascii="宋体" w:hAnsi="宋体" w:eastAsia="宋体" w:cs="宋体"/>
          <w:color w:val="auto"/>
          <w:sz w:val="21"/>
          <w:szCs w:val="21"/>
          <w:highlight w:val="none"/>
          <w:lang w:val="en-US" w:eastAsia="zh-CN"/>
        </w:rPr>
        <w:t>1人，公路工程相关专业工程师及以上职称</w:t>
      </w:r>
      <w:r>
        <w:rPr>
          <w:rFonts w:hint="eastAsia" w:ascii="宋体" w:hAnsi="宋体" w:eastAsia="宋体" w:cs="宋体"/>
          <w:color w:val="auto"/>
          <w:sz w:val="21"/>
          <w:szCs w:val="21"/>
          <w:highlight w:val="none"/>
        </w:rPr>
        <w:t>，持有公路工程专业</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级建造师注册证书（注册单位名称必须与投标人名称一致），并持有交通运输主管部门颁发的有效B类安全生产考核合格证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且安全生产考核合格证的登记单位名称必须与投标人名称一致。</w:t>
      </w:r>
    </w:p>
    <w:p w14:paraId="41BD10D2">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项目总工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1人，</w:t>
      </w:r>
      <w:r>
        <w:rPr>
          <w:rFonts w:hint="eastAsia" w:ascii="宋体" w:hAnsi="宋体" w:eastAsia="宋体" w:cs="宋体"/>
          <w:color w:val="auto"/>
          <w:sz w:val="21"/>
          <w:szCs w:val="21"/>
          <w:highlight w:val="none"/>
        </w:rPr>
        <w:t>公路工程相关专业高级</w:t>
      </w:r>
      <w:r>
        <w:rPr>
          <w:rFonts w:hint="eastAsia" w:ascii="宋体" w:hAnsi="宋体" w:cs="宋体"/>
          <w:color w:val="auto"/>
          <w:sz w:val="21"/>
          <w:szCs w:val="21"/>
          <w:highlight w:val="none"/>
          <w:lang w:val="en-US" w:eastAsia="zh-CN"/>
        </w:rPr>
        <w:t>工程师</w:t>
      </w:r>
      <w:r>
        <w:rPr>
          <w:rFonts w:hint="eastAsia" w:ascii="宋体" w:hAnsi="宋体" w:eastAsia="宋体" w:cs="宋体"/>
          <w:color w:val="auto"/>
          <w:sz w:val="21"/>
          <w:szCs w:val="21"/>
          <w:highlight w:val="none"/>
        </w:rPr>
        <w:t>及以上职称。</w:t>
      </w:r>
    </w:p>
    <w:p w14:paraId="4927CB21">
      <w:pPr>
        <w:keepNext w:val="0"/>
        <w:keepLines w:val="0"/>
        <w:pageBreakBefore w:val="0"/>
        <w:widowControl w:val="0"/>
        <w:tabs>
          <w:tab w:val="left" w:pos="1260"/>
        </w:tabs>
        <w:kinsoku/>
        <w:overflowPunct/>
        <w:topLinePunct w:val="0"/>
        <w:autoSpaceDE/>
        <w:autoSpaceDN/>
        <w:bidi w:val="0"/>
        <w:adjustRightInd w:val="0"/>
        <w:snapToGrid/>
        <w:spacing w:beforeLines="0" w:afterLines="0" w:line="360" w:lineRule="auto"/>
        <w:ind w:firstLine="422" w:firstLineChars="200"/>
        <w:jc w:val="both"/>
        <w:textAlignment w:val="auto"/>
        <w:rPr>
          <w:rFonts w:hint="eastAsia" w:ascii="宋体" w:hAnsi="宋体" w:cs="宋体"/>
          <w:color w:val="auto"/>
          <w:sz w:val="21"/>
          <w:szCs w:val="21"/>
          <w:highlight w:val="none"/>
          <w:lang w:eastAsia="zh-CN"/>
        </w:rPr>
      </w:pPr>
      <w:r>
        <w:rPr>
          <w:rFonts w:hint="eastAsia" w:ascii="宋体" w:hAnsi="宋体" w:eastAsia="宋体" w:cs="宋体"/>
          <w:b/>
          <w:bCs/>
          <w:color w:val="auto"/>
          <w:kern w:val="2"/>
          <w:sz w:val="21"/>
          <w:szCs w:val="21"/>
          <w:highlight w:val="none"/>
          <w:lang w:eastAsia="zh-CN"/>
        </w:rPr>
        <w:t>注：</w:t>
      </w:r>
      <w:r>
        <w:rPr>
          <w:rFonts w:hint="default" w:ascii="Times New Roman" w:hAnsi="Times New Roman" w:cs="Times New Roman"/>
          <w:b/>
          <w:bCs/>
          <w:color w:val="auto"/>
          <w:kern w:val="2"/>
          <w:sz w:val="21"/>
          <w:szCs w:val="21"/>
          <w:highlight w:val="none"/>
          <w:lang w:eastAsia="zh-CN"/>
        </w:rPr>
        <w:t>（</w:t>
      </w:r>
      <w:r>
        <w:rPr>
          <w:rFonts w:hint="default" w:ascii="Times New Roman" w:hAnsi="Times New Roman" w:cs="Times New Roman"/>
          <w:b/>
          <w:bCs/>
          <w:color w:val="auto"/>
          <w:kern w:val="2"/>
          <w:sz w:val="21"/>
          <w:szCs w:val="21"/>
          <w:highlight w:val="none"/>
          <w:lang w:val="en-US" w:eastAsia="zh-CN"/>
        </w:rPr>
        <w:t>1</w:t>
      </w:r>
      <w:r>
        <w:rPr>
          <w:rFonts w:hint="default" w:ascii="Times New Roman" w:hAnsi="Times New Roman" w:cs="Times New Roman"/>
          <w:b/>
          <w:bCs/>
          <w:color w:val="auto"/>
          <w:kern w:val="2"/>
          <w:sz w:val="21"/>
          <w:szCs w:val="21"/>
          <w:highlight w:val="none"/>
          <w:lang w:eastAsia="zh-CN"/>
        </w:rPr>
        <w:t>）</w:t>
      </w:r>
      <w:r>
        <w:rPr>
          <w:rFonts w:hint="eastAsia" w:ascii="宋体" w:hAnsi="宋体" w:eastAsia="宋体" w:cs="宋体"/>
          <w:b/>
          <w:bCs/>
          <w:color w:val="auto"/>
          <w:kern w:val="2"/>
          <w:sz w:val="21"/>
          <w:szCs w:val="21"/>
          <w:highlight w:val="none"/>
          <w:lang w:eastAsia="zh-CN"/>
        </w:rPr>
        <w:t>公路工程相关专业：公路、道路、桥梁、道桥、土建、土木、交通等专业。（2）拟委任的项目经理和项目总工在各标段允许重复。</w:t>
      </w:r>
    </w:p>
    <w:p w14:paraId="1F238459">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eastAsia="zh-CN"/>
        </w:rPr>
      </w:pPr>
      <w:bookmarkStart w:id="7" w:name="_Toc509334291"/>
      <w:bookmarkStart w:id="8" w:name="_Toc509819253"/>
      <w:r>
        <w:rPr>
          <w:rFonts w:hint="eastAsia" w:ascii="宋体" w:hAnsi="宋体" w:eastAsia="宋体" w:cs="宋体"/>
          <w:color w:val="auto"/>
          <w:sz w:val="21"/>
          <w:szCs w:val="21"/>
          <w:highlight w:val="none"/>
          <w:lang w:eastAsia="zh-CN"/>
        </w:rPr>
        <w:t>3.2</w:t>
      </w:r>
      <w:r>
        <w:rPr>
          <w:rFonts w:hint="eastAsia" w:ascii="宋体" w:hAnsi="宋体" w:cs="宋体"/>
          <w:color w:val="auto"/>
          <w:sz w:val="21"/>
          <w:szCs w:val="21"/>
          <w:highlight w:val="none"/>
          <w:lang w:val="en-US" w:eastAsia="zh-CN"/>
        </w:rPr>
        <w:t>本次招标</w:t>
      </w:r>
      <w:r>
        <w:rPr>
          <w:rFonts w:hint="eastAsia" w:ascii="宋体" w:hAnsi="宋体" w:eastAsia="宋体" w:cs="宋体"/>
          <w:color w:val="auto"/>
          <w:sz w:val="21"/>
          <w:szCs w:val="21"/>
          <w:highlight w:val="none"/>
          <w:lang w:eastAsia="zh-CN"/>
        </w:rPr>
        <w:t>2024年度被黑龙江省交通运输厅或2023年度被交通运输部认定为施工企业AA级信用评价等级的投标人</w:t>
      </w:r>
      <w:r>
        <w:rPr>
          <w:rFonts w:hint="eastAsia" w:ascii="宋体" w:hAnsi="宋体" w:cs="宋体"/>
          <w:color w:val="auto"/>
          <w:sz w:val="21"/>
          <w:szCs w:val="21"/>
          <w:highlight w:val="none"/>
          <w:lang w:val="en-US" w:eastAsia="zh-CN"/>
        </w:rPr>
        <w:t>允许</w:t>
      </w:r>
      <w:r>
        <w:rPr>
          <w:rFonts w:hint="eastAsia" w:ascii="宋体" w:hAnsi="宋体" w:eastAsia="宋体" w:cs="宋体"/>
          <w:color w:val="auto"/>
          <w:sz w:val="21"/>
          <w:szCs w:val="21"/>
          <w:highlight w:val="none"/>
          <w:lang w:eastAsia="zh-CN"/>
        </w:rPr>
        <w:t>最多可以同时对两个标段进行投标，但只允许中标一个标段</w:t>
      </w:r>
      <w:r>
        <w:rPr>
          <w:rFonts w:hint="eastAsia" w:ascii="宋体" w:hAnsi="宋体" w:cs="宋体"/>
          <w:color w:val="auto"/>
          <w:sz w:val="21"/>
          <w:szCs w:val="21"/>
          <w:highlight w:val="none"/>
          <w:lang w:eastAsia="zh-CN"/>
        </w:rPr>
        <w:t>（</w:t>
      </w:r>
      <w:r>
        <w:rPr>
          <w:rFonts w:hint="eastAsia" w:ascii="宋体" w:hAnsi="宋体" w:eastAsia="宋体" w:cs="宋体"/>
          <w:color w:val="auto"/>
          <w:kern w:val="0"/>
          <w:szCs w:val="21"/>
          <w:highlight w:val="none"/>
          <w:lang w:eastAsia="zh-CN"/>
        </w:rPr>
        <w:t>202</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年度黑龙江省交通运输厅和202</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年度交通运输部无施工企业信用评价结果的，采用202</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年度黑龙江省交通运输厅或202</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年度交通运输部施工企业信用评价结果）</w:t>
      </w:r>
      <w:r>
        <w:rPr>
          <w:rFonts w:hint="eastAsia" w:ascii="宋体" w:hAnsi="宋体" w:eastAsia="宋体" w:cs="宋体"/>
          <w:color w:val="auto"/>
          <w:sz w:val="21"/>
          <w:szCs w:val="21"/>
          <w:highlight w:val="none"/>
          <w:lang w:eastAsia="zh-CN"/>
        </w:rPr>
        <w:t>。</w:t>
      </w:r>
    </w:p>
    <w:p w14:paraId="259A2DFC">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本次招标不接受黑龙江省交通运输厅2024年度公路施工企业信用评价或交通运输部202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年度公路建设市场公路施工企业全国综合信用评价被认定为D级的投标人投标。</w:t>
      </w:r>
    </w:p>
    <w:p w14:paraId="707D8132">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3.3本项目不接受联合体投标。</w:t>
      </w:r>
    </w:p>
    <w:p w14:paraId="7B7131D9">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与招标人存在利害关系可能影响招标公正性的单位，不得参加投标。单位负责人为同一人或存在控股、管理关系的不同单位，不得同时参加同一标段投标，否则，相关投标均无效。</w:t>
      </w:r>
    </w:p>
    <w:p w14:paraId="1314321E">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投标人在国家企业信用信息公示系统（http://www.gsxt.gov.cn/）中被列入严重违法失信企业名单的投标人，不得参加本项目投标。</w:t>
      </w:r>
    </w:p>
    <w:p w14:paraId="0FD3543D">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投标人在“信用中国”网站（http://www.creditchina.gov.cn）中投标人被列入失信被执行人名单不得参加本项目投标。</w:t>
      </w:r>
    </w:p>
    <w:p w14:paraId="51FA4F74">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近三年内（</w:t>
      </w:r>
      <w:r>
        <w:rPr>
          <w:rFonts w:hint="eastAsia" w:ascii="宋体" w:hAnsi="宋体" w:cs="宋体"/>
          <w:color w:val="auto"/>
          <w:sz w:val="21"/>
          <w:szCs w:val="21"/>
          <w:highlight w:val="none"/>
          <w:lang w:eastAsia="zh-CN"/>
        </w:rPr>
        <w:t>2022年1月1日</w:t>
      </w:r>
      <w:r>
        <w:rPr>
          <w:rFonts w:hint="eastAsia" w:ascii="宋体" w:hAnsi="宋体" w:eastAsia="宋体" w:cs="宋体"/>
          <w:color w:val="auto"/>
          <w:sz w:val="21"/>
          <w:szCs w:val="21"/>
          <w:highlight w:val="none"/>
          <w:lang w:eastAsia="zh-CN"/>
        </w:rPr>
        <w:t>至投标截止日）投标人或其法定代表人、拟委任的项目经理无中国裁判文书网（http://wenshu.court.gov.cn）行贿犯罪行为记录</w:t>
      </w:r>
      <w:r>
        <w:rPr>
          <w:rFonts w:hint="eastAsia" w:ascii="宋体" w:hAnsi="宋体" w:eastAsia="宋体" w:cs="宋体"/>
          <w:color w:val="auto"/>
          <w:kern w:val="2"/>
          <w:sz w:val="21"/>
          <w:szCs w:val="21"/>
          <w:highlight w:val="none"/>
          <w:lang w:eastAsia="zh-CN"/>
        </w:rPr>
        <w:t>（以投标人提供的承诺为准）</w:t>
      </w:r>
      <w:r>
        <w:rPr>
          <w:rFonts w:hint="eastAsia" w:ascii="宋体" w:hAnsi="宋体" w:eastAsia="宋体" w:cs="宋体"/>
          <w:color w:val="auto"/>
          <w:sz w:val="21"/>
          <w:szCs w:val="21"/>
          <w:highlight w:val="none"/>
          <w:lang w:eastAsia="zh-CN"/>
        </w:rPr>
        <w:t>。</w:t>
      </w:r>
    </w:p>
    <w:p w14:paraId="32EC3110">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3.8</w:t>
      </w:r>
      <w:r>
        <w:rPr>
          <w:rFonts w:hint="eastAsia" w:ascii="宋体" w:hAnsi="宋体" w:eastAsia="宋体" w:cs="宋体"/>
          <w:color w:val="auto"/>
          <w:sz w:val="21"/>
          <w:szCs w:val="21"/>
          <w:highlight w:val="none"/>
          <w:lang w:eastAsia="zh-CN"/>
        </w:rPr>
        <w:t>本次招标评标采用双信封形式的综合评分法，对投标人的资格审查采用资格后审的方式。</w:t>
      </w:r>
    </w:p>
    <w:p w14:paraId="1418D919">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bCs/>
          <w:color w:val="auto"/>
          <w:sz w:val="21"/>
          <w:szCs w:val="21"/>
          <w:highlight w:val="none"/>
        </w:rPr>
        <w:t>．招标文件的获取</w:t>
      </w:r>
      <w:bookmarkEnd w:id="7"/>
      <w:bookmarkEnd w:id="8"/>
    </w:p>
    <w:p w14:paraId="3DCC53D6">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val="zh-TW" w:eastAsia="zh-CN"/>
        </w:rPr>
      </w:pPr>
      <w:bookmarkStart w:id="9" w:name="_Toc509819254"/>
      <w:bookmarkStart w:id="10" w:name="_Toc509334292"/>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val="zh-TW" w:eastAsia="zh-CN"/>
        </w:rPr>
        <w:t>.1凡有意参加投标者，请在“黑龙江</w:t>
      </w:r>
      <w:r>
        <w:rPr>
          <w:rFonts w:hint="eastAsia" w:ascii="宋体" w:hAnsi="宋体" w:eastAsia="宋体" w:cs="宋体"/>
          <w:color w:val="auto"/>
          <w:sz w:val="21"/>
          <w:szCs w:val="21"/>
          <w:highlight w:val="none"/>
          <w:lang w:val="en-US" w:eastAsia="zh-CN"/>
        </w:rPr>
        <w:t>省</w:t>
      </w:r>
      <w:r>
        <w:rPr>
          <w:rFonts w:hint="eastAsia" w:ascii="宋体" w:hAnsi="宋体" w:eastAsia="宋体" w:cs="宋体"/>
          <w:color w:val="auto"/>
          <w:sz w:val="21"/>
          <w:szCs w:val="21"/>
          <w:highlight w:val="none"/>
          <w:lang w:val="zh-TW" w:eastAsia="zh-CN"/>
        </w:rPr>
        <w:t>公共资源交易网”（https://ggzyjyw.hlj.gov.cn/）进行用户注册、办理数字证书，使用数字证书登录“黑龙江</w:t>
      </w:r>
      <w:r>
        <w:rPr>
          <w:rFonts w:hint="eastAsia" w:ascii="宋体" w:hAnsi="宋体" w:eastAsia="宋体" w:cs="宋体"/>
          <w:color w:val="auto"/>
          <w:sz w:val="21"/>
          <w:szCs w:val="21"/>
          <w:highlight w:val="none"/>
          <w:lang w:val="en-US" w:eastAsia="zh-CN"/>
        </w:rPr>
        <w:t>省</w:t>
      </w:r>
      <w:r>
        <w:rPr>
          <w:rFonts w:hint="eastAsia" w:ascii="宋体" w:hAnsi="宋体" w:eastAsia="宋体" w:cs="宋体"/>
          <w:color w:val="auto"/>
          <w:sz w:val="21"/>
          <w:szCs w:val="21"/>
          <w:highlight w:val="none"/>
          <w:lang w:val="zh-TW" w:eastAsia="zh-CN"/>
        </w:rPr>
        <w:t>公共资源交易网”，选择相应项目，明确所投标段，在线下载招标文件等资料。下载时间为</w:t>
      </w:r>
      <w:r>
        <w:rPr>
          <w:rFonts w:hint="eastAsia" w:ascii="宋体" w:hAnsi="宋体" w:eastAsia="宋体" w:cs="宋体"/>
          <w:color w:val="auto"/>
          <w:sz w:val="21"/>
          <w:szCs w:val="21"/>
          <w:highlight w:val="none"/>
          <w:lang w:val="en-US" w:eastAsia="zh-CN"/>
        </w:rPr>
        <w:t>2025年5月</w:t>
      </w: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lang w:val="en-US" w:eastAsia="zh-CN"/>
        </w:rPr>
        <w:t>日00时00分至2025年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lang w:val="en-US" w:eastAsia="zh-CN"/>
        </w:rPr>
        <w:t>时00分</w:t>
      </w:r>
      <w:r>
        <w:rPr>
          <w:rFonts w:hint="eastAsia" w:ascii="宋体" w:hAnsi="宋体" w:eastAsia="宋体" w:cs="宋体"/>
          <w:color w:val="auto"/>
          <w:sz w:val="21"/>
          <w:szCs w:val="21"/>
          <w:highlight w:val="none"/>
          <w:lang w:val="zh-TW" w:eastAsia="zh-CN"/>
        </w:rPr>
        <w:t>（北京时间</w:t>
      </w:r>
      <w:r>
        <w:rPr>
          <w:rFonts w:hint="eastAsia" w:ascii="宋体" w:hAnsi="宋体" w:eastAsia="宋体" w:cs="宋体"/>
          <w:color w:val="auto"/>
          <w:szCs w:val="21"/>
          <w:highlight w:val="none"/>
          <w:lang w:val="zh-CN"/>
        </w:rPr>
        <w:t>，下同</w:t>
      </w:r>
      <w:r>
        <w:rPr>
          <w:rFonts w:hint="eastAsia" w:ascii="宋体" w:hAnsi="宋体" w:eastAsia="宋体" w:cs="宋体"/>
          <w:color w:val="auto"/>
          <w:sz w:val="21"/>
          <w:szCs w:val="21"/>
          <w:highlight w:val="none"/>
          <w:lang w:val="zh-TW" w:eastAsia="zh-CN"/>
        </w:rPr>
        <w:t>）。</w:t>
      </w:r>
      <w:r>
        <w:rPr>
          <w:rFonts w:hint="eastAsia" w:ascii="宋体" w:hAnsi="宋体" w:eastAsia="宋体" w:cs="宋体"/>
          <w:color w:val="auto"/>
          <w:sz w:val="21"/>
          <w:szCs w:val="21"/>
          <w:highlight w:val="none"/>
          <w:lang w:val="en-US" w:eastAsia="zh-CN"/>
        </w:rPr>
        <w:t>具体事项请参见“黑龙江省公共资源交易网”上的“服务指南”栏目。</w:t>
      </w:r>
    </w:p>
    <w:p w14:paraId="68BE748C">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zh-TW" w:eastAsia="zh-CN"/>
        </w:rPr>
        <w:t>4.2未按“黑龙江</w:t>
      </w:r>
      <w:r>
        <w:rPr>
          <w:rFonts w:hint="eastAsia" w:ascii="宋体" w:hAnsi="宋体" w:eastAsia="宋体" w:cs="宋体"/>
          <w:color w:val="auto"/>
          <w:sz w:val="21"/>
          <w:szCs w:val="21"/>
          <w:highlight w:val="none"/>
          <w:lang w:val="en-US" w:eastAsia="zh-CN"/>
        </w:rPr>
        <w:t>省</w:t>
      </w:r>
      <w:r>
        <w:rPr>
          <w:rFonts w:hint="eastAsia" w:ascii="宋体" w:hAnsi="宋体" w:eastAsia="宋体" w:cs="宋体"/>
          <w:color w:val="auto"/>
          <w:sz w:val="21"/>
          <w:szCs w:val="21"/>
          <w:highlight w:val="none"/>
          <w:lang w:val="zh-TW" w:eastAsia="zh-CN"/>
        </w:rPr>
        <w:t>公共资源交易网”的流程要求完成全部操作的，自行承担相应责任。</w:t>
      </w:r>
    </w:p>
    <w:p w14:paraId="75B31DB6">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Cs w:val="21"/>
          <w:highlight w:val="none"/>
          <w:lang w:val="en-US" w:eastAsia="zh-CN"/>
        </w:rPr>
        <w:t>4.3 招标文件免费提供下载。投标人需在发售截止时间内至少下载一次招标文件，下载一次后可不受时间限制进行下载招标文件或答疑文件，否则导致的无法下载招标文件或答疑文件，后果自负。</w:t>
      </w:r>
    </w:p>
    <w:p w14:paraId="1B461149">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5．投标文件的递交</w:t>
      </w:r>
      <w:bookmarkEnd w:id="9"/>
      <w:bookmarkEnd w:id="10"/>
      <w:r>
        <w:rPr>
          <w:rFonts w:hint="eastAsia" w:ascii="宋体" w:hAnsi="宋体" w:eastAsia="宋体" w:cs="宋体"/>
          <w:b/>
          <w:bCs/>
          <w:color w:val="auto"/>
          <w:sz w:val="21"/>
          <w:szCs w:val="21"/>
          <w:highlight w:val="none"/>
        </w:rPr>
        <w:t>及相关事宜</w:t>
      </w:r>
    </w:p>
    <w:p w14:paraId="3607D33E">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val="zh-TW" w:eastAsia="zh-CN"/>
        </w:rPr>
      </w:pPr>
      <w:bookmarkStart w:id="11" w:name="_Toc509334293"/>
      <w:bookmarkStart w:id="12" w:name="_Toc509819255"/>
      <w:bookmarkStart w:id="13" w:name="_Toc491883082"/>
      <w:r>
        <w:rPr>
          <w:rFonts w:hint="eastAsia" w:ascii="宋体" w:hAnsi="宋体" w:eastAsia="宋体" w:cs="宋体"/>
          <w:color w:val="auto"/>
          <w:sz w:val="21"/>
          <w:szCs w:val="21"/>
          <w:highlight w:val="none"/>
          <w:lang w:val="zh-TW" w:eastAsia="zh-CN"/>
        </w:rPr>
        <w:t>5.1招标人不组织工程现场踏勘，不召开投标预备会。</w:t>
      </w:r>
    </w:p>
    <w:p w14:paraId="6427A854">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val="zh-TW" w:eastAsia="zh-CN"/>
        </w:rPr>
      </w:pPr>
      <w:bookmarkStart w:id="14" w:name="_bookmark6"/>
      <w:bookmarkEnd w:id="14"/>
      <w:r>
        <w:rPr>
          <w:rFonts w:hint="eastAsia" w:ascii="宋体" w:hAnsi="宋体" w:eastAsia="宋体" w:cs="宋体"/>
          <w:color w:val="auto"/>
          <w:sz w:val="21"/>
          <w:szCs w:val="21"/>
          <w:highlight w:val="none"/>
          <w:lang w:val="zh-TW" w:eastAsia="zh-CN"/>
        </w:rPr>
        <w:t>5.2 本项目投标要求纸质投标文件现场递交文件，投标人应在纸质投标文件相应递交截止时间前完成投标文件的递交。</w:t>
      </w:r>
    </w:p>
    <w:p w14:paraId="09319183">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zh-TW" w:eastAsia="zh-CN"/>
        </w:rPr>
        <w:t>5.3 纸质投标文件递交的截止时间为202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TW" w:eastAsia="zh-CN"/>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TW" w:eastAsia="zh-CN"/>
        </w:rPr>
        <w:t>月</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zh-TW" w:eastAsia="zh-CN"/>
        </w:rPr>
        <w:t>日9时00分，投标人应于当日08时00分至09时00分将纸质投标文件（须含第一个信封（商务及技术文件、电子版投标文件）、第二个信封（报价文件、电子版投标文件））递交至黑龙江省公共资源交易中心（哈尔滨市南岗区长江路130-2号）</w:t>
      </w:r>
      <w:r>
        <w:rPr>
          <w:rFonts w:hint="eastAsia" w:ascii="宋体" w:hAnsi="宋体" w:cs="宋体"/>
          <w:color w:val="auto"/>
          <w:sz w:val="21"/>
          <w:szCs w:val="21"/>
          <w:highlight w:val="none"/>
          <w:lang w:val="en-US" w:eastAsia="zh-CN"/>
        </w:rPr>
        <w:t>二楼</w:t>
      </w:r>
      <w:r>
        <w:rPr>
          <w:rFonts w:hint="eastAsia" w:ascii="宋体" w:hAnsi="宋体" w:eastAsia="宋体" w:cs="宋体"/>
          <w:color w:val="auto"/>
          <w:sz w:val="21"/>
          <w:szCs w:val="21"/>
          <w:highlight w:val="none"/>
          <w:lang w:val="zh-TW" w:eastAsia="zh-CN"/>
        </w:rPr>
        <w:t>纸质开标室。</w:t>
      </w:r>
    </w:p>
    <w:p w14:paraId="4DB033A1">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cs="宋体"/>
          <w:kern w:val="0"/>
          <w:szCs w:val="21"/>
          <w:highlight w:val="none"/>
        </w:rPr>
      </w:pPr>
      <w:r>
        <w:rPr>
          <w:rFonts w:hint="eastAsia" w:ascii="宋体" w:hAnsi="宋体" w:eastAsia="宋体" w:cs="宋体"/>
          <w:color w:val="auto"/>
          <w:sz w:val="21"/>
          <w:szCs w:val="21"/>
          <w:highlight w:val="none"/>
          <w:lang w:val="zh-TW" w:eastAsia="zh-CN"/>
        </w:rPr>
        <w:t>5.4 投标人应提交投标保证金，投标保证金的金额：</w:t>
      </w:r>
      <w:r>
        <w:rPr>
          <w:rFonts w:hint="eastAsia" w:ascii="宋体" w:hAnsi="宋体" w:cs="宋体"/>
          <w:color w:val="auto"/>
          <w:sz w:val="21"/>
          <w:szCs w:val="21"/>
          <w:highlight w:val="none"/>
          <w:lang w:val="en-US" w:eastAsia="zh-CN"/>
        </w:rPr>
        <w:t>A1~A</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TW" w:eastAsia="zh-CN"/>
        </w:rPr>
        <w:t>标段金额</w:t>
      </w:r>
      <w:r>
        <w:rPr>
          <w:rFonts w:hint="eastAsia" w:ascii="宋体" w:hAnsi="宋体" w:eastAsia="宋体" w:cs="宋体"/>
          <w:color w:val="auto"/>
          <w:sz w:val="21"/>
          <w:szCs w:val="21"/>
          <w:highlight w:val="none"/>
          <w:lang w:val="en-US" w:eastAsia="zh-CN"/>
        </w:rPr>
        <w:t>均为</w:t>
      </w:r>
      <w:r>
        <w:rPr>
          <w:rFonts w:hint="eastAsia" w:ascii="宋体" w:hAnsi="宋体" w:cs="宋体"/>
          <w:color w:val="auto"/>
          <w:sz w:val="21"/>
          <w:szCs w:val="21"/>
          <w:highlight w:val="none"/>
          <w:lang w:val="en-US" w:eastAsia="zh-CN"/>
        </w:rPr>
        <w:t>80万元人民币/标段</w:t>
      </w:r>
      <w:r>
        <w:rPr>
          <w:rFonts w:hint="eastAsia" w:ascii="宋体" w:hAnsi="宋体" w:eastAsia="宋体" w:cs="宋体"/>
          <w:color w:val="auto"/>
          <w:sz w:val="21"/>
          <w:szCs w:val="21"/>
          <w:highlight w:val="none"/>
          <w:lang w:val="zh-TW" w:eastAsia="zh-CN"/>
        </w:rPr>
        <w:t>。</w:t>
      </w:r>
      <w:r>
        <w:rPr>
          <w:rFonts w:hint="eastAsia" w:ascii="宋体" w:hAnsi="宋体" w:cs="宋体"/>
          <w:bCs/>
          <w:spacing w:val="-2"/>
          <w:szCs w:val="21"/>
          <w:highlight w:val="none"/>
        </w:rPr>
        <w:t>投标保证金应采用网银转账、电汇或电子保函形式：①采用网银转账、电汇形式递交投标保证金的，投标保证金必须由投标人基本存款账户汇出，汇入与黑龙江省公共资源交易平台对接的银行虚拟子账户。黑龙江公共资源电子交易平台系统默认保证金缴纳截止时间为开标前24小时（如因投标人未在规定的截止时间前递交投标保证金，投标人自行承担相应责任）</w:t>
      </w:r>
      <w:r>
        <w:rPr>
          <w:rFonts w:hint="eastAsia" w:ascii="宋体" w:hAnsi="宋体" w:cs="宋体"/>
          <w:bCs/>
          <w:spacing w:val="-2"/>
          <w:szCs w:val="21"/>
          <w:highlight w:val="none"/>
          <w:lang w:eastAsia="zh-CN"/>
        </w:rPr>
        <w:t>。</w:t>
      </w:r>
      <w:r>
        <w:rPr>
          <w:rFonts w:hint="eastAsia" w:ascii="宋体" w:hAnsi="宋体" w:cs="宋体"/>
          <w:bCs/>
          <w:spacing w:val="-2"/>
          <w:szCs w:val="21"/>
          <w:highlight w:val="none"/>
        </w:rPr>
        <w:t>②采用电子保函方式递交投标保证金的，投标人应按黑龙江省公共资源交易网的相关规定递交。</w:t>
      </w:r>
    </w:p>
    <w:p w14:paraId="09FB64F3">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zh-TW" w:eastAsia="zh-CN"/>
        </w:rPr>
        <w:t>5.5纸质投标文件逾期送达、未送达指定地点或者未按照招标文件要求密封的，招标人将予以拒收。</w:t>
      </w:r>
    </w:p>
    <w:p w14:paraId="157BFA86">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2" w:firstLineChars="20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6．发布公告的媒介</w:t>
      </w:r>
    </w:p>
    <w:p w14:paraId="4CB8D1DF">
      <w:pPr>
        <w:keepNext w:val="0"/>
        <w:keepLines w:val="0"/>
        <w:pageBreakBefore w:val="0"/>
        <w:widowControl w:val="0"/>
        <w:tabs>
          <w:tab w:val="left" w:pos="360"/>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本次招标公告</w:t>
      </w:r>
      <w:bookmarkStart w:id="15" w:name="OLE_LINK14"/>
      <w:r>
        <w:rPr>
          <w:rFonts w:hint="eastAsia" w:ascii="宋体" w:hAnsi="宋体" w:eastAsia="宋体" w:cs="宋体"/>
          <w:color w:val="auto"/>
          <w:sz w:val="21"/>
          <w:szCs w:val="21"/>
          <w:highlight w:val="none"/>
        </w:rPr>
        <w:t>在黑龙江公共资源交易网（http://ggzyjyw.hlj.gov.cn/）及黑龙江省交通运输厅（http://jt.hlj.gov.cn/）网站上发布</w:t>
      </w:r>
      <w:bookmarkEnd w:id="15"/>
      <w:r>
        <w:rPr>
          <w:rFonts w:hint="eastAsia" w:ascii="宋体" w:hAnsi="宋体" w:eastAsia="宋体" w:cs="宋体"/>
          <w:color w:val="auto"/>
          <w:sz w:val="21"/>
          <w:szCs w:val="21"/>
          <w:highlight w:val="none"/>
        </w:rPr>
        <w:t>。</w:t>
      </w:r>
    </w:p>
    <w:bookmarkEnd w:id="11"/>
    <w:bookmarkEnd w:id="12"/>
    <w:p w14:paraId="02558592">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2" w:firstLineChars="200"/>
        <w:textAlignment w:val="auto"/>
        <w:outlineLvl w:val="1"/>
        <w:rPr>
          <w:rFonts w:hint="eastAsia" w:ascii="宋体" w:hAnsi="宋体" w:eastAsia="宋体" w:cs="宋体"/>
          <w:b/>
          <w:bCs/>
          <w:color w:val="auto"/>
          <w:sz w:val="21"/>
          <w:szCs w:val="21"/>
          <w:highlight w:val="none"/>
        </w:rPr>
      </w:pPr>
      <w:bookmarkStart w:id="16" w:name="_Toc509819256"/>
      <w:bookmarkStart w:id="17" w:name="_Toc509334294"/>
      <w:r>
        <w:rPr>
          <w:rFonts w:hint="eastAsia" w:ascii="宋体" w:hAnsi="宋体" w:eastAsia="宋体" w:cs="宋体"/>
          <w:b/>
          <w:bCs/>
          <w:color w:val="auto"/>
          <w:sz w:val="21"/>
          <w:szCs w:val="21"/>
          <w:highlight w:val="none"/>
        </w:rPr>
        <w:t>7．中标候选人公示</w:t>
      </w:r>
    </w:p>
    <w:p w14:paraId="0D6230FD">
      <w:pPr>
        <w:pStyle w:val="14"/>
        <w:keepNext w:val="0"/>
        <w:keepLines w:val="0"/>
        <w:pageBreakBefore w:val="0"/>
        <w:widowControl w:val="0"/>
        <w:tabs>
          <w:tab w:val="left" w:pos="1260"/>
        </w:tabs>
        <w:kinsoku/>
        <w:wordWrap w:val="0"/>
        <w:overflowPunct/>
        <w:topLinePunct w:val="0"/>
        <w:autoSpaceDE/>
        <w:autoSpaceDN/>
        <w:bidi w:val="0"/>
        <w:adjustRightInd/>
        <w:snapToGrid/>
        <w:spacing w:before="0" w:beforeLines="0" w:after="0" w:afterLines="0" w:line="360" w:lineRule="auto"/>
        <w:ind w:left="142" w:right="1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评标结果同时在黑龙江</w:t>
      </w:r>
      <w:r>
        <w:rPr>
          <w:rFonts w:hint="eastAsia" w:ascii="宋体" w:hAnsi="宋体" w:eastAsia="宋体" w:cs="宋体"/>
          <w:color w:val="auto"/>
          <w:sz w:val="21"/>
          <w:szCs w:val="21"/>
          <w:highlight w:val="none"/>
          <w:lang w:val="en-US" w:eastAsia="zh-CN"/>
        </w:rPr>
        <w:t>省</w:t>
      </w:r>
      <w:r>
        <w:rPr>
          <w:rFonts w:hint="eastAsia" w:ascii="宋体" w:hAnsi="宋体" w:eastAsia="宋体" w:cs="宋体"/>
          <w:color w:val="auto"/>
          <w:sz w:val="21"/>
          <w:szCs w:val="21"/>
          <w:highlight w:val="none"/>
        </w:rPr>
        <w:t>公共资源交易网（</w:t>
      </w:r>
      <w:r>
        <w:rPr>
          <w:rFonts w:hint="eastAsia" w:ascii="宋体" w:hAnsi="宋体" w:eastAsia="宋体" w:cs="宋体"/>
          <w:color w:val="auto"/>
          <w:sz w:val="21"/>
          <w:szCs w:val="21"/>
          <w:highlight w:val="none"/>
          <w:lang w:eastAsia="zh-TW"/>
        </w:rPr>
        <w:t>https://ggzyjyw.hlj.gov.cn/</w:t>
      </w:r>
      <w:r>
        <w:rPr>
          <w:rFonts w:hint="eastAsia" w:ascii="宋体" w:hAnsi="宋体" w:eastAsia="宋体" w:cs="宋体"/>
          <w:color w:val="auto"/>
          <w:sz w:val="21"/>
          <w:szCs w:val="21"/>
          <w:highlight w:val="none"/>
        </w:rPr>
        <w:t>）、黑龙江省交通运输厅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http://jt.hlj.gov.cn/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上进行公示，</w:t>
      </w:r>
      <w:r>
        <w:rPr>
          <w:rFonts w:hint="eastAsia" w:ascii="宋体" w:hAnsi="宋体" w:cs="宋体"/>
          <w:szCs w:val="21"/>
        </w:rPr>
        <w:t>公示期为3日，公示内容包括：</w:t>
      </w:r>
    </w:p>
    <w:p w14:paraId="1ECFB9EB">
      <w:pPr>
        <w:pStyle w:val="14"/>
        <w:keepNext w:val="0"/>
        <w:keepLines w:val="0"/>
        <w:pageBreakBefore w:val="0"/>
        <w:widowControl w:val="0"/>
        <w:tabs>
          <w:tab w:val="left" w:pos="1260"/>
        </w:tabs>
        <w:kinsoku/>
        <w:wordWrap w:val="0"/>
        <w:overflowPunct/>
        <w:topLinePunct w:val="0"/>
        <w:autoSpaceDE/>
        <w:autoSpaceDN/>
        <w:bidi w:val="0"/>
        <w:adjustRightInd/>
        <w:snapToGrid/>
        <w:spacing w:before="0" w:beforeLines="0" w:after="0" w:afterLines="0" w:line="360" w:lineRule="auto"/>
        <w:ind w:left="142" w:right="1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w:t>
      </w:r>
      <w:r>
        <w:rPr>
          <w:rFonts w:hint="eastAsia" w:ascii="宋体" w:hAnsi="宋体" w:cs="宋体"/>
          <w:szCs w:val="21"/>
        </w:rPr>
        <w:t>中标候选人排序、名称、投标报价、工程质量、安全目标、工期</w:t>
      </w:r>
      <w:r>
        <w:rPr>
          <w:rFonts w:hint="eastAsia" w:ascii="宋体" w:hAnsi="宋体" w:eastAsia="宋体" w:cs="宋体"/>
          <w:color w:val="auto"/>
          <w:sz w:val="21"/>
          <w:szCs w:val="21"/>
          <w:highlight w:val="none"/>
        </w:rPr>
        <w:t>；</w:t>
      </w:r>
    </w:p>
    <w:p w14:paraId="7A1063F1">
      <w:pPr>
        <w:pStyle w:val="14"/>
        <w:keepNext w:val="0"/>
        <w:keepLines w:val="0"/>
        <w:pageBreakBefore w:val="0"/>
        <w:widowControl w:val="0"/>
        <w:tabs>
          <w:tab w:val="left" w:pos="1260"/>
        </w:tabs>
        <w:kinsoku/>
        <w:wordWrap w:val="0"/>
        <w:overflowPunct/>
        <w:topLinePunct w:val="0"/>
        <w:autoSpaceDE/>
        <w:autoSpaceDN/>
        <w:bidi w:val="0"/>
        <w:adjustRightInd/>
        <w:snapToGrid/>
        <w:spacing w:before="0" w:beforeLines="0" w:after="0" w:afterLines="0" w:line="360" w:lineRule="auto"/>
        <w:ind w:left="142" w:right="1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.2中标候选人在投标文件中承诺的主要人员、个人业绩（如有）、相关证书编号；</w:t>
      </w:r>
    </w:p>
    <w:p w14:paraId="196FE55E">
      <w:pPr>
        <w:pStyle w:val="14"/>
        <w:keepNext w:val="0"/>
        <w:keepLines w:val="0"/>
        <w:pageBreakBefore w:val="0"/>
        <w:widowControl w:val="0"/>
        <w:tabs>
          <w:tab w:val="left" w:pos="1260"/>
        </w:tabs>
        <w:kinsoku/>
        <w:wordWrap w:val="0"/>
        <w:overflowPunct/>
        <w:topLinePunct w:val="0"/>
        <w:autoSpaceDE/>
        <w:autoSpaceDN/>
        <w:bidi w:val="0"/>
        <w:adjustRightInd/>
        <w:snapToGrid/>
        <w:spacing w:before="0" w:beforeLines="0" w:after="0" w:afterLines="0" w:line="360" w:lineRule="auto"/>
        <w:ind w:left="142" w:right="1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.3中标候选人在投标文件中填报的项目业绩；</w:t>
      </w:r>
    </w:p>
    <w:p w14:paraId="46160259">
      <w:pPr>
        <w:pStyle w:val="14"/>
        <w:keepNext w:val="0"/>
        <w:keepLines w:val="0"/>
        <w:pageBreakBefore w:val="0"/>
        <w:widowControl w:val="0"/>
        <w:tabs>
          <w:tab w:val="left" w:pos="1260"/>
        </w:tabs>
        <w:kinsoku/>
        <w:wordWrap w:val="0"/>
        <w:overflowPunct/>
        <w:topLinePunct w:val="0"/>
        <w:autoSpaceDE/>
        <w:autoSpaceDN/>
        <w:bidi w:val="0"/>
        <w:adjustRightInd/>
        <w:snapToGrid/>
        <w:spacing w:before="0" w:beforeLines="0" w:after="0" w:afterLines="0" w:line="360" w:lineRule="auto"/>
        <w:ind w:left="142" w:right="1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.4被否决投标的投标人名称、否决依据和原因；</w:t>
      </w:r>
    </w:p>
    <w:p w14:paraId="7331FFDB">
      <w:pPr>
        <w:pStyle w:val="14"/>
        <w:keepNext w:val="0"/>
        <w:keepLines w:val="0"/>
        <w:pageBreakBefore w:val="0"/>
        <w:widowControl w:val="0"/>
        <w:tabs>
          <w:tab w:val="left" w:pos="1260"/>
        </w:tabs>
        <w:kinsoku/>
        <w:wordWrap w:val="0"/>
        <w:overflowPunct/>
        <w:topLinePunct w:val="0"/>
        <w:autoSpaceDE/>
        <w:autoSpaceDN/>
        <w:bidi w:val="0"/>
        <w:adjustRightInd/>
        <w:snapToGrid/>
        <w:spacing w:before="0" w:beforeLines="0" w:after="0" w:afterLines="0" w:line="360" w:lineRule="auto"/>
        <w:ind w:left="142" w:right="14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.5提出异议的渠道和方式。</w:t>
      </w:r>
    </w:p>
    <w:p w14:paraId="60E567C3">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投标过程中存在弄虚作假、与招标人或者其他投标人串通投标、以行贿谋取中标、无正当理由放弃中标以及进行恶意投诉等投标不良行为的，除依照有关法律、法规进行处罚外，招标人有权申请省级交通运输主管部门扣减其年度信用评价分数或者降低年度信用评价等级。</w:t>
      </w:r>
    </w:p>
    <w:p w14:paraId="6BF0A7C0">
      <w:pPr>
        <w:keepNext w:val="0"/>
        <w:keepLines w:val="0"/>
        <w:pageBreakBefore w:val="0"/>
        <w:widowControl w:val="0"/>
        <w:tabs>
          <w:tab w:val="left" w:pos="1260"/>
        </w:tabs>
        <w:kinsoku/>
        <w:overflowPunct/>
        <w:topLinePunct w:val="0"/>
        <w:autoSpaceDE/>
        <w:autoSpaceDN/>
        <w:bidi w:val="0"/>
        <w:snapToGrid/>
        <w:spacing w:beforeLines="0" w:afterLines="0" w:line="360" w:lineRule="auto"/>
        <w:textAlignment w:val="auto"/>
        <w:outlineLvl w:val="1"/>
        <w:rPr>
          <w:rFonts w:hint="eastAsia" w:ascii="宋体" w:hAnsi="宋体" w:eastAsia="宋体" w:cs="宋体"/>
          <w:b/>
          <w:bCs/>
          <w:color w:val="auto"/>
          <w:sz w:val="21"/>
          <w:szCs w:val="21"/>
          <w:highlight w:val="none"/>
        </w:rPr>
      </w:pPr>
      <w:bookmarkStart w:id="18" w:name="_Hlk527016680"/>
      <w:r>
        <w:rPr>
          <w:rFonts w:hint="eastAsia" w:ascii="宋体" w:hAnsi="宋体" w:eastAsia="宋体" w:cs="宋体"/>
          <w:b/>
          <w:bCs/>
          <w:color w:val="auto"/>
          <w:sz w:val="21"/>
          <w:szCs w:val="21"/>
          <w:highlight w:val="none"/>
        </w:rPr>
        <w:t>8．</w:t>
      </w:r>
      <w:bookmarkEnd w:id="13"/>
      <w:bookmarkEnd w:id="16"/>
      <w:bookmarkEnd w:id="17"/>
      <w:bookmarkStart w:id="19" w:name="_Toc509819258"/>
      <w:bookmarkStart w:id="20" w:name="_Toc509334296"/>
      <w:r>
        <w:rPr>
          <w:rFonts w:hint="eastAsia" w:ascii="宋体" w:hAnsi="宋体" w:eastAsia="宋体" w:cs="宋体"/>
          <w:b/>
          <w:bCs/>
          <w:color w:val="auto"/>
          <w:sz w:val="21"/>
          <w:szCs w:val="21"/>
          <w:highlight w:val="none"/>
        </w:rPr>
        <w:t>联系方式</w:t>
      </w:r>
      <w:bookmarkEnd w:id="19"/>
      <w:bookmarkEnd w:id="20"/>
    </w:p>
    <w:p w14:paraId="6E39708B">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textAlignment w:val="auto"/>
        <w:rPr>
          <w:rFonts w:hint="eastAsia" w:ascii="宋体" w:hAnsi="宋体" w:eastAsia="宋体" w:cs="宋体"/>
          <w:color w:val="auto"/>
          <w:sz w:val="21"/>
          <w:szCs w:val="21"/>
          <w:highlight w:val="none"/>
        </w:rPr>
      </w:pPr>
      <w:bookmarkStart w:id="21" w:name="OLE_LINK17"/>
      <w:r>
        <w:rPr>
          <w:rFonts w:hint="eastAsia" w:ascii="宋体" w:hAnsi="宋体" w:eastAsia="宋体" w:cs="宋体"/>
          <w:color w:val="auto"/>
          <w:sz w:val="21"/>
          <w:szCs w:val="21"/>
          <w:highlight w:val="none"/>
        </w:rPr>
        <w:t>监督部门：黑龙江省交通运输厅</w:t>
      </w:r>
    </w:p>
    <w:p w14:paraId="56BB3F3C">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地址：黑龙江省南岗区赣水路1号</w:t>
      </w:r>
    </w:p>
    <w:p w14:paraId="07F76772">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电话：0451-87560052</w:t>
      </w:r>
    </w:p>
    <w:p w14:paraId="0F3747D9">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textAlignment w:val="auto"/>
        <w:rPr>
          <w:rFonts w:hint="eastAsia" w:ascii="宋体" w:hAnsi="宋体" w:eastAsia="宋体" w:cs="宋体"/>
          <w:color w:val="auto"/>
          <w:sz w:val="21"/>
          <w:szCs w:val="21"/>
          <w:highlight w:val="none"/>
        </w:rPr>
      </w:pPr>
    </w:p>
    <w:p w14:paraId="45F6A509">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招标人：</w:t>
      </w:r>
      <w:r>
        <w:rPr>
          <w:rFonts w:hint="eastAsia" w:ascii="宋体" w:hAnsi="宋体" w:eastAsia="宋体" w:cs="宋体"/>
          <w:color w:val="auto"/>
          <w:sz w:val="21"/>
          <w:szCs w:val="21"/>
          <w:highlight w:val="none"/>
          <w:lang w:eastAsia="zh-CN"/>
        </w:rPr>
        <w:t>黑龙江省公路建设中心</w:t>
      </w:r>
    </w:p>
    <w:p w14:paraId="46E4CEEC">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址：黑龙江省哈尔滨市南岗区中山路113号</w:t>
      </w:r>
    </w:p>
    <w:p w14:paraId="0001C613">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eastAsia="宋体" w:cs="宋体"/>
          <w:color w:val="auto"/>
          <w:sz w:val="21"/>
          <w:szCs w:val="21"/>
          <w:highlight w:val="none"/>
          <w:lang w:val="en-US" w:eastAsia="zh-CN"/>
        </w:rPr>
        <w:t>柴女士</w:t>
      </w:r>
    </w:p>
    <w:p w14:paraId="0DD7BDBB">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0451-55553971</w:t>
      </w:r>
    </w:p>
    <w:p w14:paraId="2693F442">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textAlignment w:val="auto"/>
        <w:rPr>
          <w:rFonts w:hint="eastAsia" w:ascii="宋体" w:hAnsi="宋体" w:cs="宋体"/>
          <w:color w:val="auto"/>
          <w:sz w:val="21"/>
          <w:szCs w:val="21"/>
          <w:highlight w:val="none"/>
        </w:rPr>
      </w:pPr>
    </w:p>
    <w:p w14:paraId="352CA951">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招标代理：</w:t>
      </w:r>
      <w:r>
        <w:rPr>
          <w:rFonts w:hint="eastAsia" w:ascii="宋体" w:hAnsi="宋体" w:eastAsia="宋体" w:cs="宋体"/>
          <w:color w:val="auto"/>
          <w:sz w:val="21"/>
          <w:szCs w:val="21"/>
          <w:highlight w:val="none"/>
          <w:lang w:eastAsia="zh-CN"/>
        </w:rPr>
        <w:t>正信伟业工程咨询管理有限公司</w:t>
      </w:r>
    </w:p>
    <w:p w14:paraId="76929DA9">
      <w:pPr>
        <w:keepNext w:val="0"/>
        <w:keepLines w:val="0"/>
        <w:pageBreakBefore w:val="0"/>
        <w:widowControl w:val="0"/>
        <w:tabs>
          <w:tab w:val="left" w:pos="1260"/>
        </w:tabs>
        <w:kinsoku/>
        <w:overflowPunct/>
        <w:topLinePunct w:val="0"/>
        <w:autoSpaceDE/>
        <w:autoSpaceDN/>
        <w:bidi w:val="0"/>
        <w:snapToGrid/>
        <w:spacing w:beforeLines="0" w:afterLines="0" w:line="360" w:lineRule="auto"/>
        <w:ind w:left="1050" w:leftChars="200" w:hanging="630" w:hangingChars="3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地址：</w:t>
      </w:r>
      <w:r>
        <w:rPr>
          <w:rFonts w:hint="eastAsia" w:ascii="宋体" w:hAnsi="宋体" w:eastAsia="宋体" w:cs="宋体"/>
          <w:color w:val="auto"/>
          <w:sz w:val="21"/>
          <w:szCs w:val="21"/>
          <w:highlight w:val="none"/>
          <w:lang w:eastAsia="zh-CN"/>
        </w:rPr>
        <w:t>哈尔滨市香坊区红旗大街235号投资大厦17层</w:t>
      </w:r>
    </w:p>
    <w:p w14:paraId="02D94B34">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eastAsia="宋体" w:cs="宋体"/>
          <w:color w:val="auto"/>
          <w:sz w:val="21"/>
          <w:szCs w:val="21"/>
          <w:highlight w:val="none"/>
          <w:lang w:val="en-US" w:eastAsia="zh-CN"/>
        </w:rPr>
        <w:t>朱先生</w:t>
      </w:r>
    </w:p>
    <w:p w14:paraId="691958E3">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r>
        <w:rPr>
          <w:rFonts w:hint="eastAsia" w:ascii="宋体" w:hAnsi="宋体" w:eastAsia="宋体" w:cs="宋体"/>
          <w:color w:val="auto"/>
          <w:sz w:val="21"/>
          <w:szCs w:val="21"/>
          <w:highlight w:val="none"/>
          <w:lang w:eastAsia="zh-CN"/>
        </w:rPr>
        <w:t>0451-82362805-8014/8027</w:t>
      </w:r>
    </w:p>
    <w:bookmarkEnd w:id="21"/>
    <w:p w14:paraId="215790CF">
      <w:p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电子邮箱：</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"mailto:bjztc5@126.com" </w:instrText>
      </w:r>
      <w:r>
        <w:rPr>
          <w:rFonts w:hint="eastAsia" w:ascii="宋体" w:hAnsi="宋体" w:cs="宋体"/>
          <w:color w:val="auto"/>
          <w:sz w:val="21"/>
          <w:szCs w:val="21"/>
          <w:highlight w:val="none"/>
        </w:rPr>
        <w:fldChar w:fldCharType="separate"/>
      </w:r>
      <w:bookmarkEnd w:id="18"/>
      <w:r>
        <w:rPr>
          <w:rStyle w:val="12"/>
          <w:rFonts w:hint="eastAsia" w:ascii="宋体" w:hAnsi="宋体" w:eastAsia="宋体" w:cs="宋体"/>
          <w:sz w:val="21"/>
          <w:szCs w:val="21"/>
          <w:highlight w:val="none"/>
          <w:lang w:eastAsia="zh-CN"/>
        </w:rPr>
        <w:t>zhaobiaosizu@163.com</w:t>
      </w:r>
      <w:r>
        <w:rPr>
          <w:rFonts w:hint="eastAsia" w:ascii="宋体" w:hAnsi="宋体" w:cs="宋体"/>
          <w:color w:val="auto"/>
          <w:sz w:val="21"/>
          <w:szCs w:val="21"/>
          <w:highlight w:val="none"/>
        </w:rPr>
        <w:fldChar w:fldCharType="end"/>
      </w:r>
    </w:p>
    <w:p w14:paraId="3DA6BB84">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69CA6ED4">
      <w:pPr>
        <w:pStyle w:val="15"/>
        <w:tabs>
          <w:tab w:val="left" w:pos="1095"/>
          <w:tab w:val="left" w:pos="1260"/>
        </w:tabs>
        <w:spacing w:beforeLines="0" w:afterLines="0" w:line="360" w:lineRule="auto"/>
        <w:ind w:left="39"/>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
          <w:highlight w:val="none"/>
          <w:lang w:eastAsia="zh-CN"/>
        </w:rPr>
        <w:t>附</w:t>
      </w:r>
      <w:r>
        <w:rPr>
          <w:rFonts w:hint="eastAsia" w:ascii="宋体" w:hAnsi="宋体" w:eastAsia="宋体" w:cs="宋体"/>
          <w:color w:val="auto"/>
          <w:highlight w:val="none"/>
          <w:lang w:eastAsia="zh-CN"/>
        </w:rPr>
        <w:t>录1资格审查条件</w:t>
      </w:r>
      <w:r>
        <w:rPr>
          <w:rFonts w:hint="eastAsia" w:ascii="宋体" w:hAnsi="宋体" w:eastAsia="宋体" w:cs="宋体"/>
          <w:color w:val="auto"/>
          <w:spacing w:val="2"/>
          <w:highlight w:val="none"/>
          <w:lang w:eastAsia="zh-CN"/>
        </w:rPr>
        <w:t>（</w:t>
      </w:r>
      <w:r>
        <w:rPr>
          <w:rFonts w:hint="eastAsia" w:ascii="宋体" w:hAnsi="宋体" w:eastAsia="宋体" w:cs="宋体"/>
          <w:color w:val="auto"/>
          <w:highlight w:val="none"/>
          <w:lang w:eastAsia="zh-CN"/>
        </w:rPr>
        <w:t>资质最低要求）</w:t>
      </w:r>
    </w:p>
    <w:p w14:paraId="7A6878F2">
      <w:pPr>
        <w:tabs>
          <w:tab w:val="left" w:pos="1260"/>
        </w:tabs>
        <w:spacing w:beforeLines="0" w:afterLines="0" w:line="360" w:lineRule="auto"/>
        <w:rPr>
          <w:rFonts w:hint="eastAsia" w:ascii="宋体" w:hAnsi="宋体" w:cs="宋体"/>
          <w:color w:val="auto"/>
          <w:sz w:val="20"/>
          <w:szCs w:val="20"/>
          <w:highlight w:val="none"/>
          <w:lang w:eastAsia="zh-CN"/>
        </w:rPr>
      </w:pPr>
    </w:p>
    <w:p w14:paraId="66D02304">
      <w:pPr>
        <w:tabs>
          <w:tab w:val="left" w:pos="1260"/>
        </w:tabs>
        <w:spacing w:before="0" w:beforeLines="0" w:afterLines="0" w:line="360" w:lineRule="auto"/>
        <w:rPr>
          <w:rFonts w:hint="eastAsia" w:ascii="宋体" w:hAnsi="宋体" w:cs="宋体"/>
          <w:color w:val="auto"/>
          <w:highlight w:val="none"/>
          <w:lang w:eastAsia="zh-CN"/>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0D8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5000" w:type="pct"/>
            <w:tcBorders>
              <w:tl2br w:val="nil"/>
              <w:tr2bl w:val="nil"/>
            </w:tcBorders>
            <w:noWrap w:val="0"/>
            <w:vAlign w:val="center"/>
          </w:tcPr>
          <w:p w14:paraId="541C9B54">
            <w:pPr>
              <w:widowControl/>
              <w:tabs>
                <w:tab w:val="left" w:pos="1260"/>
              </w:tabs>
              <w:wordWrap w:val="0"/>
              <w:spacing w:beforeLines="0" w:afterLines="0" w:line="360" w:lineRule="auto"/>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施工企业资质等级要求</w:t>
            </w:r>
          </w:p>
        </w:tc>
      </w:tr>
      <w:tr w14:paraId="31F5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7" w:hRule="atLeast"/>
        </w:trPr>
        <w:tc>
          <w:tcPr>
            <w:tcW w:w="5000" w:type="pct"/>
            <w:tcBorders>
              <w:tl2br w:val="nil"/>
              <w:tr2bl w:val="nil"/>
            </w:tcBorders>
            <w:noWrap w:val="0"/>
            <w:vAlign w:val="center"/>
          </w:tcPr>
          <w:p w14:paraId="5BDA9432">
            <w:pPr>
              <w:tabs>
                <w:tab w:val="left" w:pos="1260"/>
              </w:tabs>
              <w:adjustRightInd w:val="0"/>
              <w:snapToGrid w:val="0"/>
              <w:spacing w:beforeLines="0" w:afterLines="0" w:line="360" w:lineRule="auto"/>
              <w:ind w:firstLine="420" w:firstLineChars="200"/>
              <w:jc w:val="both"/>
              <w:rPr>
                <w:rFonts w:hint="eastAsia" w:ascii="宋体" w:hAnsi="宋体" w:eastAsia="宋体" w:cs="宋体"/>
                <w:color w:val="auto"/>
                <w:highlight w:val="none"/>
                <w:lang w:eastAsia="zh-CN"/>
              </w:rPr>
            </w:pPr>
            <w:r>
              <w:rPr>
                <w:rFonts w:hint="eastAsia" w:ascii="宋体" w:hAnsi="宋体" w:cs="宋体"/>
                <w:color w:val="auto"/>
                <w:highlight w:val="none"/>
                <w:lang w:eastAsia="zh-CN"/>
              </w:rPr>
              <w:t>A1、A</w:t>
            </w:r>
            <w:r>
              <w:rPr>
                <w:rFonts w:hint="eastAsia" w:ascii="宋体" w:hAnsi="宋体" w:eastAsia="宋体" w:cs="宋体"/>
                <w:color w:val="auto"/>
                <w:highlight w:val="none"/>
                <w:lang w:eastAsia="zh-CN"/>
              </w:rPr>
              <w:t>3</w:t>
            </w:r>
            <w:r>
              <w:rPr>
                <w:rFonts w:hint="eastAsia" w:ascii="宋体" w:hAnsi="宋体" w:cs="宋体"/>
                <w:color w:val="auto"/>
                <w:highlight w:val="none"/>
                <w:lang w:eastAsia="zh-CN"/>
              </w:rPr>
              <w:t>标段：</w:t>
            </w:r>
          </w:p>
          <w:p w14:paraId="2E200FC1">
            <w:pPr>
              <w:numPr>
                <w:ilvl w:val="-1"/>
                <w:numId w:val="0"/>
              </w:numPr>
              <w:tabs>
                <w:tab w:val="left" w:pos="1260"/>
              </w:tabs>
              <w:adjustRightInd w:val="0"/>
              <w:snapToGrid w:val="0"/>
              <w:spacing w:beforeLines="0" w:afterLines="0"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eastAsia="zh-CN"/>
              </w:rPr>
              <w:t>投标人须具备建设行政主管部门颁发的公路工程施工总承包三级及以上资质。</w:t>
            </w:r>
          </w:p>
          <w:p w14:paraId="70F71F3A">
            <w:pPr>
              <w:numPr>
                <w:ilvl w:val="0"/>
                <w:numId w:val="0"/>
              </w:numPr>
              <w:tabs>
                <w:tab w:val="left" w:pos="1260"/>
              </w:tabs>
              <w:adjustRightInd w:val="0"/>
              <w:snapToGrid w:val="0"/>
              <w:spacing w:beforeLines="0" w:afterLines="0" w:line="360" w:lineRule="auto"/>
              <w:ind w:firstLine="420" w:firstLineChars="200"/>
              <w:jc w:val="both"/>
              <w:rPr>
                <w:rFonts w:hint="eastAsia" w:ascii="宋体" w:hAnsi="宋体" w:eastAsia="宋体" w:cs="宋体"/>
                <w:color w:val="auto"/>
                <w:highlight w:val="none"/>
                <w:lang w:eastAsia="zh-CN"/>
              </w:rPr>
            </w:pPr>
            <w:r>
              <w:rPr>
                <w:rFonts w:hint="eastAsia" w:ascii="宋体" w:hAnsi="宋体" w:eastAsia="宋体" w:cs="宋体"/>
                <w:color w:val="auto"/>
                <w:kern w:val="2"/>
                <w:sz w:val="21"/>
                <w:szCs w:val="22"/>
                <w:lang w:val="en-US" w:eastAsia="zh-CN" w:bidi="ar-SA"/>
              </w:rPr>
              <w:t>2.</w:t>
            </w:r>
            <w:r>
              <w:rPr>
                <w:rFonts w:hint="eastAsia" w:ascii="宋体" w:hAnsi="宋体" w:cs="宋体"/>
                <w:color w:val="auto"/>
                <w:highlight w:val="none"/>
                <w:lang w:eastAsia="zh-CN"/>
              </w:rPr>
              <w:t>具备国内独立法人资格，持有市场监督管理部门颁发的有效的企业法人营业执照。</w:t>
            </w:r>
          </w:p>
          <w:p w14:paraId="62B3C7BE">
            <w:pPr>
              <w:numPr>
                <w:ilvl w:val="-1"/>
                <w:numId w:val="0"/>
              </w:numPr>
              <w:tabs>
                <w:tab w:val="left" w:pos="1260"/>
              </w:tabs>
              <w:adjustRightInd w:val="0"/>
              <w:snapToGrid w:val="0"/>
              <w:spacing w:beforeLines="0" w:afterLines="0" w:line="360" w:lineRule="auto"/>
              <w:ind w:firstLine="420" w:firstLineChars="200"/>
              <w:jc w:val="both"/>
              <w:rPr>
                <w:rFonts w:hint="eastAsia" w:ascii="宋体" w:hAnsi="宋体" w:cs="宋体"/>
                <w:color w:val="auto"/>
                <w:highlight w:val="none"/>
                <w:lang w:eastAsia="zh-CN"/>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eastAsia="zh-CN"/>
              </w:rPr>
              <w:t>具有有效的建筑施工企业安全生产许可证。</w:t>
            </w:r>
          </w:p>
          <w:p w14:paraId="0471B683">
            <w:pPr>
              <w:tabs>
                <w:tab w:val="left" w:pos="1260"/>
              </w:tabs>
              <w:adjustRightInd w:val="0"/>
              <w:snapToGrid w:val="0"/>
              <w:spacing w:beforeLines="0" w:afterLines="0" w:line="360" w:lineRule="auto"/>
              <w:ind w:firstLine="420" w:firstLineChars="200"/>
              <w:jc w:val="both"/>
              <w:rPr>
                <w:rFonts w:hint="eastAsia" w:ascii="宋体" w:hAnsi="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cs="宋体"/>
                <w:color w:val="auto"/>
                <w:highlight w:val="none"/>
                <w:lang w:eastAsia="zh-CN"/>
              </w:rPr>
              <w:t>.如投标人具有公路工程施工总承包一级及以上资质，应列入交通运输部“全国公路建设市场监督管理系统（http://hwdms.mot.gov.cn/）”中的施工企业名录，且投标人名称和资质与该名录中的相应企业名称和资质完全一致。</w:t>
            </w:r>
          </w:p>
          <w:p w14:paraId="0FBB1549">
            <w:pPr>
              <w:tabs>
                <w:tab w:val="left" w:pos="1260"/>
              </w:tabs>
              <w:adjustRightInd w:val="0"/>
              <w:snapToGrid w:val="0"/>
              <w:spacing w:beforeLines="0" w:afterLines="0" w:line="360" w:lineRule="auto"/>
              <w:ind w:firstLine="420" w:firstLineChars="200"/>
              <w:jc w:val="both"/>
              <w:rPr>
                <w:rFonts w:hint="eastAsia" w:ascii="宋体" w:hAnsi="宋体" w:cs="宋体"/>
                <w:color w:val="auto"/>
                <w:highlight w:val="none"/>
                <w:lang w:eastAsia="zh-CN"/>
              </w:rPr>
            </w:pPr>
            <w:r>
              <w:rPr>
                <w:rFonts w:hint="eastAsia" w:ascii="宋体" w:hAnsi="宋体" w:cs="宋体"/>
                <w:color w:val="auto"/>
                <w:highlight w:val="none"/>
                <w:lang w:eastAsia="zh-CN"/>
              </w:rPr>
              <w:t>A</w:t>
            </w:r>
            <w:r>
              <w:rPr>
                <w:rFonts w:hint="eastAsia" w:ascii="宋体" w:hAnsi="宋体" w:eastAsia="宋体" w:cs="宋体"/>
                <w:color w:val="auto"/>
                <w:highlight w:val="none"/>
                <w:lang w:eastAsia="zh-CN"/>
              </w:rPr>
              <w:t>2</w:t>
            </w:r>
            <w:r>
              <w:rPr>
                <w:rFonts w:hint="eastAsia" w:ascii="宋体" w:hAnsi="宋体" w:cs="宋体"/>
                <w:color w:val="auto"/>
                <w:highlight w:val="none"/>
                <w:lang w:eastAsia="zh-CN"/>
              </w:rPr>
              <w:t>标段：</w:t>
            </w:r>
          </w:p>
          <w:p w14:paraId="671BC3E5">
            <w:pPr>
              <w:numPr>
                <w:ilvl w:val="0"/>
                <w:numId w:val="0"/>
              </w:numPr>
              <w:tabs>
                <w:tab w:val="left" w:pos="1260"/>
              </w:tabs>
              <w:adjustRightInd w:val="0"/>
              <w:snapToGrid w:val="0"/>
              <w:spacing w:beforeLines="0" w:afterLines="0" w:line="360" w:lineRule="auto"/>
              <w:ind w:firstLine="420" w:firstLineChars="200"/>
              <w:jc w:val="both"/>
              <w:rPr>
                <w:rFonts w:hint="eastAsia" w:ascii="宋体" w:hAnsi="宋体" w:cs="宋体"/>
                <w:color w:val="auto"/>
                <w:highlight w:val="none"/>
                <w:lang w:eastAsia="zh-CN"/>
              </w:rPr>
            </w:pPr>
            <w:r>
              <w:rPr>
                <w:rFonts w:hint="eastAsia" w:ascii="宋体" w:hAnsi="宋体" w:eastAsia="宋体" w:cs="宋体"/>
                <w:color w:val="auto"/>
                <w:kern w:val="2"/>
                <w:sz w:val="21"/>
                <w:szCs w:val="22"/>
                <w:lang w:val="en-US" w:eastAsia="zh-CN" w:bidi="ar-SA"/>
              </w:rPr>
              <w:t>1.</w:t>
            </w:r>
            <w:r>
              <w:rPr>
                <w:rFonts w:hint="eastAsia" w:ascii="宋体" w:hAnsi="宋体" w:cs="宋体"/>
                <w:color w:val="auto"/>
                <w:highlight w:val="none"/>
                <w:lang w:eastAsia="zh-CN"/>
              </w:rPr>
              <w:t>投标人须</w:t>
            </w:r>
            <w:r>
              <w:rPr>
                <w:rFonts w:hint="eastAsia" w:ascii="宋体" w:hAnsi="宋体" w:eastAsia="宋体" w:cs="宋体"/>
                <w:color w:val="auto"/>
                <w:highlight w:val="none"/>
                <w:lang w:eastAsia="zh-CN"/>
              </w:rPr>
              <w:t>具备公路工程施工总承包一级及以上资质或桥梁工程专业承包一级资质</w:t>
            </w:r>
            <w:r>
              <w:rPr>
                <w:rFonts w:hint="eastAsia" w:ascii="宋体" w:hAnsi="宋体" w:cs="宋体"/>
                <w:color w:val="auto"/>
                <w:highlight w:val="none"/>
                <w:lang w:eastAsia="zh-CN"/>
              </w:rPr>
              <w:t>。</w:t>
            </w:r>
          </w:p>
          <w:p w14:paraId="1B698E74">
            <w:pPr>
              <w:numPr>
                <w:ilvl w:val="0"/>
                <w:numId w:val="0"/>
              </w:numPr>
              <w:tabs>
                <w:tab w:val="left" w:pos="1260"/>
              </w:tabs>
              <w:adjustRightInd w:val="0"/>
              <w:snapToGrid w:val="0"/>
              <w:spacing w:beforeLines="0" w:afterLines="0" w:line="360" w:lineRule="auto"/>
              <w:ind w:firstLine="420" w:firstLineChars="200"/>
              <w:jc w:val="both"/>
              <w:rPr>
                <w:rFonts w:hint="eastAsia" w:ascii="宋体" w:hAnsi="宋体" w:cs="宋体"/>
                <w:color w:val="auto"/>
                <w:highlight w:val="none"/>
                <w:lang w:eastAsia="zh-CN"/>
              </w:rPr>
            </w:pPr>
            <w:r>
              <w:rPr>
                <w:rFonts w:hint="eastAsia" w:ascii="宋体" w:hAnsi="宋体" w:eastAsia="宋体" w:cs="宋体"/>
                <w:color w:val="auto"/>
                <w:kern w:val="2"/>
                <w:sz w:val="21"/>
                <w:szCs w:val="22"/>
                <w:lang w:val="en-US" w:eastAsia="zh-CN" w:bidi="ar-SA"/>
              </w:rPr>
              <w:t>2.</w:t>
            </w:r>
            <w:r>
              <w:rPr>
                <w:rFonts w:hint="eastAsia" w:ascii="宋体" w:hAnsi="宋体" w:cs="宋体"/>
                <w:color w:val="auto"/>
                <w:highlight w:val="none"/>
                <w:lang w:eastAsia="zh-CN"/>
              </w:rPr>
              <w:t>具备国内独立法人资格，持有市场监督管理部门颁发的有效的企业法人营业执照。</w:t>
            </w:r>
          </w:p>
          <w:p w14:paraId="1BBD78CC">
            <w:pPr>
              <w:numPr>
                <w:ilvl w:val="0"/>
                <w:numId w:val="0"/>
              </w:numPr>
              <w:tabs>
                <w:tab w:val="left" w:pos="1260"/>
              </w:tabs>
              <w:adjustRightInd w:val="0"/>
              <w:snapToGrid w:val="0"/>
              <w:spacing w:beforeLines="0" w:afterLines="0" w:line="360" w:lineRule="auto"/>
              <w:ind w:firstLine="420" w:firstLineChars="200"/>
              <w:jc w:val="both"/>
              <w:rPr>
                <w:rFonts w:hint="eastAsia" w:ascii="宋体" w:hAnsi="宋体" w:cs="宋体"/>
                <w:color w:val="auto"/>
                <w:highlight w:val="none"/>
                <w:lang w:eastAsia="zh-CN"/>
              </w:rPr>
            </w:pPr>
            <w:r>
              <w:rPr>
                <w:rFonts w:hint="eastAsia" w:ascii="宋体" w:hAnsi="宋体" w:eastAsia="宋体" w:cs="宋体"/>
                <w:color w:val="auto"/>
                <w:kern w:val="2"/>
                <w:sz w:val="21"/>
                <w:szCs w:val="22"/>
                <w:lang w:val="en-US" w:eastAsia="zh-CN" w:bidi="ar-SA"/>
              </w:rPr>
              <w:t>3.</w:t>
            </w:r>
            <w:r>
              <w:rPr>
                <w:rFonts w:hint="eastAsia" w:ascii="宋体" w:hAnsi="宋体" w:cs="宋体"/>
                <w:color w:val="auto"/>
                <w:highlight w:val="none"/>
                <w:lang w:val="en-US" w:eastAsia="zh-CN"/>
              </w:rPr>
              <w:t>具</w:t>
            </w:r>
            <w:r>
              <w:rPr>
                <w:rFonts w:hint="eastAsia" w:ascii="宋体" w:hAnsi="宋体" w:cs="宋体"/>
                <w:color w:val="auto"/>
                <w:highlight w:val="none"/>
                <w:lang w:eastAsia="zh-CN"/>
              </w:rPr>
              <w:t>有有效的建筑施工企业安全生产许可证。</w:t>
            </w:r>
          </w:p>
          <w:p w14:paraId="2E42C097">
            <w:pPr>
              <w:tabs>
                <w:tab w:val="left" w:pos="1260"/>
              </w:tabs>
              <w:adjustRightInd w:val="0"/>
              <w:snapToGrid w:val="0"/>
              <w:spacing w:beforeLines="0" w:afterLines="0" w:line="360" w:lineRule="auto"/>
              <w:ind w:firstLine="420" w:firstLineChars="200"/>
              <w:jc w:val="both"/>
              <w:rPr>
                <w:rFonts w:hint="eastAsia" w:ascii="宋体" w:hAnsi="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cs="宋体"/>
                <w:color w:val="auto"/>
                <w:highlight w:val="none"/>
                <w:lang w:eastAsia="zh-CN"/>
              </w:rPr>
              <w:t>.如投标人具有公路工程施工总承包一级及以上资质，应列入交通运输部“全国公路建设市场监督管理系统（http://hwdms.mot.gov.cn/）”中的施工企业名录，且投标人名称和资质与该名录中的相应企业名称和资质完全一致。</w:t>
            </w:r>
          </w:p>
          <w:p w14:paraId="28B1DD73">
            <w:pPr>
              <w:pStyle w:val="13"/>
              <w:tabs>
                <w:tab w:val="left" w:pos="1260"/>
              </w:tabs>
              <w:spacing w:beforeLines="0" w:after="0" w:afterLines="0"/>
              <w:ind w:firstLine="0" w:firstLineChars="0"/>
              <w:rPr>
                <w:rFonts w:hint="eastAsia" w:ascii="宋体" w:hAnsi="宋体" w:cs="宋体"/>
                <w:color w:val="auto"/>
                <w:highlight w:val="none"/>
              </w:rPr>
            </w:pPr>
          </w:p>
        </w:tc>
      </w:tr>
    </w:tbl>
    <w:p w14:paraId="59E0C20F">
      <w:pPr>
        <w:tabs>
          <w:tab w:val="left" w:pos="1260"/>
        </w:tabs>
        <w:spacing w:beforeLines="0" w:afterLines="0" w:line="360" w:lineRule="auto"/>
        <w:ind w:left="42"/>
        <w:jc w:val="center"/>
        <w:rPr>
          <w:rFonts w:hint="eastAsia" w:ascii="宋体" w:hAnsi="宋体" w:eastAsia="宋体" w:cs="宋体"/>
          <w:color w:val="auto"/>
          <w:sz w:val="21"/>
          <w:szCs w:val="21"/>
          <w:highlight w:val="none"/>
          <w:lang w:eastAsia="zh-CN"/>
        </w:rPr>
      </w:pPr>
    </w:p>
    <w:p w14:paraId="22D1BC05">
      <w:pPr>
        <w:pStyle w:val="13"/>
        <w:tabs>
          <w:tab w:val="left" w:pos="1260"/>
        </w:tabs>
        <w:spacing w:beforeLines="0" w:after="0" w:afterLines="0"/>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注：投标人如不满足上述资格审查条件，将被认为审查不合格。</w:t>
      </w:r>
    </w:p>
    <w:p w14:paraId="50CDDB1B">
      <w:pPr>
        <w:tabs>
          <w:tab w:val="left" w:pos="1260"/>
        </w:tabs>
        <w:spacing w:beforeLines="0" w:afterLines="0" w:line="360" w:lineRule="auto"/>
        <w:rPr>
          <w:rFonts w:hint="eastAsia" w:ascii="宋体" w:hAnsi="宋体" w:eastAsia="宋体" w:cs="宋体"/>
          <w:b/>
          <w:color w:val="auto"/>
          <w:sz w:val="21"/>
          <w:szCs w:val="24"/>
          <w:highlight w:val="none"/>
          <w:lang w:eastAsia="zh-CN"/>
        </w:rPr>
      </w:pPr>
      <w:r>
        <w:rPr>
          <w:rFonts w:hint="eastAsia" w:ascii="宋体" w:hAnsi="宋体" w:cs="宋体"/>
          <w:b/>
          <w:color w:val="auto"/>
          <w:highlight w:val="none"/>
          <w:lang w:eastAsia="zh-CN"/>
        </w:rPr>
        <w:br w:type="page"/>
      </w:r>
    </w:p>
    <w:p w14:paraId="1BBAD12F">
      <w:pPr>
        <w:pStyle w:val="13"/>
        <w:tabs>
          <w:tab w:val="left" w:pos="1260"/>
        </w:tabs>
        <w:spacing w:beforeLines="0" w:after="0" w:afterLines="0"/>
        <w:ind w:firstLine="0" w:firstLineChars="0"/>
        <w:rPr>
          <w:rFonts w:hint="eastAsia" w:ascii="宋体" w:hAnsi="宋体" w:cs="宋体"/>
          <w:color w:val="auto"/>
          <w:sz w:val="15"/>
          <w:szCs w:val="15"/>
          <w:highlight w:val="none"/>
        </w:rPr>
      </w:pPr>
    </w:p>
    <w:p w14:paraId="34560DFC">
      <w:pPr>
        <w:tabs>
          <w:tab w:val="left" w:pos="1260"/>
        </w:tabs>
        <w:spacing w:beforeLines="0" w:afterLines="0" w:line="360" w:lineRule="auto"/>
        <w:rPr>
          <w:rFonts w:hint="eastAsia" w:ascii="宋体" w:hAnsi="宋体" w:cs="宋体"/>
          <w:color w:val="auto"/>
          <w:sz w:val="20"/>
          <w:szCs w:val="20"/>
          <w:highlight w:val="none"/>
          <w:lang w:eastAsia="zh-CN"/>
        </w:rPr>
      </w:pPr>
    </w:p>
    <w:p w14:paraId="1E0F4F11">
      <w:pPr>
        <w:pStyle w:val="15"/>
        <w:tabs>
          <w:tab w:val="left" w:pos="1235"/>
          <w:tab w:val="left" w:pos="1260"/>
        </w:tabs>
        <w:spacing w:beforeLines="0" w:afterLines="0" w:line="360" w:lineRule="auto"/>
        <w:ind w:left="179"/>
        <w:jc w:val="center"/>
        <w:rPr>
          <w:rFonts w:hint="eastAsia" w:ascii="宋体" w:hAnsi="宋体" w:eastAsia="宋体" w:cs="宋体"/>
          <w:color w:val="auto"/>
          <w:sz w:val="14"/>
          <w:szCs w:val="14"/>
          <w:highlight w:val="none"/>
          <w:lang w:eastAsia="zh-CN"/>
        </w:rPr>
      </w:pPr>
      <w:bookmarkStart w:id="22" w:name="_bookmark22"/>
      <w:bookmarkEnd w:id="22"/>
      <w:r>
        <w:rPr>
          <w:rFonts w:hint="eastAsia" w:ascii="宋体" w:hAnsi="宋体" w:eastAsia="宋体" w:cs="宋体"/>
          <w:color w:val="auto"/>
          <w:spacing w:val="2"/>
          <w:highlight w:val="none"/>
          <w:lang w:eastAsia="zh-CN"/>
        </w:rPr>
        <w:t>附</w:t>
      </w:r>
      <w:r>
        <w:rPr>
          <w:rFonts w:hint="eastAsia" w:ascii="宋体" w:hAnsi="宋体" w:eastAsia="宋体" w:cs="宋体"/>
          <w:color w:val="auto"/>
          <w:highlight w:val="none"/>
          <w:lang w:eastAsia="zh-CN"/>
        </w:rPr>
        <w:t>录2资格审查条件</w:t>
      </w:r>
      <w:r>
        <w:rPr>
          <w:rFonts w:hint="eastAsia" w:ascii="宋体" w:hAnsi="宋体" w:eastAsia="宋体" w:cs="宋体"/>
          <w:color w:val="auto"/>
          <w:spacing w:val="2"/>
          <w:highlight w:val="none"/>
          <w:lang w:eastAsia="zh-CN"/>
        </w:rPr>
        <w:t>（</w:t>
      </w:r>
      <w:r>
        <w:rPr>
          <w:rFonts w:hint="eastAsia" w:ascii="宋体" w:hAnsi="宋体" w:eastAsia="宋体" w:cs="宋体"/>
          <w:color w:val="auto"/>
          <w:highlight w:val="none"/>
          <w:lang w:eastAsia="zh-CN"/>
        </w:rPr>
        <w:t>财务最低要求）</w:t>
      </w:r>
    </w:p>
    <w:tbl>
      <w:tblPr>
        <w:tblStyle w:val="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5A28C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5000" w:type="pct"/>
            <w:tcBorders>
              <w:tl2br w:val="nil"/>
              <w:tr2bl w:val="nil"/>
            </w:tcBorders>
            <w:noWrap w:val="0"/>
            <w:vAlign w:val="center"/>
          </w:tcPr>
          <w:p w14:paraId="546B35B0">
            <w:pPr>
              <w:widowControl/>
              <w:tabs>
                <w:tab w:val="left" w:pos="1260"/>
              </w:tabs>
              <w:wordWrap w:val="0"/>
              <w:spacing w:beforeLines="0" w:afterLines="0" w:line="360" w:lineRule="auto"/>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财务要求</w:t>
            </w:r>
          </w:p>
        </w:tc>
      </w:tr>
      <w:tr w14:paraId="44895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5" w:hRule="atLeast"/>
        </w:trPr>
        <w:tc>
          <w:tcPr>
            <w:tcW w:w="5000" w:type="pct"/>
            <w:tcBorders>
              <w:tl2br w:val="nil"/>
              <w:tr2bl w:val="nil"/>
            </w:tcBorders>
            <w:noWrap w:val="0"/>
            <w:vAlign w:val="center"/>
          </w:tcPr>
          <w:p w14:paraId="0F6D27F0">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营运资金（2024年度流动资产-2024年度流动负债+银行专为本工程出具的银行信贷）不得少于投标人所申请标段最高投标限价的15%。</w:t>
            </w:r>
          </w:p>
          <w:p w14:paraId="708FC0F9">
            <w:pPr>
              <w:keepNext w:val="0"/>
              <w:keepLines w:val="0"/>
              <w:pageBreakBefore w:val="0"/>
              <w:widowControl/>
              <w:tabs>
                <w:tab w:val="left" w:pos="1260"/>
              </w:tabs>
              <w:kinsoku/>
              <w:overflowPunct/>
              <w:topLinePunct w:val="0"/>
              <w:autoSpaceDE/>
              <w:autoSpaceDN/>
              <w:bidi w:val="0"/>
              <w:spacing w:beforeLines="0" w:afterLines="0" w:line="36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注：如2024年度财务审计报告为未出具，可提供2023年度财务审计报告，营运资金以2023年度财务审计报告数据为准</w:t>
            </w:r>
            <w:r>
              <w:rPr>
                <w:rFonts w:hint="eastAsia" w:ascii="宋体" w:hAnsi="宋体" w:cs="宋体"/>
                <w:color w:val="auto"/>
                <w:sz w:val="21"/>
                <w:szCs w:val="21"/>
                <w:highlight w:val="none"/>
                <w:lang w:eastAsia="zh-CN"/>
              </w:rPr>
              <w:t>。</w:t>
            </w:r>
          </w:p>
          <w:p w14:paraId="5FCF74B6">
            <w:pPr>
              <w:keepNext w:val="0"/>
              <w:keepLines w:val="0"/>
              <w:pageBreakBefore w:val="0"/>
              <w:widowControl/>
              <w:tabs>
                <w:tab w:val="left" w:pos="1260"/>
              </w:tabs>
              <w:kinsoku/>
              <w:wordWrap/>
              <w:overflowPunct/>
              <w:topLinePunct w:val="0"/>
              <w:autoSpaceDE/>
              <w:autoSpaceDN/>
              <w:bidi w:val="0"/>
              <w:adjustRightInd/>
              <w:snapToGrid/>
              <w:spacing w:beforeLines="0" w:afterLines="0" w:line="360" w:lineRule="auto"/>
              <w:jc w:val="both"/>
              <w:textAlignment w:val="auto"/>
              <w:rPr>
                <w:rFonts w:hint="eastAsia" w:ascii="宋体" w:hAnsi="宋体" w:cs="宋体"/>
                <w:color w:val="auto"/>
                <w:szCs w:val="21"/>
                <w:highlight w:val="none"/>
                <w:lang w:eastAsia="zh-CN"/>
              </w:rPr>
            </w:pPr>
          </w:p>
        </w:tc>
      </w:tr>
    </w:tbl>
    <w:p w14:paraId="2136E3DE">
      <w:pPr>
        <w:tabs>
          <w:tab w:val="left" w:pos="1260"/>
        </w:tabs>
        <w:spacing w:beforeLines="0" w:afterLines="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258578D">
      <w:pPr>
        <w:numPr>
          <w:ilvl w:val="0"/>
          <w:numId w:val="1"/>
        </w:numPr>
        <w:tabs>
          <w:tab w:val="left" w:pos="1260"/>
        </w:tabs>
        <w:spacing w:beforeLines="0" w:afterLines="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如果投标人</w:t>
      </w:r>
      <w:r>
        <w:rPr>
          <w:rFonts w:hint="eastAsia" w:ascii="宋体" w:hAnsi="宋体" w:cs="宋体"/>
          <w:b w:val="0"/>
          <w:bCs w:val="0"/>
          <w:color w:val="auto"/>
          <w:sz w:val="21"/>
          <w:szCs w:val="21"/>
          <w:highlight w:val="none"/>
          <w:lang w:val="en-US" w:eastAsia="zh-CN"/>
        </w:rPr>
        <w:t>最近一年度</w:t>
      </w:r>
      <w:r>
        <w:rPr>
          <w:rFonts w:hint="eastAsia" w:ascii="宋体" w:hAnsi="宋体" w:eastAsia="宋体" w:cs="宋体"/>
          <w:color w:val="auto"/>
          <w:szCs w:val="21"/>
          <w:highlight w:val="none"/>
        </w:rPr>
        <w:t>的流动资产减</w:t>
      </w:r>
      <w:r>
        <w:rPr>
          <w:rFonts w:hint="eastAsia" w:ascii="宋体" w:hAnsi="宋体" w:cs="宋体"/>
          <w:b w:val="0"/>
          <w:bCs w:val="0"/>
          <w:color w:val="auto"/>
          <w:sz w:val="21"/>
          <w:szCs w:val="21"/>
          <w:highlight w:val="none"/>
          <w:lang w:val="en-US" w:eastAsia="zh-CN"/>
        </w:rPr>
        <w:t>最近一年度</w:t>
      </w:r>
      <w:r>
        <w:rPr>
          <w:rFonts w:hint="eastAsia" w:ascii="宋体" w:hAnsi="宋体" w:eastAsia="宋体" w:cs="宋体"/>
          <w:color w:val="auto"/>
          <w:szCs w:val="21"/>
          <w:highlight w:val="none"/>
        </w:rPr>
        <w:t>的流动负债满足资格审查条件的营运资金额度，可不提供银行信贷。</w:t>
      </w:r>
    </w:p>
    <w:p w14:paraId="5315B6C7">
      <w:pPr>
        <w:tabs>
          <w:tab w:val="left" w:pos="1260"/>
        </w:tabs>
        <w:spacing w:beforeLines="0" w:afterLines="0"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Cs w:val="21"/>
          <w:highlight w:val="none"/>
        </w:rPr>
        <w:t>投标人如不满足上述资格审查条件，将被认为审查不合格。</w:t>
      </w:r>
    </w:p>
    <w:p w14:paraId="717AB6F0">
      <w:pPr>
        <w:tabs>
          <w:tab w:val="left" w:pos="1260"/>
        </w:tabs>
        <w:spacing w:beforeLines="0" w:afterLines="0" w:line="360" w:lineRule="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br w:type="page"/>
      </w:r>
    </w:p>
    <w:p w14:paraId="11994F33">
      <w:pPr>
        <w:tabs>
          <w:tab w:val="left" w:pos="1260"/>
        </w:tabs>
        <w:spacing w:before="0" w:beforeLines="0" w:afterLines="0" w:line="360" w:lineRule="auto"/>
        <w:rPr>
          <w:rFonts w:hint="eastAsia" w:ascii="宋体" w:hAnsi="宋体" w:cs="宋体"/>
          <w:color w:val="auto"/>
          <w:sz w:val="19"/>
          <w:szCs w:val="19"/>
          <w:highlight w:val="none"/>
          <w:lang w:eastAsia="zh-CN"/>
        </w:rPr>
      </w:pPr>
    </w:p>
    <w:p w14:paraId="13D082ED">
      <w:pPr>
        <w:pStyle w:val="15"/>
        <w:tabs>
          <w:tab w:val="left" w:pos="1095"/>
          <w:tab w:val="left" w:pos="1260"/>
        </w:tabs>
        <w:spacing w:beforeLines="0" w:afterLines="0" w:line="360" w:lineRule="auto"/>
        <w:ind w:left="39"/>
        <w:jc w:val="center"/>
        <w:rPr>
          <w:rFonts w:hint="eastAsia" w:ascii="宋体" w:hAnsi="宋体" w:eastAsia="宋体" w:cs="宋体"/>
          <w:color w:val="auto"/>
          <w:sz w:val="14"/>
          <w:szCs w:val="14"/>
          <w:highlight w:val="none"/>
          <w:lang w:eastAsia="zh-CN"/>
        </w:rPr>
      </w:pPr>
      <w:bookmarkStart w:id="23" w:name="_bookmark23"/>
      <w:bookmarkEnd w:id="23"/>
      <w:r>
        <w:rPr>
          <w:rFonts w:hint="eastAsia" w:ascii="宋体" w:hAnsi="宋体" w:eastAsia="宋体" w:cs="宋体"/>
          <w:color w:val="auto"/>
          <w:spacing w:val="2"/>
          <w:highlight w:val="none"/>
          <w:lang w:eastAsia="zh-CN"/>
        </w:rPr>
        <w:t>附</w:t>
      </w:r>
      <w:r>
        <w:rPr>
          <w:rFonts w:hint="eastAsia" w:ascii="宋体" w:hAnsi="宋体" w:eastAsia="宋体" w:cs="宋体"/>
          <w:color w:val="auto"/>
          <w:highlight w:val="none"/>
          <w:lang w:eastAsia="zh-CN"/>
        </w:rPr>
        <w:t>录3资格审查条件</w:t>
      </w:r>
      <w:r>
        <w:rPr>
          <w:rFonts w:hint="eastAsia" w:ascii="宋体" w:hAnsi="宋体" w:eastAsia="宋体" w:cs="宋体"/>
          <w:color w:val="auto"/>
          <w:spacing w:val="2"/>
          <w:highlight w:val="none"/>
          <w:lang w:eastAsia="zh-CN"/>
        </w:rPr>
        <w:t>（</w:t>
      </w:r>
      <w:r>
        <w:rPr>
          <w:rFonts w:hint="eastAsia" w:ascii="宋体" w:hAnsi="宋体" w:eastAsia="宋体" w:cs="宋体"/>
          <w:color w:val="auto"/>
          <w:highlight w:val="none"/>
          <w:lang w:eastAsia="zh-CN"/>
        </w:rPr>
        <w:t>业绩最低要求）</w:t>
      </w:r>
    </w:p>
    <w:tbl>
      <w:tblPr>
        <w:tblStyle w:val="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0D675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5000" w:type="pct"/>
            <w:noWrap w:val="0"/>
            <w:vAlign w:val="center"/>
          </w:tcPr>
          <w:p w14:paraId="6D674E94">
            <w:pPr>
              <w:widowControl/>
              <w:tabs>
                <w:tab w:val="left" w:pos="1260"/>
              </w:tabs>
              <w:wordWrap w:val="0"/>
              <w:spacing w:beforeLines="0" w:afterLines="0" w:line="360" w:lineRule="auto"/>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业绩要求</w:t>
            </w:r>
          </w:p>
        </w:tc>
      </w:tr>
      <w:tr w14:paraId="065CA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9" w:hRule="atLeast"/>
        </w:trPr>
        <w:tc>
          <w:tcPr>
            <w:tcW w:w="5000" w:type="pct"/>
            <w:noWrap w:val="0"/>
            <w:vAlign w:val="top"/>
          </w:tcPr>
          <w:p w14:paraId="1C819E23">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val="en-US" w:eastAsia="zh-CN"/>
              </w:rPr>
            </w:pPr>
          </w:p>
          <w:p w14:paraId="6D9C4D84">
            <w:pPr>
              <w:keepNext w:val="0"/>
              <w:keepLines w:val="0"/>
              <w:pageBreakBefore w:val="0"/>
              <w:widowControl w:val="0"/>
              <w:tabs>
                <w:tab w:val="left" w:pos="1260"/>
              </w:tabs>
              <w:kinsoku/>
              <w:overflowPunct/>
              <w:topLinePunct w:val="0"/>
              <w:autoSpaceDE/>
              <w:autoSpaceDN/>
              <w:bidi w:val="0"/>
              <w:snapToGrid/>
              <w:spacing w:beforeLines="0" w:after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近五年内（2020年5月1日至投标文件递交截止时间止，以实际交工日期为准）</w:t>
            </w:r>
            <w:r>
              <w:rPr>
                <w:rFonts w:hint="eastAsia" w:ascii="宋体" w:hAnsi="宋体" w:cs="宋体"/>
                <w:color w:val="auto"/>
                <w:sz w:val="21"/>
                <w:szCs w:val="21"/>
                <w:highlight w:val="none"/>
                <w:lang w:val="en-US" w:eastAsia="zh-CN"/>
              </w:rPr>
              <w:t>投标人完成过下列公路工程施工</w:t>
            </w:r>
            <w:r>
              <w:rPr>
                <w:rFonts w:hint="eastAsia" w:ascii="宋体" w:hAnsi="宋体" w:eastAsia="宋体" w:cs="宋体"/>
                <w:color w:val="auto"/>
                <w:sz w:val="21"/>
                <w:szCs w:val="21"/>
                <w:highlight w:val="none"/>
                <w:lang w:val="en-US" w:eastAsia="zh-CN"/>
              </w:rPr>
              <w:t>，交工验收达到合格标准，且同时满足：</w:t>
            </w:r>
          </w:p>
          <w:p w14:paraId="5C8D2BF9">
            <w:pPr>
              <w:keepNext w:val="0"/>
              <w:keepLines w:val="0"/>
              <w:pageBreakBefore w:val="0"/>
              <w:widowControl w:val="0"/>
              <w:tabs>
                <w:tab w:val="left" w:pos="1260"/>
              </w:tabs>
              <w:kinsoku/>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A1标段：至少独立完成过一个二级及以上等级公路路基工程施工项目。</w:t>
            </w:r>
          </w:p>
          <w:p w14:paraId="166D3238">
            <w:pPr>
              <w:keepNext w:val="0"/>
              <w:keepLines w:val="0"/>
              <w:pageBreakBefore w:val="0"/>
              <w:widowControl w:val="0"/>
              <w:tabs>
                <w:tab w:val="left" w:pos="1260"/>
              </w:tabs>
              <w:kinsoku/>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A2标段：至少独立完成过一座特大桥梁工程施工项目。</w:t>
            </w:r>
          </w:p>
          <w:p w14:paraId="373E7D3C">
            <w:pPr>
              <w:keepNext w:val="0"/>
              <w:keepLines w:val="0"/>
              <w:pageBreakBefore w:val="0"/>
              <w:widowControl w:val="0"/>
              <w:tabs>
                <w:tab w:val="left" w:pos="1260"/>
              </w:tabs>
              <w:kinsoku/>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A3标段：</w:t>
            </w:r>
          </w:p>
          <w:p w14:paraId="730E423C">
            <w:pPr>
              <w:keepNext w:val="0"/>
              <w:keepLines w:val="0"/>
              <w:pageBreakBefore w:val="0"/>
              <w:widowControl w:val="0"/>
              <w:tabs>
                <w:tab w:val="left" w:pos="1260"/>
              </w:tabs>
              <w:kinsoku/>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1.至少独立完成过一个二级及以上等级公路路基工程施工项目；</w:t>
            </w:r>
          </w:p>
          <w:p w14:paraId="29C7EFFE">
            <w:pPr>
              <w:keepNext w:val="0"/>
              <w:keepLines w:val="0"/>
              <w:pageBreakBefore w:val="0"/>
              <w:widowControl w:val="0"/>
              <w:tabs>
                <w:tab w:val="left" w:pos="1260"/>
              </w:tabs>
              <w:kinsoku/>
              <w:overflowPunct/>
              <w:topLinePunct w:val="0"/>
              <w:autoSpaceDE/>
              <w:autoSpaceDN/>
              <w:bidi w:val="0"/>
              <w:spacing w:beforeLines="0" w:afterLines="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2.至少独立完成过一个二级及以上等级公路沥青混凝土路面工程施工项目。</w:t>
            </w:r>
          </w:p>
          <w:p w14:paraId="123FA1F3">
            <w:pPr>
              <w:keepNext w:val="0"/>
              <w:keepLines w:val="0"/>
              <w:pageBreakBefore w:val="0"/>
              <w:widowControl w:val="0"/>
              <w:tabs>
                <w:tab w:val="left" w:pos="1260"/>
              </w:tabs>
              <w:kinsoku/>
              <w:overflowPunct/>
              <w:topLinePunct w:val="0"/>
              <w:autoSpaceDE/>
              <w:autoSpaceDN/>
              <w:bidi w:val="0"/>
              <w:spacing w:beforeLines="0" w:afterLines="0"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b w:val="0"/>
                <w:bCs/>
                <w:color w:val="auto"/>
                <w:sz w:val="21"/>
                <w:szCs w:val="21"/>
                <w:highlight w:val="none"/>
              </w:rPr>
              <w:t>注：</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上述施工业绩指的是公路新建或改扩建项目（不含养护项目）的施工。</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A3标段</w:t>
            </w:r>
            <w:r>
              <w:rPr>
                <w:rFonts w:hint="eastAsia" w:ascii="宋体" w:hAnsi="宋体" w:eastAsia="宋体" w:cs="宋体"/>
                <w:b w:val="0"/>
                <w:bCs/>
                <w:color w:val="auto"/>
                <w:sz w:val="21"/>
                <w:szCs w:val="21"/>
                <w:highlight w:val="none"/>
              </w:rPr>
              <w:t>如单个业绩能同时满足上述条件要求的，则该业绩可分别予以认定。</w:t>
            </w:r>
          </w:p>
          <w:p w14:paraId="6DA6806C">
            <w:pPr>
              <w:tabs>
                <w:tab w:val="left" w:pos="1260"/>
              </w:tabs>
              <w:adjustRightInd w:val="0"/>
              <w:snapToGrid w:val="0"/>
              <w:spacing w:beforeLines="0" w:afterLines="0" w:line="360" w:lineRule="auto"/>
              <w:ind w:firstLine="420" w:firstLineChars="200"/>
              <w:jc w:val="both"/>
              <w:rPr>
                <w:rFonts w:hint="eastAsia" w:ascii="宋体" w:hAnsi="宋体" w:eastAsia="宋体" w:cs="宋体"/>
                <w:color w:val="auto"/>
                <w:sz w:val="21"/>
                <w:highlight w:val="none"/>
                <w:lang w:eastAsia="zh-CN"/>
              </w:rPr>
            </w:pPr>
          </w:p>
        </w:tc>
      </w:tr>
    </w:tbl>
    <w:p w14:paraId="5F9F9D8B">
      <w:pPr>
        <w:tabs>
          <w:tab w:val="left" w:pos="1260"/>
        </w:tabs>
        <w:spacing w:before="0" w:beforeLines="0" w:afterLines="0" w:line="360" w:lineRule="auto"/>
        <w:rPr>
          <w:rFonts w:hint="eastAsia" w:ascii="宋体" w:hAnsi="宋体" w:cs="宋体"/>
          <w:color w:val="auto"/>
          <w:sz w:val="15"/>
          <w:szCs w:val="15"/>
          <w:highlight w:val="none"/>
          <w:lang w:eastAsia="zh-CN"/>
        </w:rPr>
      </w:pPr>
    </w:p>
    <w:p w14:paraId="7EEF315D">
      <w:pPr>
        <w:numPr>
          <w:ilvl w:val="0"/>
          <w:numId w:val="0"/>
        </w:numPr>
        <w:tabs>
          <w:tab w:val="left" w:pos="1260"/>
        </w:tabs>
        <w:spacing w:beforeLines="0" w:afterLines="0"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注：</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上述施工业绩指的是公路新建或改扩建项目（不含养护项目）的施工。</w:t>
      </w:r>
    </w:p>
    <w:p w14:paraId="0FF71060">
      <w:pPr>
        <w:numPr>
          <w:ilvl w:val="0"/>
          <w:numId w:val="0"/>
        </w:numPr>
        <w:tabs>
          <w:tab w:val="left" w:pos="1260"/>
        </w:tabs>
        <w:spacing w:beforeLines="0" w:afterLines="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2、</w:t>
      </w:r>
      <w:r>
        <w:rPr>
          <w:rFonts w:hint="eastAsia" w:ascii="宋体" w:hAnsi="宋体" w:eastAsia="宋体" w:cs="宋体"/>
          <w:color w:val="auto"/>
          <w:szCs w:val="21"/>
          <w:highlight w:val="none"/>
        </w:rPr>
        <w:t>施工业绩要求在黑龙江省交通运输厅网站的“</w:t>
      </w:r>
      <w:r>
        <w:rPr>
          <w:rFonts w:hint="eastAsia" w:ascii="宋体" w:hAnsi="宋体" w:cs="宋体"/>
          <w:color w:val="auto"/>
          <w:szCs w:val="21"/>
          <w:highlight w:val="none"/>
          <w:lang w:eastAsia="zh-CN"/>
        </w:rPr>
        <w:t>黑龙江省公路水运建设市场监督管理系统</w:t>
      </w:r>
      <w:r>
        <w:rPr>
          <w:rFonts w:hint="eastAsia" w:ascii="宋体" w:hAnsi="宋体" w:eastAsia="宋体" w:cs="宋体"/>
          <w:color w:val="auto"/>
          <w:szCs w:val="21"/>
          <w:highlight w:val="none"/>
        </w:rPr>
        <w:t>”或交通运输部网站“全国公路建设市场监督管理系统”中能够查询，如果查询不到该业绩的信息或查询的信息与投标人提供的信息不一致，业绩审查时将不予认定。</w:t>
      </w:r>
    </w:p>
    <w:p w14:paraId="6457A80F">
      <w:pPr>
        <w:numPr>
          <w:ilvl w:val="0"/>
          <w:numId w:val="0"/>
        </w:numPr>
        <w:tabs>
          <w:tab w:val="left" w:pos="1260"/>
        </w:tabs>
        <w:spacing w:beforeLines="0" w:afterLines="0"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投标人如不满足上述资格审查条件，将被认为审查不合格。</w:t>
      </w:r>
    </w:p>
    <w:p w14:paraId="2F443B3C">
      <w:pPr>
        <w:tabs>
          <w:tab w:val="left" w:pos="1260"/>
        </w:tabs>
        <w:spacing w:beforeLines="0" w:afterLines="0" w:line="360" w:lineRule="auto"/>
        <w:rPr>
          <w:rFonts w:hint="eastAsia" w:ascii="宋体" w:hAnsi="宋体" w:cs="宋体"/>
          <w:color w:val="auto"/>
          <w:sz w:val="15"/>
          <w:szCs w:val="15"/>
          <w:highlight w:val="none"/>
          <w:lang w:eastAsia="zh-CN"/>
        </w:rPr>
      </w:pPr>
      <w:r>
        <w:rPr>
          <w:rFonts w:hint="eastAsia" w:ascii="宋体" w:hAnsi="宋体" w:cs="宋体"/>
          <w:color w:val="auto"/>
          <w:sz w:val="15"/>
          <w:szCs w:val="15"/>
          <w:highlight w:val="none"/>
          <w:lang w:eastAsia="zh-CN"/>
        </w:rPr>
        <w:br w:type="page"/>
      </w:r>
    </w:p>
    <w:p w14:paraId="170A6068">
      <w:pPr>
        <w:tabs>
          <w:tab w:val="left" w:pos="1260"/>
        </w:tabs>
        <w:spacing w:before="0" w:beforeLines="0" w:afterLines="0" w:line="360" w:lineRule="auto"/>
        <w:rPr>
          <w:rFonts w:hint="eastAsia" w:ascii="宋体" w:hAnsi="宋体" w:cs="宋体"/>
          <w:color w:val="auto"/>
          <w:sz w:val="15"/>
          <w:szCs w:val="15"/>
          <w:highlight w:val="none"/>
          <w:lang w:eastAsia="zh-CN"/>
        </w:rPr>
      </w:pPr>
    </w:p>
    <w:p w14:paraId="6556DC0D">
      <w:pPr>
        <w:tabs>
          <w:tab w:val="left" w:pos="1260"/>
        </w:tabs>
        <w:spacing w:beforeLines="0" w:afterLines="0" w:line="360" w:lineRule="auto"/>
        <w:rPr>
          <w:rFonts w:hint="eastAsia" w:ascii="宋体" w:hAnsi="宋体" w:cs="宋体"/>
          <w:color w:val="auto"/>
          <w:sz w:val="20"/>
          <w:szCs w:val="20"/>
          <w:highlight w:val="none"/>
          <w:lang w:eastAsia="zh-CN"/>
        </w:rPr>
      </w:pPr>
    </w:p>
    <w:p w14:paraId="06B74DB6">
      <w:pPr>
        <w:pStyle w:val="15"/>
        <w:tabs>
          <w:tab w:val="left" w:pos="1235"/>
          <w:tab w:val="left" w:pos="1260"/>
        </w:tabs>
        <w:spacing w:beforeLines="0" w:afterLines="0" w:line="360" w:lineRule="auto"/>
        <w:ind w:left="179"/>
        <w:jc w:val="center"/>
        <w:rPr>
          <w:rFonts w:hint="eastAsia" w:ascii="宋体" w:hAnsi="宋体" w:eastAsia="宋体" w:cs="宋体"/>
          <w:color w:val="auto"/>
          <w:sz w:val="14"/>
          <w:szCs w:val="14"/>
          <w:highlight w:val="none"/>
          <w:lang w:eastAsia="zh-CN"/>
        </w:rPr>
      </w:pPr>
      <w:bookmarkStart w:id="24" w:name="_bookmark24"/>
      <w:bookmarkEnd w:id="24"/>
      <w:r>
        <w:rPr>
          <w:rFonts w:hint="eastAsia" w:ascii="宋体" w:hAnsi="宋体" w:eastAsia="宋体" w:cs="宋体"/>
          <w:color w:val="auto"/>
          <w:spacing w:val="2"/>
          <w:highlight w:val="none"/>
          <w:lang w:eastAsia="zh-CN"/>
        </w:rPr>
        <w:t>附</w:t>
      </w:r>
      <w:r>
        <w:rPr>
          <w:rFonts w:hint="eastAsia" w:ascii="宋体" w:hAnsi="宋体" w:eastAsia="宋体" w:cs="宋体"/>
          <w:color w:val="auto"/>
          <w:highlight w:val="none"/>
          <w:lang w:eastAsia="zh-CN"/>
        </w:rPr>
        <w:t>录4资格审查条件</w:t>
      </w:r>
      <w:r>
        <w:rPr>
          <w:rFonts w:hint="eastAsia" w:ascii="宋体" w:hAnsi="宋体" w:eastAsia="宋体" w:cs="宋体"/>
          <w:color w:val="auto"/>
          <w:spacing w:val="2"/>
          <w:highlight w:val="none"/>
          <w:lang w:eastAsia="zh-CN"/>
        </w:rPr>
        <w:t>（</w:t>
      </w:r>
      <w:r>
        <w:rPr>
          <w:rFonts w:hint="eastAsia" w:ascii="宋体" w:hAnsi="宋体" w:eastAsia="宋体" w:cs="宋体"/>
          <w:color w:val="auto"/>
          <w:highlight w:val="none"/>
          <w:lang w:eastAsia="zh-CN"/>
        </w:rPr>
        <w:t>信誉最低要求）</w:t>
      </w:r>
    </w:p>
    <w:tbl>
      <w:tblPr>
        <w:tblStyle w:val="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23E93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5000" w:type="pct"/>
            <w:noWrap w:val="0"/>
            <w:vAlign w:val="center"/>
          </w:tcPr>
          <w:p w14:paraId="104738EE">
            <w:pPr>
              <w:widowControl/>
              <w:tabs>
                <w:tab w:val="left" w:pos="1260"/>
              </w:tabs>
              <w:spacing w:beforeLines="0" w:afterLines="0" w:line="360" w:lineRule="auto"/>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信誉要求</w:t>
            </w:r>
          </w:p>
        </w:tc>
      </w:tr>
      <w:tr w14:paraId="3717F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4" w:hRule="atLeast"/>
          <w:jc w:val="center"/>
        </w:trPr>
        <w:tc>
          <w:tcPr>
            <w:tcW w:w="9458" w:type="dxa"/>
            <w:noWrap w:val="0"/>
            <w:vAlign w:val="center"/>
          </w:tcPr>
          <w:p w14:paraId="3EA962B3">
            <w:pPr>
              <w:tabs>
                <w:tab w:val="left" w:pos="1260"/>
              </w:tabs>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1、投标人在近三年中不得在合同中违约且被驱逐出现场；</w:t>
            </w:r>
          </w:p>
          <w:p w14:paraId="4EDEBB5F">
            <w:pPr>
              <w:tabs>
                <w:tab w:val="left" w:pos="1260"/>
              </w:tabs>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2、投标人在近三年中不得有重大质量、安全事故被有关部门处罚；</w:t>
            </w:r>
          </w:p>
          <w:p w14:paraId="3D9994F7">
            <w:pPr>
              <w:tabs>
                <w:tab w:val="left" w:pos="1260"/>
              </w:tabs>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3、投标人在近三年中不得存在拖欠农民工工资情况；</w:t>
            </w:r>
          </w:p>
          <w:p w14:paraId="1A583BBF">
            <w:pPr>
              <w:keepNext w:val="0"/>
              <w:keepLines w:val="0"/>
              <w:pageBreakBefore w:val="0"/>
              <w:widowControl/>
              <w:tabs>
                <w:tab w:val="left" w:pos="1260"/>
              </w:tabs>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lang w:eastAsia="zh-CN"/>
              </w:rPr>
              <w:t>投标人在国家企业信用信息公示系统（http://www.gsxt.gov.cn/）中被列入严重违法失信企业名单的投标人，不得参加本项目投标。</w:t>
            </w:r>
          </w:p>
          <w:p w14:paraId="3902BB29">
            <w:pPr>
              <w:keepNext w:val="0"/>
              <w:keepLines w:val="0"/>
              <w:pageBreakBefore w:val="0"/>
              <w:widowControl/>
              <w:tabs>
                <w:tab w:val="left" w:pos="1260"/>
              </w:tabs>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val="en-US" w:eastAsia="zh-CN"/>
              </w:rPr>
              <w:t>5、</w:t>
            </w:r>
            <w:r>
              <w:rPr>
                <w:rFonts w:hint="eastAsia" w:ascii="宋体" w:hAnsi="宋体" w:cs="宋体"/>
                <w:color w:val="auto"/>
                <w:kern w:val="2"/>
                <w:sz w:val="21"/>
                <w:szCs w:val="21"/>
                <w:highlight w:val="none"/>
                <w:lang w:eastAsia="zh-CN"/>
              </w:rPr>
              <w:t>投标人在“信用中国”网站（http://www.creditchina.gov.cn）中投标人被列入失信被执行人名单不得参加本项目投标。</w:t>
            </w:r>
          </w:p>
          <w:p w14:paraId="4D61371A">
            <w:pPr>
              <w:keepNext w:val="0"/>
              <w:keepLines w:val="0"/>
              <w:pageBreakBefore w:val="0"/>
              <w:widowControl/>
              <w:tabs>
                <w:tab w:val="left" w:pos="1260"/>
              </w:tabs>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val="en-US" w:eastAsia="zh-CN"/>
              </w:rPr>
              <w:t>6、</w:t>
            </w:r>
            <w:r>
              <w:rPr>
                <w:rFonts w:hint="eastAsia" w:ascii="宋体" w:hAnsi="宋体" w:cs="宋体"/>
                <w:color w:val="auto"/>
                <w:kern w:val="2"/>
                <w:sz w:val="21"/>
                <w:szCs w:val="21"/>
                <w:highlight w:val="none"/>
                <w:lang w:eastAsia="zh-CN"/>
              </w:rPr>
              <w:t>近三年内（2022年1月1日至投标截止日）投标人或其法定代表人、拟委任的项目经理无中国裁判文书网（http://wenshu.court.gov.cn）行贿犯罪行为记录（以投标人提供的承诺为准）。</w:t>
            </w:r>
          </w:p>
          <w:p w14:paraId="4B95C5D7">
            <w:pPr>
              <w:keepNext w:val="0"/>
              <w:keepLines w:val="0"/>
              <w:pageBreakBefore w:val="0"/>
              <w:widowControl/>
              <w:tabs>
                <w:tab w:val="left" w:pos="1260"/>
              </w:tabs>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val="en-US" w:eastAsia="zh-CN"/>
              </w:rPr>
              <w:t>7、</w:t>
            </w:r>
            <w:r>
              <w:rPr>
                <w:rFonts w:hint="eastAsia" w:ascii="宋体" w:hAnsi="宋体" w:cs="宋体"/>
                <w:color w:val="auto"/>
                <w:kern w:val="2"/>
                <w:sz w:val="21"/>
                <w:szCs w:val="21"/>
                <w:highlight w:val="none"/>
                <w:lang w:eastAsia="zh-CN"/>
              </w:rPr>
              <w:t>本次招标不接受黑龙江省交通运输厅202</w:t>
            </w:r>
            <w:r>
              <w:rPr>
                <w:rFonts w:hint="eastAsia" w:ascii="宋体" w:hAnsi="宋体" w:eastAsia="宋体" w:cs="宋体"/>
                <w:color w:val="auto"/>
                <w:kern w:val="2"/>
                <w:sz w:val="21"/>
                <w:szCs w:val="21"/>
                <w:highlight w:val="none"/>
                <w:lang w:eastAsia="zh-CN"/>
              </w:rPr>
              <w:t>4</w:t>
            </w:r>
            <w:r>
              <w:rPr>
                <w:rFonts w:hint="eastAsia" w:ascii="宋体" w:hAnsi="宋体" w:cs="宋体"/>
                <w:color w:val="auto"/>
                <w:kern w:val="2"/>
                <w:sz w:val="21"/>
                <w:szCs w:val="21"/>
                <w:highlight w:val="none"/>
                <w:lang w:eastAsia="zh-CN"/>
              </w:rPr>
              <w:t>年度公路施工企业信用评价或交通运输部202</w:t>
            </w:r>
            <w:r>
              <w:rPr>
                <w:rFonts w:hint="eastAsia" w:ascii="宋体" w:hAnsi="宋体" w:eastAsia="宋体" w:cs="宋体"/>
                <w:color w:val="auto"/>
                <w:kern w:val="2"/>
                <w:sz w:val="21"/>
                <w:szCs w:val="21"/>
                <w:highlight w:val="none"/>
                <w:lang w:val="en-US" w:eastAsia="zh-CN"/>
              </w:rPr>
              <w:t>3</w:t>
            </w:r>
            <w:r>
              <w:rPr>
                <w:rFonts w:hint="eastAsia" w:ascii="宋体" w:hAnsi="宋体" w:cs="宋体"/>
                <w:color w:val="auto"/>
                <w:kern w:val="2"/>
                <w:sz w:val="21"/>
                <w:szCs w:val="21"/>
                <w:highlight w:val="none"/>
                <w:lang w:eastAsia="zh-CN"/>
              </w:rPr>
              <w:t>年度公路建设市场公路施工企业全国综合信用评价被认定为D级的投标人投标。</w:t>
            </w:r>
          </w:p>
          <w:p w14:paraId="05A8FE51">
            <w:pPr>
              <w:tabs>
                <w:tab w:val="left" w:pos="1260"/>
              </w:tabs>
              <w:spacing w:beforeLines="0" w:afterLines="0" w:line="360" w:lineRule="auto"/>
              <w:ind w:firstLine="0" w:firstLineChars="0"/>
              <w:rPr>
                <w:rFonts w:hint="eastAsia" w:ascii="宋体" w:hAnsi="宋体" w:eastAsia="宋体" w:cs="宋体"/>
                <w:color w:val="auto"/>
                <w:sz w:val="21"/>
                <w:highlight w:val="none"/>
                <w:lang w:eastAsia="zh-CN"/>
              </w:rPr>
            </w:pPr>
          </w:p>
        </w:tc>
      </w:tr>
    </w:tbl>
    <w:p w14:paraId="132CF289">
      <w:pPr>
        <w:tabs>
          <w:tab w:val="left" w:pos="1260"/>
        </w:tabs>
        <w:spacing w:beforeLines="0" w:afterLines="0"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注：</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投标人如不满足上述资格审查条件，将被认为审查不合格。</w:t>
      </w:r>
    </w:p>
    <w:p w14:paraId="7D8A4497">
      <w:pPr>
        <w:pStyle w:val="7"/>
        <w:tabs>
          <w:tab w:val="left" w:pos="1260"/>
        </w:tabs>
        <w:spacing w:beforeLines="0" w:after="0" w:afterLines="0" w:line="360" w:lineRule="auto"/>
        <w:ind w:firstLine="420" w:firstLineChars="200"/>
        <w:rPr>
          <w:rFonts w:hint="eastAsia" w:ascii="宋体" w:hAnsi="宋体" w:cs="宋体"/>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、近三年为</w:t>
      </w:r>
      <w:r>
        <w:rPr>
          <w:rFonts w:hint="eastAsia" w:ascii="宋体" w:hAnsi="宋体" w:cs="宋体"/>
          <w:color w:val="auto"/>
          <w:szCs w:val="21"/>
          <w:highlight w:val="none"/>
          <w:lang w:val="en-US" w:eastAsia="zh-CN"/>
        </w:rPr>
        <w:t>2022年1月1日</w:t>
      </w:r>
      <w:r>
        <w:rPr>
          <w:rFonts w:hint="eastAsia" w:ascii="宋体" w:hAnsi="宋体" w:eastAsia="宋体" w:cs="宋体"/>
          <w:color w:val="auto"/>
          <w:szCs w:val="21"/>
          <w:highlight w:val="none"/>
          <w:lang w:val="en-US" w:eastAsia="zh-CN"/>
        </w:rPr>
        <w:t>至投标截止日。</w:t>
      </w:r>
    </w:p>
    <w:p w14:paraId="2F92FBED">
      <w:pPr>
        <w:tabs>
          <w:tab w:val="left" w:pos="1260"/>
        </w:tabs>
        <w:spacing w:beforeLines="0" w:afterLines="0" w:line="360" w:lineRule="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br w:type="page"/>
      </w:r>
    </w:p>
    <w:p w14:paraId="495F543A">
      <w:pPr>
        <w:pStyle w:val="15"/>
        <w:tabs>
          <w:tab w:val="left" w:pos="1235"/>
          <w:tab w:val="left" w:pos="1260"/>
        </w:tabs>
        <w:spacing w:beforeLines="0" w:afterLines="0" w:line="360" w:lineRule="auto"/>
        <w:ind w:left="179"/>
        <w:jc w:val="center"/>
        <w:rPr>
          <w:rFonts w:hint="eastAsia" w:ascii="宋体" w:hAnsi="宋体" w:eastAsia="宋体" w:cs="宋体"/>
          <w:color w:val="auto"/>
          <w:sz w:val="14"/>
          <w:szCs w:val="14"/>
          <w:highlight w:val="none"/>
          <w:lang w:eastAsia="zh-CN"/>
        </w:rPr>
      </w:pPr>
      <w:r>
        <w:rPr>
          <w:rFonts w:hint="eastAsia" w:ascii="宋体" w:hAnsi="宋体" w:eastAsia="宋体" w:cs="宋体"/>
          <w:color w:val="auto"/>
          <w:spacing w:val="2"/>
          <w:highlight w:val="none"/>
          <w:lang w:eastAsia="zh-CN"/>
        </w:rPr>
        <w:t>附录5资格审查条件（项目经理和项目总工最低要求）</w:t>
      </w:r>
    </w:p>
    <w:p w14:paraId="507DABCE">
      <w:pPr>
        <w:tabs>
          <w:tab w:val="left" w:pos="1260"/>
        </w:tabs>
        <w:spacing w:before="0" w:beforeLines="0" w:afterLines="0" w:line="360" w:lineRule="auto"/>
        <w:rPr>
          <w:rFonts w:hint="eastAsia" w:ascii="宋体" w:hAnsi="宋体" w:cs="宋体"/>
          <w:color w:val="auto"/>
          <w:sz w:val="28"/>
          <w:szCs w:val="28"/>
          <w:highlight w:val="none"/>
          <w:lang w:eastAsia="zh-CN"/>
        </w:rPr>
      </w:pPr>
    </w:p>
    <w:tbl>
      <w:tblPr>
        <w:tblStyle w:val="17"/>
        <w:tblW w:w="90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0"/>
        <w:gridCol w:w="1313"/>
        <w:gridCol w:w="4135"/>
        <w:gridCol w:w="1888"/>
      </w:tblGrid>
      <w:tr w14:paraId="583B5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jc w:val="center"/>
        </w:trPr>
        <w:tc>
          <w:tcPr>
            <w:tcW w:w="1670" w:type="dxa"/>
            <w:tcBorders>
              <w:tl2br w:val="nil"/>
              <w:tr2bl w:val="nil"/>
            </w:tcBorders>
            <w:noWrap w:val="0"/>
            <w:vAlign w:val="center"/>
          </w:tcPr>
          <w:p w14:paraId="4214B7FC">
            <w:pPr>
              <w:pStyle w:val="16"/>
              <w:tabs>
                <w:tab w:val="left" w:pos="1260"/>
              </w:tabs>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tc>
        <w:tc>
          <w:tcPr>
            <w:tcW w:w="1313" w:type="dxa"/>
            <w:tcBorders>
              <w:tl2br w:val="nil"/>
              <w:tr2bl w:val="nil"/>
            </w:tcBorders>
            <w:noWrap w:val="0"/>
            <w:vAlign w:val="center"/>
          </w:tcPr>
          <w:p w14:paraId="12C03D65">
            <w:pPr>
              <w:pStyle w:val="16"/>
              <w:tabs>
                <w:tab w:val="left" w:pos="1260"/>
              </w:tabs>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4135" w:type="dxa"/>
            <w:tcBorders>
              <w:tl2br w:val="nil"/>
              <w:tr2bl w:val="nil"/>
            </w:tcBorders>
            <w:noWrap w:val="0"/>
            <w:vAlign w:val="center"/>
          </w:tcPr>
          <w:p w14:paraId="72A2E1FE">
            <w:pPr>
              <w:pStyle w:val="16"/>
              <w:tabs>
                <w:tab w:val="left" w:pos="1260"/>
              </w:tabs>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资格要求</w:t>
            </w:r>
          </w:p>
        </w:tc>
        <w:tc>
          <w:tcPr>
            <w:tcW w:w="1888" w:type="dxa"/>
            <w:tcBorders>
              <w:tl2br w:val="nil"/>
              <w:tr2bl w:val="nil"/>
            </w:tcBorders>
            <w:noWrap w:val="0"/>
            <w:vAlign w:val="center"/>
          </w:tcPr>
          <w:p w14:paraId="3EC40758">
            <w:pPr>
              <w:pStyle w:val="16"/>
              <w:tabs>
                <w:tab w:val="left" w:pos="1260"/>
              </w:tabs>
              <w:spacing w:beforeLines="0" w:afterLines="0" w:line="360" w:lineRule="auto"/>
              <w:ind w:right="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在岗</w:t>
            </w:r>
            <w:r>
              <w:rPr>
                <w:rFonts w:hint="eastAsia" w:ascii="宋体" w:hAnsi="宋体" w:eastAsia="宋体" w:cs="宋体"/>
                <w:color w:val="auto"/>
                <w:spacing w:val="-3"/>
                <w:sz w:val="21"/>
                <w:szCs w:val="21"/>
                <w:highlight w:val="none"/>
              </w:rPr>
              <w:t>要</w:t>
            </w:r>
            <w:r>
              <w:rPr>
                <w:rFonts w:hint="eastAsia" w:ascii="宋体" w:hAnsi="宋体" w:eastAsia="宋体" w:cs="宋体"/>
                <w:color w:val="auto"/>
                <w:sz w:val="21"/>
                <w:szCs w:val="21"/>
                <w:highlight w:val="none"/>
              </w:rPr>
              <w:t>求</w:t>
            </w:r>
          </w:p>
        </w:tc>
      </w:tr>
      <w:tr w14:paraId="3C85E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8" w:hRule="atLeast"/>
          <w:jc w:val="center"/>
        </w:trPr>
        <w:tc>
          <w:tcPr>
            <w:tcW w:w="1670" w:type="dxa"/>
            <w:tcBorders>
              <w:tl2br w:val="nil"/>
              <w:tr2bl w:val="nil"/>
            </w:tcBorders>
            <w:noWrap w:val="0"/>
            <w:vAlign w:val="center"/>
          </w:tcPr>
          <w:p w14:paraId="419171AF">
            <w:pPr>
              <w:pStyle w:val="16"/>
              <w:tabs>
                <w:tab w:val="left" w:pos="1260"/>
              </w:tabs>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pacing w:val="-3"/>
                <w:sz w:val="21"/>
                <w:szCs w:val="21"/>
                <w:highlight w:val="none"/>
              </w:rPr>
              <w:t>经</w:t>
            </w:r>
            <w:r>
              <w:rPr>
                <w:rFonts w:hint="eastAsia" w:ascii="宋体" w:hAnsi="宋体" w:eastAsia="宋体" w:cs="宋体"/>
                <w:color w:val="auto"/>
                <w:sz w:val="21"/>
                <w:szCs w:val="21"/>
                <w:highlight w:val="none"/>
              </w:rPr>
              <w:t>理</w:t>
            </w:r>
          </w:p>
        </w:tc>
        <w:tc>
          <w:tcPr>
            <w:tcW w:w="1313" w:type="dxa"/>
            <w:tcBorders>
              <w:tl2br w:val="nil"/>
              <w:tr2bl w:val="nil"/>
            </w:tcBorders>
            <w:noWrap w:val="0"/>
            <w:vAlign w:val="center"/>
          </w:tcPr>
          <w:p w14:paraId="281D2240">
            <w:pPr>
              <w:tabs>
                <w:tab w:val="left" w:pos="1260"/>
              </w:tabs>
              <w:spacing w:beforeLines="0" w:afterLines="0"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w:t>
            </w:r>
          </w:p>
        </w:tc>
        <w:tc>
          <w:tcPr>
            <w:tcW w:w="4135" w:type="dxa"/>
            <w:tcBorders>
              <w:tl2br w:val="nil"/>
              <w:tr2bl w:val="nil"/>
            </w:tcBorders>
            <w:noWrap w:val="0"/>
            <w:vAlign w:val="center"/>
          </w:tcPr>
          <w:p w14:paraId="3D57F6FA">
            <w:pPr>
              <w:pStyle w:val="16"/>
              <w:keepNext w:val="0"/>
              <w:keepLines w:val="0"/>
              <w:pageBreakBefore w:val="0"/>
              <w:widowControl/>
              <w:numPr>
                <w:ilvl w:val="0"/>
                <w:numId w:val="2"/>
              </w:numPr>
              <w:tabs>
                <w:tab w:val="left" w:pos="1260"/>
              </w:tabs>
              <w:kinsoku/>
              <w:wordWrap/>
              <w:overflowPunct/>
              <w:topLinePunct w:val="0"/>
              <w:autoSpaceDE/>
              <w:autoSpaceDN/>
              <w:bidi w:val="0"/>
              <w:adjustRightInd/>
              <w:snapToGrid/>
              <w:spacing w:beforeLines="0" w:afterLines="0" w:line="360" w:lineRule="auto"/>
              <w:jc w:val="left"/>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公路工程相关专业工程师及以上职称；</w:t>
            </w:r>
          </w:p>
          <w:p w14:paraId="08D689E0">
            <w:pPr>
              <w:pStyle w:val="16"/>
              <w:keepNext w:val="0"/>
              <w:keepLines w:val="0"/>
              <w:pageBreakBefore w:val="0"/>
              <w:widowControl/>
              <w:numPr>
                <w:ilvl w:val="0"/>
                <w:numId w:val="2"/>
              </w:numPr>
              <w:tabs>
                <w:tab w:val="left" w:pos="1260"/>
              </w:tabs>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lang w:val="en-US" w:eastAsia="zh-CN"/>
              </w:rPr>
              <w:t>持有公路工程专业一级建造师注册证书（注册单位名称必须与投标人名称一致）；</w:t>
            </w:r>
          </w:p>
          <w:p w14:paraId="6576D560">
            <w:pPr>
              <w:pStyle w:val="16"/>
              <w:keepNext w:val="0"/>
              <w:keepLines w:val="0"/>
              <w:pageBreakBefore w:val="0"/>
              <w:widowControl/>
              <w:numPr>
                <w:ilvl w:val="0"/>
                <w:numId w:val="2"/>
              </w:numPr>
              <w:tabs>
                <w:tab w:val="left" w:pos="1260"/>
              </w:tabs>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lang w:val="en-US" w:eastAsia="zh-CN"/>
              </w:rPr>
              <w:t>持有交通运输主管部门颁发的有效B类安全生产考核合格证，且安全生产考核合格证的登记单位名称必须与投标人名称一致。</w:t>
            </w:r>
          </w:p>
        </w:tc>
        <w:tc>
          <w:tcPr>
            <w:tcW w:w="1888" w:type="dxa"/>
            <w:vMerge w:val="restart"/>
            <w:tcBorders>
              <w:tl2br w:val="nil"/>
              <w:tr2bl w:val="nil"/>
            </w:tcBorders>
            <w:shd w:val="clear" w:color="auto" w:fill="auto"/>
            <w:noWrap w:val="0"/>
            <w:vAlign w:val="center"/>
          </w:tcPr>
          <w:p w14:paraId="2EAC4F81">
            <w:pPr>
              <w:tabs>
                <w:tab w:val="left" w:pos="1260"/>
                <w:tab w:val="left" w:pos="1300"/>
              </w:tabs>
              <w:adjustRightInd w:val="0"/>
              <w:snapToGrid w:val="0"/>
              <w:spacing w:beforeLines="0" w:afterLines="0"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无在岗项目（指目前未在其他项目上任职，或虽在其他项目上任职但本项目中标后能够从该项目撤离）</w:t>
            </w:r>
          </w:p>
        </w:tc>
      </w:tr>
      <w:tr w14:paraId="54A15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8" w:hRule="atLeast"/>
          <w:jc w:val="center"/>
        </w:trPr>
        <w:tc>
          <w:tcPr>
            <w:tcW w:w="1670" w:type="dxa"/>
            <w:tcBorders>
              <w:tl2br w:val="nil"/>
              <w:tr2bl w:val="nil"/>
            </w:tcBorders>
            <w:noWrap w:val="0"/>
            <w:vAlign w:val="center"/>
          </w:tcPr>
          <w:p w14:paraId="06A613BC">
            <w:pPr>
              <w:pStyle w:val="16"/>
              <w:tabs>
                <w:tab w:val="left" w:pos="1260"/>
              </w:tabs>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pacing w:val="-3"/>
                <w:sz w:val="21"/>
                <w:szCs w:val="21"/>
                <w:highlight w:val="none"/>
              </w:rPr>
              <w:t>总</w:t>
            </w:r>
            <w:r>
              <w:rPr>
                <w:rFonts w:hint="eastAsia" w:ascii="宋体" w:hAnsi="宋体" w:eastAsia="宋体" w:cs="宋体"/>
                <w:color w:val="auto"/>
                <w:sz w:val="21"/>
                <w:szCs w:val="21"/>
                <w:highlight w:val="none"/>
              </w:rPr>
              <w:t>工</w:t>
            </w:r>
          </w:p>
        </w:tc>
        <w:tc>
          <w:tcPr>
            <w:tcW w:w="1313" w:type="dxa"/>
            <w:tcBorders>
              <w:tl2br w:val="nil"/>
              <w:tr2bl w:val="nil"/>
            </w:tcBorders>
            <w:noWrap w:val="0"/>
            <w:vAlign w:val="center"/>
          </w:tcPr>
          <w:p w14:paraId="67123D01">
            <w:pPr>
              <w:tabs>
                <w:tab w:val="left" w:pos="1260"/>
              </w:tabs>
              <w:spacing w:beforeLines="0" w:afterLines="0"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w:t>
            </w:r>
          </w:p>
        </w:tc>
        <w:tc>
          <w:tcPr>
            <w:tcW w:w="4135" w:type="dxa"/>
            <w:tcBorders>
              <w:tl2br w:val="nil"/>
              <w:tr2bl w:val="nil"/>
            </w:tcBorders>
            <w:noWrap w:val="0"/>
            <w:vAlign w:val="center"/>
          </w:tcPr>
          <w:p w14:paraId="2A15263D">
            <w:pPr>
              <w:pStyle w:val="16"/>
              <w:keepNext w:val="0"/>
              <w:keepLines w:val="0"/>
              <w:pageBreakBefore w:val="0"/>
              <w:widowControl/>
              <w:numPr>
                <w:ilvl w:val="0"/>
                <w:numId w:val="0"/>
              </w:numPr>
              <w:tabs>
                <w:tab w:val="left" w:pos="1260"/>
              </w:tabs>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lang w:eastAsia="zh-CN"/>
              </w:rPr>
              <w:t>公路工程相关专业高级工程师及以上职称。</w:t>
            </w:r>
          </w:p>
        </w:tc>
        <w:tc>
          <w:tcPr>
            <w:tcW w:w="1888" w:type="dxa"/>
            <w:vMerge w:val="continue"/>
            <w:tcBorders>
              <w:tl2br w:val="nil"/>
              <w:tr2bl w:val="nil"/>
            </w:tcBorders>
            <w:noWrap w:val="0"/>
            <w:vAlign w:val="top"/>
          </w:tcPr>
          <w:p w14:paraId="6326FCA0">
            <w:pPr>
              <w:tabs>
                <w:tab w:val="left" w:pos="1260"/>
              </w:tabs>
              <w:spacing w:beforeLines="0" w:afterLines="0" w:line="360" w:lineRule="auto"/>
              <w:rPr>
                <w:rFonts w:hint="eastAsia" w:ascii="宋体" w:hAnsi="宋体" w:cs="宋体"/>
                <w:color w:val="auto"/>
                <w:highlight w:val="none"/>
                <w:lang w:eastAsia="zh-CN"/>
              </w:rPr>
            </w:pPr>
          </w:p>
        </w:tc>
      </w:tr>
    </w:tbl>
    <w:p w14:paraId="40215ADF">
      <w:pPr>
        <w:tabs>
          <w:tab w:val="left" w:pos="1260"/>
        </w:tabs>
        <w:spacing w:beforeLines="0" w:afterLines="0" w:line="360" w:lineRule="auto"/>
        <w:jc w:val="left"/>
        <w:rPr>
          <w:rFonts w:hint="eastAsia" w:ascii="宋体" w:hAnsi="宋体" w:eastAsia="宋体" w:cs="宋体"/>
          <w:color w:val="auto"/>
          <w:szCs w:val="21"/>
          <w:highlight w:val="none"/>
        </w:rPr>
      </w:pPr>
      <w:bookmarkStart w:id="25" w:name="_bookmark26"/>
      <w:bookmarkEnd w:id="25"/>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公路工程相关专业：公路、道路、桥梁、道桥、土建、土木、交通等专业。</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拟委任的项目经理和项目总工在各标段允许重复。</w:t>
      </w:r>
    </w:p>
    <w:p w14:paraId="448254DD">
      <w:pPr>
        <w:numPr>
          <w:ilvl w:val="0"/>
          <w:numId w:val="0"/>
        </w:numPr>
        <w:tabs>
          <w:tab w:val="left" w:pos="1260"/>
        </w:tabs>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Cs w:val="21"/>
          <w:highlight w:val="none"/>
        </w:rPr>
        <w:t>如项目经理或项目总工目前仍在其他项目上任职，则投标人应提供承诺，承诺上述人员能够从任职项目上撤离。</w:t>
      </w:r>
    </w:p>
    <w:p w14:paraId="49AA6D17">
      <w:pPr>
        <w:tabs>
          <w:tab w:val="left" w:pos="1260"/>
        </w:tabs>
        <w:spacing w:beforeLines="0"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项目经理和项目总工提供社保机构出具的在投标单位的202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年1月1日至投标截止日任意连续三个月社保缴费证明。</w:t>
      </w:r>
    </w:p>
    <w:p w14:paraId="6179DF9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投标人如不满足上述资格审查条件，将被认为审查不合格。</w:t>
      </w:r>
    </w:p>
    <w:p w14:paraId="4802427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938804F">
      <w:pPr>
        <w:tabs>
          <w:tab w:val="left" w:pos="1260"/>
        </w:tabs>
        <w:spacing w:beforeLines="0" w:afterLines="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评标办法（综合评分法）</w:t>
      </w:r>
    </w:p>
    <w:p w14:paraId="732F35BD">
      <w:pPr>
        <w:pStyle w:val="2"/>
        <w:tabs>
          <w:tab w:val="left" w:pos="1260"/>
        </w:tabs>
        <w:spacing w:before="0" w:beforeLines="0" w:after="0" w:afterLines="0" w:line="360" w:lineRule="auto"/>
        <w:rPr>
          <w:rFonts w:hint="eastAsia" w:ascii="宋体" w:hAnsi="宋体" w:eastAsia="宋体" w:cs="宋体"/>
          <w:b w:val="0"/>
          <w:color w:val="auto"/>
          <w:sz w:val="24"/>
          <w:szCs w:val="28"/>
          <w:highlight w:val="none"/>
        </w:rPr>
      </w:pPr>
      <w:r>
        <w:rPr>
          <w:rFonts w:hint="eastAsia" w:ascii="宋体" w:hAnsi="宋体" w:eastAsia="宋体" w:cs="宋体"/>
          <w:b w:val="0"/>
          <w:color w:val="auto"/>
          <w:sz w:val="24"/>
          <w:szCs w:val="28"/>
          <w:highlight w:val="none"/>
        </w:rPr>
        <w:t>评标办法前附表</w:t>
      </w:r>
    </w:p>
    <w:tbl>
      <w:tblPr>
        <w:tblStyle w:val="10"/>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57"/>
        <w:gridCol w:w="6793"/>
      </w:tblGrid>
      <w:tr w14:paraId="163A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jc w:val="center"/>
        </w:trPr>
        <w:tc>
          <w:tcPr>
            <w:tcW w:w="1101" w:type="dxa"/>
            <w:vAlign w:val="center"/>
          </w:tcPr>
          <w:p w14:paraId="63170EB2">
            <w:pPr>
              <w:tabs>
                <w:tab w:val="left" w:pos="1260"/>
              </w:tabs>
              <w:spacing w:beforeLines="0" w:afterLines="0" w:line="360" w:lineRule="auto"/>
              <w:jc w:val="center"/>
              <w:rPr>
                <w:rFonts w:hint="eastAsia" w:ascii="宋体" w:hAnsi="宋体" w:cs="宋体"/>
                <w:color w:val="auto"/>
                <w:highlight w:val="none"/>
              </w:rPr>
            </w:pPr>
            <w:r>
              <w:rPr>
                <w:rFonts w:hint="eastAsia" w:ascii="宋体" w:hAnsi="宋体" w:cs="宋体"/>
                <w:b/>
                <w:color w:val="auto"/>
                <w:szCs w:val="21"/>
                <w:highlight w:val="none"/>
              </w:rPr>
              <w:t>条款号</w:t>
            </w:r>
          </w:p>
        </w:tc>
        <w:tc>
          <w:tcPr>
            <w:tcW w:w="1457" w:type="dxa"/>
            <w:vAlign w:val="center"/>
          </w:tcPr>
          <w:p w14:paraId="2C227931">
            <w:pPr>
              <w:tabs>
                <w:tab w:val="left" w:pos="1260"/>
              </w:tabs>
              <w:spacing w:beforeLines="0" w:afterLines="0" w:line="360" w:lineRule="auto"/>
              <w:jc w:val="center"/>
              <w:rPr>
                <w:rFonts w:hint="eastAsia" w:ascii="宋体" w:hAnsi="宋体" w:cs="宋体"/>
                <w:color w:val="auto"/>
                <w:highlight w:val="none"/>
              </w:rPr>
            </w:pPr>
            <w:r>
              <w:rPr>
                <w:rFonts w:hint="eastAsia" w:ascii="宋体" w:hAnsi="宋体" w:cs="宋体"/>
                <w:b/>
                <w:color w:val="auto"/>
                <w:szCs w:val="21"/>
                <w:highlight w:val="none"/>
              </w:rPr>
              <w:t>条款内容</w:t>
            </w:r>
          </w:p>
        </w:tc>
        <w:tc>
          <w:tcPr>
            <w:tcW w:w="6793" w:type="dxa"/>
            <w:vAlign w:val="center"/>
          </w:tcPr>
          <w:p w14:paraId="2AC2F601">
            <w:pPr>
              <w:tabs>
                <w:tab w:val="left" w:pos="1260"/>
              </w:tabs>
              <w:spacing w:beforeLines="0" w:afterLines="0" w:line="360" w:lineRule="auto"/>
              <w:jc w:val="center"/>
              <w:rPr>
                <w:rFonts w:hint="eastAsia" w:ascii="宋体" w:hAnsi="宋体" w:cs="宋体"/>
                <w:color w:val="auto"/>
                <w:highlight w:val="none"/>
              </w:rPr>
            </w:pPr>
            <w:r>
              <w:rPr>
                <w:rFonts w:hint="eastAsia" w:ascii="宋体" w:hAnsi="宋体" w:cs="宋体"/>
                <w:b/>
                <w:color w:val="auto"/>
                <w:szCs w:val="21"/>
                <w:highlight w:val="none"/>
              </w:rPr>
              <w:t>评审因素与评审标准</w:t>
            </w:r>
          </w:p>
        </w:tc>
      </w:tr>
      <w:tr w14:paraId="1FF8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01" w:type="dxa"/>
            <w:vAlign w:val="center"/>
          </w:tcPr>
          <w:p w14:paraId="66181C3A">
            <w:pPr>
              <w:pStyle w:val="16"/>
              <w:tabs>
                <w:tab w:val="left" w:pos="1260"/>
              </w:tabs>
              <w:spacing w:beforeLines="0" w:afterLines="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457" w:type="dxa"/>
            <w:vAlign w:val="center"/>
          </w:tcPr>
          <w:p w14:paraId="2DE37613">
            <w:pPr>
              <w:pStyle w:val="16"/>
              <w:tabs>
                <w:tab w:val="left" w:pos="1260"/>
              </w:tabs>
              <w:spacing w:beforeLines="0" w:afterLines="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评标方法</w:t>
            </w:r>
          </w:p>
        </w:tc>
        <w:tc>
          <w:tcPr>
            <w:tcW w:w="6793" w:type="dxa"/>
          </w:tcPr>
          <w:p w14:paraId="62EC732A">
            <w:pPr>
              <w:keepNext w:val="0"/>
              <w:keepLines w:val="0"/>
              <w:pageBreakBefore w:val="0"/>
              <w:tabs>
                <w:tab w:val="left" w:pos="1260"/>
              </w:tabs>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综合评分相等时，评标委员会依次按照以下优先顺序推荐中标候选人：</w:t>
            </w:r>
          </w:p>
          <w:p w14:paraId="7FFDAC87">
            <w:pPr>
              <w:keepNext w:val="0"/>
              <w:keepLines w:val="0"/>
              <w:pageBreakBefore w:val="0"/>
              <w:tabs>
                <w:tab w:val="left" w:pos="1260"/>
              </w:tabs>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（1）评标价低的优先；</w:t>
            </w:r>
          </w:p>
          <w:p w14:paraId="0E779887">
            <w:pPr>
              <w:keepNext w:val="0"/>
              <w:keepLines w:val="0"/>
              <w:pageBreakBefore w:val="0"/>
              <w:tabs>
                <w:tab w:val="left" w:pos="1260"/>
              </w:tabs>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（2）被交通运输部（2023年度）或黑龙江省交通运输主管部门（2024年度）评为较高公路施工企业信用评价等级的投标人优先（同时具有交通运输部和黑龙江省公路信用评价等级的以等级高的为准）；</w:t>
            </w:r>
          </w:p>
          <w:p w14:paraId="216BA6DB">
            <w:pPr>
              <w:keepNext w:val="0"/>
              <w:keepLines w:val="0"/>
              <w:pageBreakBefore w:val="0"/>
              <w:tabs>
                <w:tab w:val="left" w:pos="1260"/>
              </w:tabs>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（3）主要人员和企业业绩得分较高的投标人优先；</w:t>
            </w:r>
          </w:p>
          <w:p w14:paraId="4C20B074">
            <w:pPr>
              <w:tabs>
                <w:tab w:val="left" w:pos="1260"/>
              </w:tabs>
              <w:spacing w:beforeLines="0" w:afterLines="0" w:line="360" w:lineRule="auto"/>
              <w:rPr>
                <w:rFonts w:hint="eastAsia" w:ascii="宋体" w:hAnsi="宋体" w:cs="宋体"/>
                <w:color w:val="auto"/>
                <w:highlight w:val="none"/>
              </w:rPr>
            </w:pPr>
            <w:r>
              <w:rPr>
                <w:rFonts w:hint="eastAsia" w:ascii="宋体" w:hAnsi="宋体" w:eastAsia="宋体" w:cs="宋体"/>
                <w:color w:val="auto"/>
                <w:kern w:val="0"/>
                <w:sz w:val="21"/>
                <w:szCs w:val="21"/>
                <w:highlight w:val="none"/>
                <w:lang w:val="en-US" w:eastAsia="zh-CN" w:bidi="ar"/>
              </w:rPr>
              <w:t>（4）施工组织设计得分高的优先。</w:t>
            </w:r>
          </w:p>
        </w:tc>
      </w:tr>
      <w:tr w14:paraId="5573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01" w:type="dxa"/>
            <w:vAlign w:val="center"/>
          </w:tcPr>
          <w:p w14:paraId="2EC87AD6">
            <w:pPr>
              <w:pStyle w:val="16"/>
              <w:tabs>
                <w:tab w:val="left" w:pos="1260"/>
              </w:tabs>
              <w:spacing w:beforeLines="0" w:afterLines="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2.1.1</w:t>
            </w:r>
          </w:p>
          <w:p w14:paraId="5BF630F2">
            <w:pPr>
              <w:pStyle w:val="16"/>
              <w:tabs>
                <w:tab w:val="left" w:pos="1260"/>
              </w:tabs>
              <w:spacing w:beforeLines="0" w:afterLines="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2.1.3</w:t>
            </w:r>
          </w:p>
        </w:tc>
        <w:tc>
          <w:tcPr>
            <w:tcW w:w="1457" w:type="dxa"/>
            <w:vAlign w:val="center"/>
          </w:tcPr>
          <w:p w14:paraId="25027336">
            <w:pPr>
              <w:pStyle w:val="16"/>
              <w:tabs>
                <w:tab w:val="left" w:pos="1260"/>
              </w:tabs>
              <w:spacing w:beforeLines="0" w:afterLines="0" w:line="360" w:lineRule="auto"/>
              <w:ind w:right="127"/>
              <w:rPr>
                <w:rFonts w:hint="eastAsia" w:ascii="宋体" w:hAnsi="宋体" w:cs="宋体"/>
                <w:color w:val="auto"/>
                <w:sz w:val="21"/>
                <w:szCs w:val="21"/>
                <w:highlight w:val="none"/>
              </w:rPr>
            </w:pPr>
            <w:r>
              <w:rPr>
                <w:rFonts w:hint="eastAsia" w:ascii="宋体" w:hAnsi="宋体" w:cs="宋体"/>
                <w:color w:val="auto"/>
                <w:sz w:val="21"/>
                <w:szCs w:val="21"/>
                <w:highlight w:val="none"/>
              </w:rPr>
              <w:t>形式评审</w:t>
            </w:r>
          </w:p>
          <w:p w14:paraId="20DDADE4">
            <w:pPr>
              <w:pStyle w:val="16"/>
              <w:tabs>
                <w:tab w:val="left" w:pos="1260"/>
              </w:tabs>
              <w:spacing w:beforeLines="0" w:afterLines="0" w:line="360" w:lineRule="auto"/>
              <w:ind w:right="127"/>
              <w:rPr>
                <w:rFonts w:hint="eastAsia" w:ascii="宋体" w:hAnsi="宋体" w:cs="宋体"/>
                <w:color w:val="auto"/>
                <w:sz w:val="21"/>
                <w:szCs w:val="21"/>
                <w:highlight w:val="none"/>
              </w:rPr>
            </w:pPr>
            <w:r>
              <w:rPr>
                <w:rFonts w:hint="eastAsia" w:ascii="宋体" w:hAnsi="宋体" w:cs="宋体"/>
                <w:color w:val="auto"/>
                <w:sz w:val="21"/>
                <w:szCs w:val="21"/>
                <w:highlight w:val="none"/>
              </w:rPr>
              <w:t>与响应性</w:t>
            </w:r>
          </w:p>
          <w:p w14:paraId="3EDFA755">
            <w:pPr>
              <w:pStyle w:val="16"/>
              <w:tabs>
                <w:tab w:val="left" w:pos="1260"/>
              </w:tabs>
              <w:spacing w:beforeLines="0" w:afterLines="0" w:line="360" w:lineRule="auto"/>
              <w:ind w:right="127"/>
              <w:rPr>
                <w:rFonts w:hint="eastAsia" w:ascii="宋体" w:hAnsi="宋体" w:cs="宋体"/>
                <w:color w:val="auto"/>
                <w:sz w:val="21"/>
                <w:szCs w:val="21"/>
                <w:highlight w:val="none"/>
              </w:rPr>
            </w:pPr>
            <w:r>
              <w:rPr>
                <w:rFonts w:hint="eastAsia" w:ascii="宋体" w:hAnsi="宋体" w:cs="宋体"/>
                <w:color w:val="auto"/>
                <w:sz w:val="21"/>
                <w:szCs w:val="21"/>
                <w:highlight w:val="none"/>
              </w:rPr>
              <w:t>评审标准</w:t>
            </w:r>
          </w:p>
        </w:tc>
        <w:tc>
          <w:tcPr>
            <w:tcW w:w="6793" w:type="dxa"/>
          </w:tcPr>
          <w:p w14:paraId="61A5C749">
            <w:pPr>
              <w:pStyle w:val="16"/>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360" w:lineRule="auto"/>
              <w:jc w:val="both"/>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lang w:val="en-US" w:eastAsia="zh-CN"/>
              </w:rPr>
              <w:t>第</w:t>
            </w:r>
            <w:r>
              <w:rPr>
                <w:rFonts w:hint="eastAsia" w:ascii="宋体" w:hAnsi="宋体" w:cs="宋体"/>
                <w:b/>
                <w:color w:val="auto"/>
                <w:sz w:val="21"/>
                <w:szCs w:val="21"/>
                <w:highlight w:val="none"/>
              </w:rPr>
              <w:t>一个信封（商务及技术文件）评审标准：</w:t>
            </w:r>
          </w:p>
          <w:p w14:paraId="19624106">
            <w:pPr>
              <w:keepNext w:val="0"/>
              <w:keepLines w:val="0"/>
              <w:pageBreakBefore w:val="0"/>
              <w:tabs>
                <w:tab w:val="left" w:pos="1260"/>
              </w:tabs>
              <w:kinsoku/>
              <w:wordWrap/>
              <w:overflowPunct/>
              <w:topLinePunct w:val="0"/>
              <w:autoSpaceDE/>
              <w:autoSpaceDN/>
              <w:bidi w:val="0"/>
              <w:adjustRightInd w:val="0"/>
              <w:snapToGrid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（1）投标文件按照</w:t>
            </w:r>
            <w:r>
              <w:rPr>
                <w:rFonts w:hint="eastAsia" w:ascii="宋体" w:hAnsi="宋体" w:cs="宋体"/>
                <w:color w:val="auto"/>
                <w:kern w:val="0"/>
                <w:szCs w:val="21"/>
                <w:highlight w:val="none"/>
                <w:lang w:val="zh-CN" w:bidi="zh-CN"/>
              </w:rPr>
              <w:t>招标文件</w:t>
            </w:r>
            <w:r>
              <w:rPr>
                <w:rFonts w:hint="eastAsia" w:ascii="宋体" w:hAnsi="宋体" w:cs="宋体"/>
                <w:color w:val="auto"/>
                <w:szCs w:val="21"/>
                <w:highlight w:val="none"/>
              </w:rPr>
              <w:t>规定的格式、内容填写，字迹清晰可辨：</w:t>
            </w:r>
          </w:p>
          <w:p w14:paraId="2BF8A62B">
            <w:pPr>
              <w:pStyle w:val="16"/>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360" w:lineRule="auto"/>
              <w:ind w:left="365" w:leftChars="174" w:firstLine="1"/>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a.投标函按招标文件规定填报了项目名称、标段号、补遗书编号（如有）、工期、工程质量要求及安全目标；</w:t>
            </w:r>
          </w:p>
          <w:p w14:paraId="37914C25">
            <w:pPr>
              <w:pStyle w:val="16"/>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360" w:lineRule="auto"/>
              <w:ind w:left="365" w:leftChars="174" w:firstLine="1"/>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b.投标函附录的所有数据均符合招标文件规定；</w:t>
            </w:r>
          </w:p>
          <w:p w14:paraId="07D8F284">
            <w:pPr>
              <w:pStyle w:val="16"/>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360" w:lineRule="auto"/>
              <w:ind w:left="365" w:leftChars="174" w:firstLine="1"/>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c.投标文件组成齐全完整，内容均按规定填写。</w:t>
            </w:r>
          </w:p>
          <w:p w14:paraId="372BA3D4">
            <w:pPr>
              <w:keepNext w:val="0"/>
              <w:keepLines w:val="0"/>
              <w:pageBreakBefore w:val="0"/>
              <w:tabs>
                <w:tab w:val="left" w:pos="1260"/>
              </w:tabs>
              <w:kinsoku/>
              <w:wordWrap/>
              <w:overflowPunct/>
              <w:topLinePunct w:val="0"/>
              <w:autoSpaceDE/>
              <w:autoSpaceDN/>
              <w:bidi w:val="0"/>
              <w:adjustRightInd w:val="0"/>
              <w:snapToGrid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（2）投标</w:t>
            </w:r>
            <w:r>
              <w:rPr>
                <w:rFonts w:hint="eastAsia" w:ascii="宋体" w:hAnsi="宋体" w:cs="宋体"/>
                <w:color w:val="auto"/>
                <w:kern w:val="0"/>
                <w:szCs w:val="21"/>
                <w:highlight w:val="none"/>
                <w:lang w:val="zh-CN" w:bidi="zh-CN"/>
              </w:rPr>
              <w:t>文件</w:t>
            </w:r>
            <w:r>
              <w:rPr>
                <w:rFonts w:hint="eastAsia" w:ascii="宋体" w:hAnsi="宋体" w:cs="宋体"/>
                <w:color w:val="auto"/>
                <w:szCs w:val="21"/>
                <w:highlight w:val="none"/>
              </w:rPr>
              <w:t>上法定代表人或其委托代理人的签字、投标人的单位章盖章齐全，符合招标文件规定。</w:t>
            </w:r>
          </w:p>
          <w:p w14:paraId="7F7F8B31">
            <w:pPr>
              <w:keepNext w:val="0"/>
              <w:keepLines w:val="0"/>
              <w:pageBreakBefore w:val="0"/>
              <w:tabs>
                <w:tab w:val="left" w:pos="1260"/>
              </w:tabs>
              <w:kinsoku/>
              <w:wordWrap/>
              <w:overflowPunct/>
              <w:topLinePunct w:val="0"/>
              <w:autoSpaceDE/>
              <w:autoSpaceDN/>
              <w:bidi w:val="0"/>
              <w:adjustRightInd w:val="0"/>
              <w:snapToGrid w:val="0"/>
              <w:spacing w:beforeLines="0" w:afterLines="0" w:line="360" w:lineRule="auto"/>
              <w:textAlignment w:val="auto"/>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（3）投标人按照招标文件的规定提供了投标保证金：</w:t>
            </w:r>
          </w:p>
          <w:p w14:paraId="55027B5C">
            <w:pPr>
              <w:keepNext w:val="0"/>
              <w:keepLines w:val="0"/>
              <w:pageBreakBefore w:val="0"/>
              <w:tabs>
                <w:tab w:val="left" w:pos="1260"/>
              </w:tabs>
              <w:kinsoku/>
              <w:wordWrap/>
              <w:overflowPunct/>
              <w:topLinePunct w:val="0"/>
              <w:autoSpaceDE/>
              <w:autoSpaceDN/>
              <w:bidi w:val="0"/>
              <w:adjustRightInd w:val="0"/>
              <w:snapToGrid w:val="0"/>
              <w:spacing w:beforeLines="0" w:afterLines="0" w:line="360" w:lineRule="auto"/>
              <w:ind w:left="363" w:leftChars="173" w:firstLine="1"/>
              <w:textAlignment w:val="auto"/>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a.投标保证金金额符合招标文件规定的金额，且投标保证金有效期不少于投标有效期；</w:t>
            </w:r>
          </w:p>
          <w:p w14:paraId="008FB6A7">
            <w:pPr>
              <w:keepNext w:val="0"/>
              <w:keepLines w:val="0"/>
              <w:pageBreakBefore w:val="0"/>
              <w:tabs>
                <w:tab w:val="left" w:pos="1260"/>
              </w:tabs>
              <w:kinsoku/>
              <w:wordWrap/>
              <w:overflowPunct/>
              <w:topLinePunct w:val="0"/>
              <w:autoSpaceDE/>
              <w:autoSpaceDN/>
              <w:bidi w:val="0"/>
              <w:adjustRightInd w:val="0"/>
              <w:snapToGrid w:val="0"/>
              <w:spacing w:beforeLines="0" w:afterLines="0" w:line="360" w:lineRule="auto"/>
              <w:ind w:left="363" w:leftChars="173" w:firstLine="1"/>
              <w:textAlignment w:val="auto"/>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b.若投标保证金采用</w:t>
            </w:r>
            <w:r>
              <w:rPr>
                <w:rFonts w:hint="eastAsia" w:ascii="宋体" w:hAnsi="宋体" w:cs="宋体"/>
                <w:bCs/>
                <w:spacing w:val="-2"/>
                <w:szCs w:val="21"/>
                <w:highlight w:val="none"/>
              </w:rPr>
              <w:t>网银转账、</w:t>
            </w:r>
            <w:r>
              <w:rPr>
                <w:rFonts w:hint="eastAsia" w:ascii="宋体" w:hAnsi="宋体" w:cs="宋体"/>
                <w:color w:val="auto"/>
                <w:kern w:val="0"/>
                <w:szCs w:val="21"/>
                <w:highlight w:val="none"/>
                <w:lang w:val="zh-CN" w:bidi="zh-CN"/>
              </w:rPr>
              <w:t>电汇形式提交，投标人应在递交投标文件截止时间之前，将投标保证金由投标人的基本账户转入省公共资源交易中心指定账户；</w:t>
            </w:r>
          </w:p>
          <w:p w14:paraId="323368D1">
            <w:pPr>
              <w:pStyle w:val="16"/>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360" w:lineRule="auto"/>
              <w:ind w:left="363" w:leftChars="173" w:firstLine="1"/>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c.</w:t>
            </w:r>
            <w:r>
              <w:rPr>
                <w:rFonts w:hint="eastAsia" w:ascii="宋体" w:hAnsi="宋体" w:eastAsia="宋体" w:cs="宋体"/>
                <w:sz w:val="21"/>
                <w:szCs w:val="21"/>
                <w:highlight w:val="none"/>
                <w:lang w:eastAsia="zh-CN"/>
              </w:rPr>
              <w:t>若投标保证金采用电子保函形式递交</w:t>
            </w:r>
            <w:r>
              <w:rPr>
                <w:rFonts w:hint="eastAsia" w:ascii="宋体" w:hAnsi="宋体" w:cs="宋体"/>
                <w:color w:val="auto"/>
                <w:sz w:val="21"/>
                <w:szCs w:val="21"/>
                <w:highlight w:val="none"/>
              </w:rPr>
              <w:t>，须满足黑龙江公共资源交易网相关规定。</w:t>
            </w:r>
          </w:p>
          <w:p w14:paraId="36502E6A">
            <w:pPr>
              <w:keepNext w:val="0"/>
              <w:keepLines w:val="0"/>
              <w:pageBreakBefore w:val="0"/>
              <w:tabs>
                <w:tab w:val="left" w:pos="1260"/>
              </w:tabs>
              <w:kinsoku/>
              <w:wordWrap/>
              <w:overflowPunct/>
              <w:topLinePunct w:val="0"/>
              <w:autoSpaceDE/>
              <w:autoSpaceDN/>
              <w:bidi w:val="0"/>
              <w:adjustRightInd w:val="0"/>
              <w:snapToGrid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（4）投标人</w:t>
            </w:r>
            <w:r>
              <w:rPr>
                <w:rFonts w:hint="eastAsia" w:ascii="宋体" w:hAnsi="宋体" w:cs="宋体"/>
                <w:color w:val="auto"/>
                <w:kern w:val="0"/>
                <w:szCs w:val="21"/>
                <w:highlight w:val="none"/>
                <w:lang w:val="zh-CN" w:bidi="zh-CN"/>
              </w:rPr>
              <w:t>法定</w:t>
            </w:r>
            <w:r>
              <w:rPr>
                <w:rFonts w:hint="eastAsia" w:ascii="宋体" w:hAnsi="宋体" w:cs="宋体"/>
                <w:color w:val="auto"/>
                <w:szCs w:val="21"/>
                <w:highlight w:val="none"/>
              </w:rPr>
              <w:t>代表人授权委托代理人签署投标文件的，须提交授权委托书，且授权人和被授权人均在授权委托书上签名，未使用印章、签名章或其他电子制版签名代替。</w:t>
            </w:r>
          </w:p>
          <w:p w14:paraId="615FFC7C">
            <w:pPr>
              <w:keepNext w:val="0"/>
              <w:keepLines w:val="0"/>
              <w:pageBreakBefore w:val="0"/>
              <w:tabs>
                <w:tab w:val="left" w:pos="1260"/>
              </w:tabs>
              <w:kinsoku/>
              <w:wordWrap/>
              <w:overflowPunct/>
              <w:topLinePunct w:val="0"/>
              <w:autoSpaceDE/>
              <w:autoSpaceDN/>
              <w:bidi w:val="0"/>
              <w:adjustRightInd w:val="0"/>
              <w:snapToGrid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kern w:val="0"/>
                <w:szCs w:val="21"/>
                <w:highlight w:val="none"/>
                <w:lang w:val="zh-CN" w:bidi="zh-CN"/>
              </w:rPr>
              <w:t>投标人</w:t>
            </w:r>
            <w:r>
              <w:rPr>
                <w:rFonts w:hint="eastAsia" w:ascii="宋体" w:hAnsi="宋体" w:cs="宋体"/>
                <w:color w:val="auto"/>
                <w:szCs w:val="21"/>
                <w:highlight w:val="none"/>
              </w:rPr>
              <w:t>法定代表人亲自签署投标文件的，提供了法定代表人身份证明，且法定代表人在法定代表人身份证明上签名，未使用印章、签名章或其他电子制版签名代替。</w:t>
            </w:r>
          </w:p>
          <w:p w14:paraId="1A31B5E5">
            <w:pPr>
              <w:keepNext w:val="0"/>
              <w:keepLines w:val="0"/>
              <w:pageBreakBefore w:val="0"/>
              <w:tabs>
                <w:tab w:val="left" w:pos="1260"/>
              </w:tabs>
              <w:kinsoku/>
              <w:wordWrap/>
              <w:overflowPunct/>
              <w:topLinePunct w:val="0"/>
              <w:autoSpaceDE/>
              <w:autoSpaceDN/>
              <w:bidi w:val="0"/>
              <w:adjustRightInd w:val="0"/>
              <w:snapToGrid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kern w:val="0"/>
                <w:szCs w:val="21"/>
                <w:highlight w:val="none"/>
                <w:lang w:val="zh-CN" w:bidi="zh-CN"/>
              </w:rPr>
              <w:t>以联合体形式参与投标的，联合体符合招标文件规定</w:t>
            </w:r>
            <w:r>
              <w:rPr>
                <w:rFonts w:hint="eastAsia" w:ascii="宋体" w:hAnsi="宋体" w:eastAsia="宋体" w:cs="宋体"/>
                <w:color w:val="auto"/>
                <w:kern w:val="0"/>
                <w:szCs w:val="21"/>
                <w:highlight w:val="none"/>
                <w:lang w:val="zh-CN" w:bidi="zh-CN"/>
              </w:rPr>
              <w:t>（不适用）</w:t>
            </w:r>
            <w:r>
              <w:rPr>
                <w:rFonts w:hint="eastAsia" w:ascii="宋体" w:hAnsi="宋体" w:cs="宋体"/>
                <w:color w:val="auto"/>
                <w:szCs w:val="21"/>
                <w:highlight w:val="none"/>
              </w:rPr>
              <w:t>。</w:t>
            </w:r>
          </w:p>
          <w:p w14:paraId="6735E941">
            <w:pPr>
              <w:keepNext w:val="0"/>
              <w:keepLines w:val="0"/>
              <w:pageBreakBefore w:val="0"/>
              <w:tabs>
                <w:tab w:val="left" w:pos="1260"/>
              </w:tabs>
              <w:kinsoku/>
              <w:wordWrap/>
              <w:overflowPunct/>
              <w:topLinePunct w:val="0"/>
              <w:autoSpaceDE/>
              <w:autoSpaceDN/>
              <w:bidi w:val="0"/>
              <w:adjustRightInd w:val="0"/>
              <w:snapToGrid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kern w:val="0"/>
                <w:szCs w:val="21"/>
                <w:highlight w:val="none"/>
                <w:lang w:val="zh-CN" w:bidi="zh-CN"/>
              </w:rPr>
              <w:t>投标人</w:t>
            </w:r>
            <w:r>
              <w:rPr>
                <w:rFonts w:hint="eastAsia" w:ascii="宋体" w:hAnsi="宋体" w:cs="宋体"/>
                <w:color w:val="auto"/>
                <w:szCs w:val="21"/>
                <w:highlight w:val="none"/>
              </w:rPr>
              <w:t>的分包情况，符合招标文件第二章“投标人须知” 第 1.11 款规定；</w:t>
            </w:r>
          </w:p>
          <w:p w14:paraId="1C389554">
            <w:pPr>
              <w:pStyle w:val="3"/>
              <w:keepNext w:val="0"/>
              <w:keepLines w:val="0"/>
              <w:pageBreakBefore w:val="0"/>
              <w:tabs>
                <w:tab w:val="left" w:pos="1260"/>
              </w:tabs>
              <w:kinsoku/>
              <w:wordWrap/>
              <w:overflowPunct/>
              <w:topLinePunct w:val="0"/>
              <w:autoSpaceDE/>
              <w:autoSpaceDN/>
              <w:bidi w:val="0"/>
              <w:spacing w:beforeLines="0" w:after="0" w:afterLines="0" w:line="360" w:lineRule="auto"/>
              <w:textAlignment w:val="auto"/>
              <w:rPr>
                <w:rFonts w:hint="eastAsia" w:ascii="宋体" w:hAnsi="宋体" w:cs="宋体"/>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hint="eastAsia" w:ascii="宋体" w:hAnsi="宋体" w:cs="宋体"/>
                <w:highlight w:val="none"/>
                <w:lang w:val="en-US" w:eastAsia="zh-CN"/>
              </w:rPr>
              <w:t>同一投标人</w:t>
            </w:r>
            <w:r>
              <w:rPr>
                <w:rFonts w:hint="eastAsia" w:ascii="宋体" w:hAnsi="宋体" w:cs="宋体"/>
                <w:color w:val="auto"/>
                <w:szCs w:val="21"/>
                <w:highlight w:val="none"/>
              </w:rPr>
              <w:t>未对同一标段</w:t>
            </w:r>
            <w:r>
              <w:rPr>
                <w:rFonts w:hint="eastAsia" w:ascii="宋体" w:hAnsi="宋体" w:cs="宋体"/>
                <w:highlight w:val="none"/>
                <w:lang w:val="en-US" w:eastAsia="zh-CN"/>
              </w:rPr>
              <w:t>提交两个以上不同的投标文件；</w:t>
            </w:r>
          </w:p>
          <w:p w14:paraId="23D03831">
            <w:pPr>
              <w:pStyle w:val="4"/>
              <w:tabs>
                <w:tab w:val="left" w:pos="1260"/>
              </w:tabs>
              <w:spacing w:beforeLines="0" w:afterLines="0" w:line="360" w:lineRule="auto"/>
              <w:jc w:val="both"/>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（9）投标人投标标段数量符合招标公告第</w:t>
            </w:r>
            <w:r>
              <w:rPr>
                <w:rFonts w:hint="eastAsia" w:ascii="宋体" w:hAnsi="宋体" w:eastAsia="宋体" w:cs="宋体"/>
                <w:color w:val="auto"/>
                <w:spacing w:val="0"/>
                <w:sz w:val="21"/>
                <w:szCs w:val="21"/>
                <w:highlight w:val="none"/>
                <w:lang w:eastAsia="zh-CN"/>
              </w:rPr>
              <w:t>3</w:t>
            </w: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款要求。</w:t>
            </w:r>
          </w:p>
          <w:p w14:paraId="6DF78F12">
            <w:pPr>
              <w:keepNext w:val="0"/>
              <w:keepLines w:val="0"/>
              <w:pageBreakBefore w:val="0"/>
              <w:tabs>
                <w:tab w:val="left" w:pos="1260"/>
              </w:tabs>
              <w:kinsoku/>
              <w:wordWrap/>
              <w:overflowPunct/>
              <w:topLinePunct w:val="0"/>
              <w:autoSpaceDE/>
              <w:autoSpaceDN/>
              <w:bidi w:val="0"/>
              <w:adjustRightInd w:val="0"/>
              <w:snapToGrid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）投标文件中未出现有关投标报价的内容。</w:t>
            </w:r>
          </w:p>
          <w:p w14:paraId="2740C186">
            <w:pPr>
              <w:keepNext w:val="0"/>
              <w:keepLines w:val="0"/>
              <w:pageBreakBefore w:val="0"/>
              <w:tabs>
                <w:tab w:val="left" w:pos="1260"/>
              </w:tabs>
              <w:kinsoku/>
              <w:wordWrap/>
              <w:overflowPunct/>
              <w:topLinePunct w:val="0"/>
              <w:autoSpaceDE/>
              <w:autoSpaceDN/>
              <w:bidi w:val="0"/>
              <w:adjustRightInd w:val="0"/>
              <w:snapToGrid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）投标文件封皮所示标段与投标文件中投标函上填写的标段号一致；（1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）投标人的投标内容符合本项目招标文件所明确的招标范围的相关内容。</w:t>
            </w:r>
          </w:p>
          <w:p w14:paraId="3802F3A3">
            <w:pPr>
              <w:keepNext w:val="0"/>
              <w:keepLines w:val="0"/>
              <w:pageBreakBefore w:val="0"/>
              <w:tabs>
                <w:tab w:val="left" w:pos="1260"/>
              </w:tabs>
              <w:kinsoku/>
              <w:wordWrap/>
              <w:overflowPunct/>
              <w:topLinePunct w:val="0"/>
              <w:autoSpaceDE/>
              <w:autoSpaceDN/>
              <w:bidi w:val="0"/>
              <w:adjustRightInd w:val="0"/>
              <w:snapToGrid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）投标文件载明的招标项目完成期限未超过招标文件规定的时限。</w:t>
            </w:r>
          </w:p>
          <w:p w14:paraId="10C9BB39">
            <w:pPr>
              <w:keepNext w:val="0"/>
              <w:keepLines w:val="0"/>
              <w:pageBreakBefore w:val="0"/>
              <w:tabs>
                <w:tab w:val="left" w:pos="1260"/>
              </w:tabs>
              <w:kinsoku/>
              <w:wordWrap/>
              <w:overflowPunct/>
              <w:topLinePunct w:val="0"/>
              <w:autoSpaceDE/>
              <w:autoSpaceDN/>
              <w:bidi w:val="0"/>
              <w:adjustRightInd w:val="0"/>
              <w:snapToGrid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）投标文件对招标文件的实质性要求和条件作出响应。</w:t>
            </w:r>
          </w:p>
          <w:p w14:paraId="29B8CE20">
            <w:pPr>
              <w:keepNext w:val="0"/>
              <w:keepLines w:val="0"/>
              <w:pageBreakBefore w:val="0"/>
              <w:tabs>
                <w:tab w:val="left" w:pos="1260"/>
              </w:tabs>
              <w:kinsoku/>
              <w:wordWrap/>
              <w:overflowPunct/>
              <w:topLinePunct w:val="0"/>
              <w:autoSpaceDE/>
              <w:autoSpaceDN/>
              <w:bidi w:val="0"/>
              <w:adjustRightInd w:val="0"/>
              <w:snapToGrid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）投标文件未附有招标人不能接受的条件。</w:t>
            </w:r>
          </w:p>
          <w:p w14:paraId="7A74587D">
            <w:pPr>
              <w:keepNext w:val="0"/>
              <w:keepLines w:val="0"/>
              <w:pageBreakBefore w:val="0"/>
              <w:tabs>
                <w:tab w:val="left" w:pos="1260"/>
              </w:tabs>
              <w:kinsoku/>
              <w:wordWrap/>
              <w:overflowPunct/>
              <w:topLinePunct w:val="0"/>
              <w:autoSpaceDE/>
              <w:autoSpaceDN/>
              <w:bidi w:val="0"/>
              <w:adjustRightInd w:val="0"/>
              <w:snapToGrid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）权利义务符合招标文件规定：</w:t>
            </w:r>
          </w:p>
          <w:p w14:paraId="70C03F99">
            <w:pPr>
              <w:pStyle w:val="16"/>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360" w:lineRule="auto"/>
              <w:ind w:left="506" w:leftChars="241" w:firstLine="2"/>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a.投标人应接受招标文件规定的风险划分原则，未提出新的风险划分办法；</w:t>
            </w:r>
          </w:p>
          <w:p w14:paraId="5EE96B0B">
            <w:pPr>
              <w:pStyle w:val="16"/>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360" w:lineRule="auto"/>
              <w:ind w:left="506" w:leftChars="241" w:firstLine="2"/>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b.投标人未增加发包人的责任范围，或减少投标人义务；</w:t>
            </w:r>
          </w:p>
          <w:p w14:paraId="725D90E4">
            <w:pPr>
              <w:pStyle w:val="16"/>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360" w:lineRule="auto"/>
              <w:ind w:left="506" w:leftChars="241" w:firstLine="2"/>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c.投标人未提出不同的工程验收、计量、支付办法；</w:t>
            </w:r>
          </w:p>
          <w:p w14:paraId="574DA5C3">
            <w:pPr>
              <w:pStyle w:val="16"/>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360" w:lineRule="auto"/>
              <w:ind w:left="506" w:leftChars="241" w:firstLine="2"/>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d.投标人对合同纠纷、事故处理办法未提出异议；</w:t>
            </w:r>
          </w:p>
          <w:p w14:paraId="113ED17F">
            <w:pPr>
              <w:pStyle w:val="16"/>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360" w:lineRule="auto"/>
              <w:ind w:left="506" w:leftChars="241" w:firstLine="2"/>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e.投标人在投标活动中无欺诈行为；</w:t>
            </w:r>
          </w:p>
          <w:p w14:paraId="7064801E">
            <w:pPr>
              <w:pStyle w:val="16"/>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360" w:lineRule="auto"/>
              <w:ind w:left="506" w:leftChars="241" w:firstLine="2"/>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f.投标人未对合同条款有重要保留。</w:t>
            </w:r>
          </w:p>
          <w:p w14:paraId="673A1CB8">
            <w:pPr>
              <w:keepNext w:val="0"/>
              <w:keepLines w:val="0"/>
              <w:pageBreakBefore w:val="0"/>
              <w:tabs>
                <w:tab w:val="left" w:pos="1260"/>
              </w:tabs>
              <w:kinsoku/>
              <w:wordWrap/>
              <w:overflowPunct/>
              <w:topLinePunct w:val="0"/>
              <w:autoSpaceDE/>
              <w:autoSpaceDN/>
              <w:bidi w:val="0"/>
              <w:adjustRightInd w:val="0"/>
              <w:snapToGrid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）投标文件正、副本份数符合招标文件第二章“投标人须知” 第 3.7.4 项规定。</w:t>
            </w:r>
          </w:p>
          <w:p w14:paraId="26F55443">
            <w:pPr>
              <w:keepNext w:val="0"/>
              <w:keepLines w:val="0"/>
              <w:pageBreakBefore w:val="0"/>
              <w:widowControl/>
              <w:tabs>
                <w:tab w:val="left" w:pos="1260"/>
              </w:tabs>
              <w:kinsoku/>
              <w:wordWrap/>
              <w:overflowPunct/>
              <w:topLinePunct w:val="0"/>
              <w:autoSpaceDE/>
              <w:autoSpaceDN/>
              <w:bidi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）不存在违反法律、法规的其他情形。</w:t>
            </w:r>
          </w:p>
          <w:p w14:paraId="30450B01">
            <w:pPr>
              <w:pStyle w:val="16"/>
              <w:keepNext w:val="0"/>
              <w:keepLines w:val="0"/>
              <w:pageBreakBefore w:val="0"/>
              <w:tabs>
                <w:tab w:val="left" w:pos="1260"/>
              </w:tabs>
              <w:kinsoku/>
              <w:wordWrap/>
              <w:overflowPunct/>
              <w:topLinePunct w:val="0"/>
              <w:autoSpaceDE/>
              <w:autoSpaceDN/>
              <w:bidi w:val="0"/>
              <w:spacing w:beforeLines="0" w:afterLines="0" w:line="360" w:lineRule="auto"/>
              <w:jc w:val="both"/>
              <w:textAlignment w:val="auto"/>
              <w:rPr>
                <w:rFonts w:hint="eastAsia" w:ascii="宋体" w:hAnsi="宋体" w:cs="宋体"/>
                <w:color w:val="auto"/>
                <w:sz w:val="21"/>
                <w:szCs w:val="21"/>
                <w:highlight w:val="none"/>
              </w:rPr>
            </w:pPr>
          </w:p>
          <w:p w14:paraId="05401F27">
            <w:pPr>
              <w:pStyle w:val="16"/>
              <w:keepNext w:val="0"/>
              <w:keepLines w:val="0"/>
              <w:pageBreakBefore w:val="0"/>
              <w:tabs>
                <w:tab w:val="left" w:pos="1260"/>
              </w:tabs>
              <w:kinsoku/>
              <w:wordWrap/>
              <w:overflowPunct/>
              <w:topLinePunct w:val="0"/>
              <w:autoSpaceDE/>
              <w:autoSpaceDN/>
              <w:bidi w:val="0"/>
              <w:spacing w:beforeLines="0" w:afterLines="0" w:line="360" w:lineRule="auto"/>
              <w:jc w:val="both"/>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第二个信封（报价文件）评审标准：</w:t>
            </w:r>
          </w:p>
          <w:p w14:paraId="2F832894">
            <w:pPr>
              <w:keepNext w:val="0"/>
              <w:keepLines w:val="0"/>
              <w:pageBreakBefore w:val="0"/>
              <w:widowControl/>
              <w:tabs>
                <w:tab w:val="left" w:pos="1260"/>
              </w:tabs>
              <w:kinsoku/>
              <w:wordWrap/>
              <w:overflowPunct/>
              <w:topLinePunct w:val="0"/>
              <w:autoSpaceDE/>
              <w:autoSpaceDN/>
              <w:bidi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（1）投标文件按照招标文件规定的格式、内容填写，字迹清晰可辨：</w:t>
            </w:r>
          </w:p>
          <w:p w14:paraId="68E0E577">
            <w:pPr>
              <w:pStyle w:val="16"/>
              <w:keepNext w:val="0"/>
              <w:keepLines w:val="0"/>
              <w:pageBreakBefore w:val="0"/>
              <w:tabs>
                <w:tab w:val="left" w:pos="1260"/>
              </w:tabs>
              <w:kinsoku/>
              <w:wordWrap/>
              <w:overflowPunct/>
              <w:topLinePunct w:val="0"/>
              <w:autoSpaceDE/>
              <w:autoSpaceDN/>
              <w:bidi w:val="0"/>
              <w:spacing w:beforeLines="0" w:afterLines="0" w:line="360" w:lineRule="auto"/>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a.投标函按招标文件规定填报了项目名称、标段号、补遗书编号（如有）、投标价（包括大写金额和小写金额）；</w:t>
            </w:r>
          </w:p>
          <w:p w14:paraId="214745F4">
            <w:pPr>
              <w:pStyle w:val="16"/>
              <w:keepNext w:val="0"/>
              <w:keepLines w:val="0"/>
              <w:pageBreakBefore w:val="0"/>
              <w:tabs>
                <w:tab w:val="left" w:pos="1260"/>
              </w:tabs>
              <w:kinsoku/>
              <w:wordWrap/>
              <w:overflowPunct/>
              <w:topLinePunct w:val="0"/>
              <w:autoSpaceDE/>
              <w:autoSpaceDN/>
              <w:bidi w:val="0"/>
              <w:spacing w:beforeLines="0" w:afterLines="0" w:line="360" w:lineRule="auto"/>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b.已标价工程量清单说明文字与招标文件规定一致，未进行实质性修改和删减；</w:t>
            </w:r>
          </w:p>
          <w:p w14:paraId="2EC588FE">
            <w:pPr>
              <w:pStyle w:val="16"/>
              <w:keepNext w:val="0"/>
              <w:keepLines w:val="0"/>
              <w:pageBreakBefore w:val="0"/>
              <w:tabs>
                <w:tab w:val="left" w:pos="1260"/>
              </w:tabs>
              <w:kinsoku/>
              <w:wordWrap/>
              <w:overflowPunct/>
              <w:topLinePunct w:val="0"/>
              <w:autoSpaceDE/>
              <w:autoSpaceDN/>
              <w:bidi w:val="0"/>
              <w:spacing w:beforeLines="0" w:afterLines="0" w:line="360" w:lineRule="auto"/>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c.投标文件组成齐全完整，内容均按规定填写。</w:t>
            </w:r>
          </w:p>
          <w:p w14:paraId="689A7A8F">
            <w:pPr>
              <w:keepNext w:val="0"/>
              <w:keepLines w:val="0"/>
              <w:pageBreakBefore w:val="0"/>
              <w:widowControl/>
              <w:tabs>
                <w:tab w:val="left" w:pos="1260"/>
              </w:tabs>
              <w:kinsoku/>
              <w:wordWrap/>
              <w:overflowPunct/>
              <w:topLinePunct w:val="0"/>
              <w:autoSpaceDE/>
              <w:autoSpaceDN/>
              <w:bidi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（2）投标文件外封套所示标段与投标文件中投标函上填写的标段号一致。</w:t>
            </w:r>
          </w:p>
          <w:p w14:paraId="5C70D257">
            <w:pPr>
              <w:keepNext w:val="0"/>
              <w:keepLines w:val="0"/>
              <w:pageBreakBefore w:val="0"/>
              <w:widowControl/>
              <w:tabs>
                <w:tab w:val="left" w:pos="1260"/>
              </w:tabs>
              <w:kinsoku/>
              <w:wordWrap/>
              <w:overflowPunct/>
              <w:topLinePunct w:val="0"/>
              <w:autoSpaceDE/>
              <w:autoSpaceDN/>
              <w:bidi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（3）投标文件上法定代表人或其委托代理人的签字、投标人的单位章盖章齐全，符合招标文件规定。</w:t>
            </w:r>
          </w:p>
          <w:p w14:paraId="266ED63E">
            <w:pPr>
              <w:keepNext w:val="0"/>
              <w:keepLines w:val="0"/>
              <w:pageBreakBefore w:val="0"/>
              <w:widowControl/>
              <w:tabs>
                <w:tab w:val="left" w:pos="1260"/>
              </w:tabs>
              <w:kinsoku/>
              <w:wordWrap/>
              <w:overflowPunct/>
              <w:topLinePunct w:val="0"/>
              <w:autoSpaceDE/>
              <w:autoSpaceDN/>
              <w:bidi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（4）投标报价中的报价未超过招标文件设定的最高投标限价。</w:t>
            </w:r>
          </w:p>
          <w:p w14:paraId="5546DEA9">
            <w:pPr>
              <w:keepNext w:val="0"/>
              <w:keepLines w:val="0"/>
              <w:pageBreakBefore w:val="0"/>
              <w:widowControl/>
              <w:tabs>
                <w:tab w:val="left" w:pos="1260"/>
              </w:tabs>
              <w:kinsoku/>
              <w:wordWrap/>
              <w:overflowPunct/>
              <w:topLinePunct w:val="0"/>
              <w:autoSpaceDE/>
              <w:autoSpaceDN/>
              <w:bidi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（5）投标报价中报价的大写金额能够确定具体数值。</w:t>
            </w:r>
          </w:p>
          <w:p w14:paraId="33A23F13">
            <w:pPr>
              <w:keepNext w:val="0"/>
              <w:keepLines w:val="0"/>
              <w:pageBreakBefore w:val="0"/>
              <w:widowControl/>
              <w:tabs>
                <w:tab w:val="left" w:pos="1260"/>
              </w:tabs>
              <w:kinsoku/>
              <w:wordWrap/>
              <w:overflowPunct/>
              <w:topLinePunct w:val="0"/>
              <w:autoSpaceDE/>
              <w:autoSpaceDN/>
              <w:bidi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（6）同一投标人未对同一标段提交两个以上不同的投标报价。</w:t>
            </w:r>
          </w:p>
          <w:p w14:paraId="0BEB7D3E">
            <w:pPr>
              <w:keepNext w:val="0"/>
              <w:keepLines w:val="0"/>
              <w:pageBreakBefore w:val="0"/>
              <w:widowControl/>
              <w:tabs>
                <w:tab w:val="left" w:pos="1260"/>
              </w:tabs>
              <w:kinsoku/>
              <w:wordWrap/>
              <w:overflowPunct/>
              <w:topLinePunct w:val="0"/>
              <w:autoSpaceDE/>
              <w:autoSpaceDN/>
              <w:bidi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（7）报价文件符合招标文件第二章“投标人须知”第 3.2.6 项要求，未提交调价函。</w:t>
            </w:r>
          </w:p>
          <w:p w14:paraId="62FD8348">
            <w:pPr>
              <w:keepNext w:val="0"/>
              <w:keepLines w:val="0"/>
              <w:pageBreakBefore w:val="0"/>
              <w:widowControl/>
              <w:tabs>
                <w:tab w:val="left" w:pos="1260"/>
              </w:tabs>
              <w:kinsoku/>
              <w:wordWrap/>
              <w:overflowPunct/>
              <w:topLinePunct w:val="0"/>
              <w:autoSpaceDE/>
              <w:autoSpaceDN/>
              <w:bidi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（8）投标人填写完毕的工程量固化清单未对工程量固化清单电子文件中的数据、格式和运算定义进行修改；工程量固化清单中的投标报价和投标函大写金额报价一致。</w:t>
            </w:r>
          </w:p>
          <w:p w14:paraId="7536D797">
            <w:pPr>
              <w:keepNext w:val="0"/>
              <w:keepLines w:val="0"/>
              <w:pageBreakBefore w:val="0"/>
              <w:widowControl/>
              <w:tabs>
                <w:tab w:val="left" w:pos="1260"/>
              </w:tabs>
              <w:kinsoku/>
              <w:wordWrap/>
              <w:overflowPunct/>
              <w:topLinePunct w:val="0"/>
              <w:autoSpaceDE/>
              <w:autoSpaceDN/>
              <w:bidi w:val="0"/>
              <w:spacing w:beforeLines="0" w:afterLines="0"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（9）投标文件正、副本份数符合招标文件第二章“投标人须知”第3.7.4 项规定。</w:t>
            </w:r>
          </w:p>
          <w:p w14:paraId="0D0E977E">
            <w:pPr>
              <w:widowControl/>
              <w:tabs>
                <w:tab w:val="left" w:pos="1260"/>
              </w:tabs>
              <w:spacing w:beforeLines="0" w:afterLines="0" w:line="360" w:lineRule="auto"/>
              <w:ind w:left="-48" w:leftChars="-23" w:right="93" w:firstLine="48" w:firstLineChars="23"/>
              <w:jc w:val="left"/>
              <w:rPr>
                <w:rFonts w:hint="eastAsia" w:ascii="宋体" w:hAnsi="宋体" w:cs="宋体"/>
                <w:color w:val="auto"/>
                <w:szCs w:val="21"/>
                <w:highlight w:val="none"/>
              </w:rPr>
            </w:pPr>
            <w:r>
              <w:rPr>
                <w:rFonts w:hint="eastAsia" w:ascii="宋体" w:hAnsi="宋体" w:cs="宋体"/>
                <w:color w:val="auto"/>
                <w:szCs w:val="21"/>
                <w:highlight w:val="none"/>
              </w:rPr>
              <w:t>（10）投标文件中未附有招标人不能接受的其它条件。</w:t>
            </w:r>
          </w:p>
        </w:tc>
      </w:tr>
      <w:tr w14:paraId="1761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01" w:type="dxa"/>
            <w:vAlign w:val="center"/>
          </w:tcPr>
          <w:p w14:paraId="688A5EB3">
            <w:pPr>
              <w:pStyle w:val="16"/>
              <w:tabs>
                <w:tab w:val="left" w:pos="1260"/>
              </w:tabs>
              <w:spacing w:beforeLines="0" w:afterLines="0" w:line="360" w:lineRule="auto"/>
              <w:ind w:left="282"/>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2.1.2</w:t>
            </w:r>
          </w:p>
        </w:tc>
        <w:tc>
          <w:tcPr>
            <w:tcW w:w="1457" w:type="dxa"/>
            <w:vAlign w:val="center"/>
          </w:tcPr>
          <w:p w14:paraId="6B1359EC">
            <w:pPr>
              <w:pStyle w:val="16"/>
              <w:tabs>
                <w:tab w:val="left" w:pos="1260"/>
              </w:tabs>
              <w:spacing w:beforeLines="0" w:afterLines="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资格评审</w:t>
            </w:r>
          </w:p>
          <w:p w14:paraId="130FFDDB">
            <w:pPr>
              <w:pStyle w:val="16"/>
              <w:tabs>
                <w:tab w:val="left" w:pos="1260"/>
              </w:tabs>
              <w:spacing w:beforeLines="0" w:afterLines="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标准</w:t>
            </w:r>
          </w:p>
        </w:tc>
        <w:tc>
          <w:tcPr>
            <w:tcW w:w="6793" w:type="dxa"/>
          </w:tcPr>
          <w:p w14:paraId="4B00F34A">
            <w:pPr>
              <w:pStyle w:val="16"/>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360" w:lineRule="auto"/>
              <w:jc w:val="both"/>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（1）投标人具备有效的营业执照、组织机构代码证</w:t>
            </w:r>
            <w:r>
              <w:rPr>
                <w:rFonts w:hint="eastAsia" w:ascii="宋体" w:hAnsi="宋体" w:cs="宋体"/>
                <w:sz w:val="21"/>
                <w:szCs w:val="21"/>
                <w:highlight w:val="none"/>
                <w:lang w:eastAsia="zh-CN"/>
              </w:rPr>
              <w:t>（按照三证合一、五证合一登记制度进行登记的，可仅提供营业执照）</w:t>
            </w:r>
            <w:r>
              <w:rPr>
                <w:rFonts w:hint="eastAsia" w:ascii="宋体" w:hAnsi="宋体" w:cs="宋体"/>
                <w:bCs/>
                <w:color w:val="auto"/>
                <w:sz w:val="21"/>
                <w:szCs w:val="21"/>
                <w:highlight w:val="none"/>
              </w:rPr>
              <w:t>、资质证书、安全生产许可证</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基本账户证明和</w:t>
            </w:r>
            <w:r>
              <w:rPr>
                <w:rFonts w:hint="eastAsia" w:ascii="宋体" w:hAnsi="宋体" w:cs="宋体"/>
                <w:sz w:val="21"/>
                <w:szCs w:val="21"/>
                <w:highlight w:val="none"/>
                <w:lang w:eastAsia="zh-CN"/>
              </w:rPr>
              <w:t>投标人在国家企业信用信息公示系统中基础信息（体现股东及出资详细信息）的网页截图</w:t>
            </w:r>
            <w:r>
              <w:rPr>
                <w:rFonts w:hint="eastAsia" w:ascii="宋体" w:hAnsi="宋体" w:cs="宋体"/>
                <w:bCs/>
                <w:color w:val="auto"/>
                <w:sz w:val="21"/>
                <w:szCs w:val="21"/>
                <w:highlight w:val="none"/>
              </w:rPr>
              <w:t>。</w:t>
            </w:r>
          </w:p>
          <w:p w14:paraId="0BE0A4BB">
            <w:pPr>
              <w:pStyle w:val="16"/>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360" w:lineRule="auto"/>
              <w:jc w:val="both"/>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（2）投标人的资质等级符合招标文件规定。</w:t>
            </w:r>
          </w:p>
          <w:p w14:paraId="1DBD86D8">
            <w:pPr>
              <w:pStyle w:val="16"/>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360" w:lineRule="auto"/>
              <w:jc w:val="both"/>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（3）投标人的财务状况符合招标文件规定。</w:t>
            </w:r>
          </w:p>
          <w:p w14:paraId="5F1E7CD1">
            <w:pPr>
              <w:pStyle w:val="16"/>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360" w:lineRule="auto"/>
              <w:jc w:val="both"/>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（4）投标人的类似项目业绩符合招标文件规定。</w:t>
            </w:r>
          </w:p>
          <w:p w14:paraId="44B22DC3">
            <w:pPr>
              <w:pStyle w:val="16"/>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360" w:lineRule="auto"/>
              <w:jc w:val="both"/>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（5）投标人的信誉符合招标文件规定。</w:t>
            </w:r>
          </w:p>
          <w:p w14:paraId="6B964778">
            <w:pPr>
              <w:pStyle w:val="16"/>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360" w:lineRule="auto"/>
              <w:jc w:val="both"/>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（6）投标人的项目经理和项目总工资格、在岗情况符合招标文件规定。</w:t>
            </w:r>
          </w:p>
          <w:p w14:paraId="609E7F14">
            <w:pPr>
              <w:pStyle w:val="16"/>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360" w:lineRule="auto"/>
              <w:jc w:val="both"/>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（7）以联合体形式参与投标的，联合体各方均未再以自己名义单独或参加其他联合体在同一项目中投标；独立参与投标的，投标人未同时参加联合体在同一项目中投标</w:t>
            </w:r>
            <w:r>
              <w:rPr>
                <w:rFonts w:hint="eastAsia" w:ascii="宋体" w:hAnsi="宋体" w:eastAsia="宋体" w:cs="宋体"/>
                <w:bCs/>
                <w:color w:val="auto"/>
                <w:sz w:val="21"/>
                <w:szCs w:val="21"/>
                <w:highlight w:val="none"/>
                <w:lang w:eastAsia="zh-CN"/>
              </w:rPr>
              <w:t>（不适用）</w:t>
            </w:r>
            <w:r>
              <w:rPr>
                <w:rFonts w:hint="eastAsia" w:ascii="宋体" w:hAnsi="宋体" w:cs="宋体"/>
                <w:bCs/>
                <w:color w:val="auto"/>
                <w:sz w:val="21"/>
                <w:szCs w:val="21"/>
                <w:highlight w:val="none"/>
              </w:rPr>
              <w:t>；</w:t>
            </w:r>
          </w:p>
          <w:p w14:paraId="28C7EAF2">
            <w:pPr>
              <w:pStyle w:val="16"/>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360" w:lineRule="auto"/>
              <w:jc w:val="both"/>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val="en-US" w:eastAsia="zh-CN"/>
              </w:rPr>
              <w:t>8</w:t>
            </w:r>
            <w:r>
              <w:rPr>
                <w:rFonts w:hint="eastAsia" w:ascii="宋体" w:hAnsi="宋体" w:cs="宋体"/>
                <w:bCs/>
                <w:color w:val="auto"/>
                <w:sz w:val="21"/>
                <w:szCs w:val="21"/>
                <w:highlight w:val="none"/>
              </w:rPr>
              <w:t>）投标人的其他要求符合招标文件规定。</w:t>
            </w:r>
          </w:p>
          <w:p w14:paraId="1408286E">
            <w:pPr>
              <w:pStyle w:val="16"/>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360" w:lineRule="auto"/>
              <w:jc w:val="both"/>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val="en-US" w:eastAsia="zh-CN"/>
              </w:rPr>
              <w:t>9</w:t>
            </w:r>
            <w:r>
              <w:rPr>
                <w:rFonts w:hint="eastAsia" w:ascii="宋体" w:hAnsi="宋体" w:cs="宋体"/>
                <w:bCs/>
                <w:color w:val="auto"/>
                <w:sz w:val="21"/>
                <w:szCs w:val="21"/>
                <w:highlight w:val="none"/>
              </w:rPr>
              <w:t>）投标人不存在第二章“投标人须知”第 1.4.3 项或第 1.4.4 项规定的任何一种情形。</w:t>
            </w:r>
          </w:p>
          <w:p w14:paraId="1CFD097C">
            <w:pPr>
              <w:widowControl/>
              <w:tabs>
                <w:tab w:val="left" w:pos="1260"/>
              </w:tabs>
              <w:spacing w:beforeLines="0" w:afterLines="0" w:line="360" w:lineRule="auto"/>
              <w:ind w:left="-48" w:leftChars="-23" w:right="93" w:firstLine="48" w:firstLineChars="23"/>
              <w:jc w:val="left"/>
              <w:rPr>
                <w:rFonts w:hint="eastAsia" w:ascii="宋体" w:hAnsi="宋体" w:cs="宋体"/>
                <w:color w:val="auto"/>
                <w:szCs w:val="21"/>
                <w:highlight w:val="none"/>
              </w:rPr>
            </w:pP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val="en-US" w:eastAsia="zh-CN"/>
              </w:rPr>
              <w:t>10</w:t>
            </w:r>
            <w:r>
              <w:rPr>
                <w:rFonts w:hint="eastAsia" w:ascii="宋体" w:hAnsi="宋体" w:cs="宋体"/>
                <w:bCs/>
                <w:color w:val="auto"/>
                <w:sz w:val="21"/>
                <w:szCs w:val="21"/>
                <w:highlight w:val="none"/>
              </w:rPr>
              <w:t>）投标人符合第二章“投标人须知”第 1.4.5 项规定</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适用于</w:t>
            </w:r>
            <w:r>
              <w:rPr>
                <w:rFonts w:hint="eastAsia" w:ascii="宋体" w:hAnsi="宋体" w:eastAsia="宋体" w:cs="宋体"/>
                <w:color w:val="auto"/>
                <w:sz w:val="21"/>
                <w:highlight w:val="none"/>
                <w:lang w:eastAsia="en-US"/>
              </w:rPr>
              <w:t>具有公路工程施工总承包一级及以上资质</w:t>
            </w:r>
            <w:r>
              <w:rPr>
                <w:rFonts w:hint="eastAsia" w:ascii="宋体" w:hAnsi="宋体" w:eastAsia="宋体" w:cs="宋体"/>
                <w:color w:val="auto"/>
                <w:sz w:val="21"/>
                <w:highlight w:val="none"/>
                <w:lang w:val="en-US" w:eastAsia="zh-CN"/>
              </w:rPr>
              <w:t>的投标人</w:t>
            </w:r>
            <w:r>
              <w:rPr>
                <w:rFonts w:hint="eastAsia" w:ascii="宋体" w:hAnsi="宋体" w:eastAsia="宋体" w:cs="宋体"/>
                <w:color w:val="auto"/>
                <w:sz w:val="21"/>
                <w:highlight w:val="none"/>
                <w:lang w:eastAsia="zh-CN"/>
              </w:rPr>
              <w:t>）</w:t>
            </w:r>
            <w:r>
              <w:rPr>
                <w:rFonts w:hint="eastAsia" w:ascii="宋体" w:hAnsi="宋体" w:cs="宋体"/>
                <w:bCs/>
                <w:color w:val="auto"/>
                <w:sz w:val="21"/>
                <w:szCs w:val="21"/>
                <w:highlight w:val="none"/>
              </w:rPr>
              <w:t>。</w:t>
            </w:r>
          </w:p>
        </w:tc>
      </w:tr>
      <w:tr w14:paraId="38A4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01" w:type="dxa"/>
            <w:vAlign w:val="center"/>
          </w:tcPr>
          <w:p w14:paraId="39DF5C88">
            <w:pPr>
              <w:pStyle w:val="16"/>
              <w:tabs>
                <w:tab w:val="left" w:pos="1260"/>
              </w:tabs>
              <w:spacing w:beforeLines="0" w:afterLines="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2.2.1</w:t>
            </w:r>
          </w:p>
        </w:tc>
        <w:tc>
          <w:tcPr>
            <w:tcW w:w="1457" w:type="dxa"/>
            <w:vAlign w:val="center"/>
          </w:tcPr>
          <w:p w14:paraId="5C3D3D56">
            <w:pPr>
              <w:pStyle w:val="16"/>
              <w:tabs>
                <w:tab w:val="left" w:pos="1260"/>
              </w:tabs>
              <w:spacing w:beforeLines="0" w:afterLines="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分值构成</w:t>
            </w:r>
          </w:p>
          <w:p w14:paraId="786FAA71">
            <w:pPr>
              <w:pStyle w:val="16"/>
              <w:tabs>
                <w:tab w:val="left" w:pos="1260"/>
              </w:tabs>
              <w:spacing w:beforeLines="0" w:afterLines="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（总分 </w:t>
            </w:r>
            <w:r>
              <w:rPr>
                <w:rFonts w:hint="eastAsia" w:ascii="宋体" w:hAnsi="宋体" w:eastAsia="宋体" w:cs="宋体"/>
                <w:color w:val="auto"/>
                <w:sz w:val="21"/>
                <w:szCs w:val="21"/>
                <w:highlight w:val="none"/>
              </w:rPr>
              <w:t>100</w:t>
            </w:r>
            <w:r>
              <w:rPr>
                <w:rFonts w:hint="eastAsia" w:ascii="宋体" w:hAnsi="宋体" w:cs="宋体"/>
                <w:color w:val="auto"/>
                <w:sz w:val="21"/>
                <w:szCs w:val="21"/>
                <w:highlight w:val="none"/>
              </w:rPr>
              <w:t>分）</w:t>
            </w:r>
          </w:p>
        </w:tc>
        <w:tc>
          <w:tcPr>
            <w:tcW w:w="6793" w:type="dxa"/>
            <w:vAlign w:val="center"/>
          </w:tcPr>
          <w:p w14:paraId="7687505D">
            <w:pPr>
              <w:pStyle w:val="16"/>
              <w:spacing w:line="340" w:lineRule="exact"/>
              <w:ind w:left="-48" w:leftChars="-23" w:firstLine="48" w:firstLineChars="23"/>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第一个信封（商务及技术文件）评分分值构成：</w:t>
            </w:r>
          </w:p>
          <w:p w14:paraId="3235BEEA">
            <w:pPr>
              <w:pStyle w:val="16"/>
              <w:spacing w:line="340" w:lineRule="exact"/>
              <w:ind w:left="-48" w:leftChars="-23" w:firstLine="48" w:firstLineChars="2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r>
              <w:rPr>
                <w:rFonts w:hint="eastAsia" w:ascii="宋体" w:hAnsi="宋体" w:eastAsia="宋体" w:cs="宋体"/>
                <w:color w:val="auto"/>
                <w:sz w:val="21"/>
                <w:szCs w:val="21"/>
                <w:highlight w:val="none"/>
                <w:u w:val="single"/>
              </w:rPr>
              <w:t>7分</w:t>
            </w:r>
          </w:p>
          <w:p w14:paraId="7F914C9B">
            <w:pPr>
              <w:pStyle w:val="16"/>
              <w:spacing w:line="340" w:lineRule="exact"/>
              <w:ind w:left="-48" w:leftChars="-23" w:firstLine="48" w:firstLineChars="23"/>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主要人员：</w:t>
            </w:r>
            <w:r>
              <w:rPr>
                <w:rFonts w:hint="eastAsia" w:ascii="宋体" w:hAnsi="宋体" w:eastAsia="宋体" w:cs="宋体"/>
                <w:color w:val="auto"/>
                <w:sz w:val="21"/>
                <w:szCs w:val="21"/>
                <w:highlight w:val="none"/>
                <w:u w:val="single"/>
              </w:rPr>
              <w:t>10分</w:t>
            </w:r>
          </w:p>
          <w:p w14:paraId="0EAA3511">
            <w:pPr>
              <w:pStyle w:val="16"/>
              <w:spacing w:line="340" w:lineRule="exact"/>
              <w:ind w:left="-48" w:leftChars="-23" w:firstLine="48" w:firstLineChars="23"/>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财务：</w:t>
            </w:r>
            <w:r>
              <w:rPr>
                <w:rFonts w:hint="eastAsia" w:ascii="宋体" w:hAnsi="宋体" w:eastAsia="宋体" w:cs="宋体"/>
                <w:color w:val="auto"/>
                <w:sz w:val="21"/>
                <w:szCs w:val="21"/>
                <w:highlight w:val="none"/>
                <w:u w:val="single"/>
              </w:rPr>
              <w:t>5分</w:t>
            </w:r>
          </w:p>
          <w:p w14:paraId="099ED509">
            <w:pPr>
              <w:pStyle w:val="16"/>
              <w:spacing w:line="340" w:lineRule="exact"/>
              <w:ind w:left="-48" w:leftChars="-23" w:firstLine="48" w:firstLineChars="2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w:t>
            </w:r>
            <w:r>
              <w:rPr>
                <w:rFonts w:hint="eastAsia" w:ascii="宋体" w:hAnsi="宋体" w:eastAsia="宋体" w:cs="宋体"/>
                <w:color w:val="auto"/>
                <w:sz w:val="21"/>
                <w:szCs w:val="21"/>
                <w:highlight w:val="none"/>
                <w:u w:val="single"/>
              </w:rPr>
              <w:t>5分</w:t>
            </w:r>
          </w:p>
          <w:p w14:paraId="5469EC42">
            <w:pPr>
              <w:pStyle w:val="16"/>
              <w:spacing w:line="340" w:lineRule="exact"/>
              <w:ind w:left="-48" w:leftChars="-23" w:firstLine="48" w:firstLineChars="2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履约信誉：</w:t>
            </w:r>
            <w:r>
              <w:rPr>
                <w:rFonts w:hint="eastAsia" w:ascii="宋体" w:hAnsi="宋体" w:eastAsia="宋体" w:cs="宋体"/>
                <w:color w:val="auto"/>
                <w:sz w:val="21"/>
                <w:szCs w:val="21"/>
                <w:highlight w:val="none"/>
                <w:u w:val="single"/>
              </w:rPr>
              <w:t>3分</w:t>
            </w:r>
          </w:p>
          <w:p w14:paraId="7C92F8FF">
            <w:pPr>
              <w:pStyle w:val="16"/>
              <w:spacing w:line="340" w:lineRule="exact"/>
              <w:ind w:left="-48" w:leftChars="-23" w:firstLine="48" w:firstLineChars="23"/>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第二个信封（报价文件）评分分值构成： </w:t>
            </w:r>
          </w:p>
          <w:p w14:paraId="39E1A330">
            <w:pPr>
              <w:pStyle w:val="16"/>
              <w:tabs>
                <w:tab w:val="left" w:pos="1260"/>
              </w:tabs>
              <w:spacing w:beforeLines="0" w:afterLines="0" w:line="360" w:lineRule="auto"/>
              <w:ind w:left="-48" w:leftChars="-23" w:firstLine="48" w:firstLineChars="23"/>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评标价：</w:t>
            </w:r>
            <w:r>
              <w:rPr>
                <w:rFonts w:hint="eastAsia" w:ascii="宋体" w:hAnsi="宋体" w:eastAsia="宋体" w:cs="宋体"/>
                <w:color w:val="auto"/>
                <w:sz w:val="21"/>
                <w:szCs w:val="21"/>
                <w:highlight w:val="none"/>
                <w:u w:val="single"/>
              </w:rPr>
              <w:t>70分</w:t>
            </w:r>
          </w:p>
        </w:tc>
      </w:tr>
      <w:tr w14:paraId="3463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1101" w:type="dxa"/>
            <w:vAlign w:val="center"/>
          </w:tcPr>
          <w:p w14:paraId="153DA27B">
            <w:pPr>
              <w:pStyle w:val="16"/>
              <w:tabs>
                <w:tab w:val="left" w:pos="1260"/>
              </w:tabs>
              <w:spacing w:beforeLines="0" w:afterLines="0" w:line="360" w:lineRule="auto"/>
              <w:ind w:left="124" w:right="110"/>
              <w:rPr>
                <w:rFonts w:hint="eastAsia" w:ascii="宋体" w:hAnsi="宋体" w:cs="宋体"/>
                <w:color w:val="auto"/>
                <w:sz w:val="21"/>
                <w:szCs w:val="21"/>
                <w:highlight w:val="none"/>
              </w:rPr>
            </w:pPr>
            <w:r>
              <w:rPr>
                <w:rFonts w:hint="eastAsia" w:ascii="宋体" w:hAnsi="宋体" w:cs="宋体"/>
                <w:color w:val="auto"/>
                <w:sz w:val="21"/>
                <w:szCs w:val="21"/>
                <w:highlight w:val="none"/>
              </w:rPr>
              <w:t>2.2.2</w:t>
            </w:r>
          </w:p>
        </w:tc>
        <w:tc>
          <w:tcPr>
            <w:tcW w:w="1457" w:type="dxa"/>
            <w:vAlign w:val="center"/>
          </w:tcPr>
          <w:p w14:paraId="3E1D888F">
            <w:pPr>
              <w:pStyle w:val="16"/>
              <w:tabs>
                <w:tab w:val="left" w:pos="1260"/>
              </w:tabs>
              <w:spacing w:beforeLines="0" w:afterLines="0" w:line="360" w:lineRule="auto"/>
              <w:ind w:left="124" w:right="110"/>
              <w:rPr>
                <w:rFonts w:hint="eastAsia" w:ascii="宋体" w:hAnsi="宋体" w:cs="宋体"/>
                <w:color w:val="auto"/>
                <w:sz w:val="21"/>
                <w:szCs w:val="21"/>
                <w:highlight w:val="none"/>
              </w:rPr>
            </w:pPr>
            <w:r>
              <w:rPr>
                <w:rFonts w:hint="eastAsia" w:ascii="宋体" w:hAnsi="宋体" w:cs="宋体"/>
                <w:color w:val="auto"/>
                <w:sz w:val="21"/>
                <w:szCs w:val="21"/>
                <w:highlight w:val="none"/>
              </w:rPr>
              <w:t>评标基准价计算方法</w:t>
            </w:r>
          </w:p>
        </w:tc>
        <w:tc>
          <w:tcPr>
            <w:tcW w:w="6793" w:type="dxa"/>
          </w:tcPr>
          <w:p w14:paraId="156ED643">
            <w:pPr>
              <w:pStyle w:val="16"/>
              <w:tabs>
                <w:tab w:val="left" w:pos="1260"/>
              </w:tabs>
              <w:spacing w:beforeLines="0" w:afterLines="0" w:line="360" w:lineRule="auto"/>
              <w:ind w:left="-48" w:leftChars="-23" w:right="93" w:firstLine="48" w:firstLineChars="2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评标基准价的计算：</w:t>
            </w:r>
          </w:p>
          <w:p w14:paraId="37060FD4">
            <w:pPr>
              <w:pStyle w:val="16"/>
              <w:tabs>
                <w:tab w:val="left" w:pos="1260"/>
              </w:tabs>
              <w:spacing w:beforeLines="0" w:afterLines="0" w:line="360" w:lineRule="auto"/>
              <w:ind w:left="-48" w:leftChars="-23" w:right="93" w:firstLine="48" w:firstLineChars="2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（1）评标价的确定：</w:t>
            </w:r>
          </w:p>
          <w:p w14:paraId="6E4E0D68">
            <w:pPr>
              <w:pStyle w:val="16"/>
              <w:tabs>
                <w:tab w:val="left" w:pos="1260"/>
              </w:tabs>
              <w:spacing w:beforeLines="0" w:afterLines="0" w:line="360" w:lineRule="auto"/>
              <w:ind w:left="-48" w:leftChars="-23" w:right="93" w:firstLine="48" w:firstLineChars="2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评标价=投标函的文字报价</w:t>
            </w:r>
          </w:p>
          <w:p w14:paraId="54183BF3">
            <w:pPr>
              <w:pStyle w:val="16"/>
              <w:tabs>
                <w:tab w:val="left" w:pos="1260"/>
              </w:tabs>
              <w:spacing w:beforeLines="0" w:afterLines="0" w:line="360" w:lineRule="auto"/>
              <w:ind w:left="-48" w:leftChars="-23" w:right="93" w:firstLine="48" w:firstLineChars="2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rPr>
              <w:t>各标段</w:t>
            </w:r>
            <w:r>
              <w:rPr>
                <w:rFonts w:hint="eastAsia" w:ascii="宋体" w:hAnsi="宋体" w:cs="宋体"/>
                <w:color w:val="auto"/>
                <w:sz w:val="21"/>
                <w:szCs w:val="21"/>
                <w:highlight w:val="none"/>
              </w:rPr>
              <w:t>评标价平均值B的计算</w:t>
            </w:r>
          </w:p>
          <w:p w14:paraId="5E26F0D3">
            <w:pPr>
              <w:pStyle w:val="16"/>
              <w:tabs>
                <w:tab w:val="left" w:pos="1260"/>
              </w:tabs>
              <w:spacing w:beforeLines="0" w:afterLines="0" w:line="360" w:lineRule="auto"/>
              <w:ind w:left="-48" w:leftChars="-23" w:right="93" w:firstLine="48" w:firstLineChars="2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B为</w:t>
            </w:r>
            <w:r>
              <w:rPr>
                <w:rFonts w:hint="eastAsia" w:ascii="宋体" w:hAnsi="宋体" w:cs="宋体"/>
                <w:color w:val="auto"/>
                <w:sz w:val="21"/>
                <w:szCs w:val="21"/>
                <w:highlight w:val="none"/>
                <w:lang w:val="en-US"/>
              </w:rPr>
              <w:t>标段内</w:t>
            </w:r>
            <w:r>
              <w:rPr>
                <w:rFonts w:hint="eastAsia" w:ascii="宋体" w:hAnsi="宋体" w:cs="宋体"/>
                <w:color w:val="auto"/>
                <w:sz w:val="21"/>
                <w:szCs w:val="21"/>
                <w:highlight w:val="none"/>
              </w:rPr>
              <w:t>通过投标文件第一个信封评审的所有投标人（投标报价低于最高投标限价的 85％的投标人除外；第二个信封开标现场投标报价出现投标人须知第5.2.4项所示不参加评标基准价计算的任一情形的投标人除外）的评标价按下述方法计算得出的平均值：</w:t>
            </w:r>
          </w:p>
          <w:p w14:paraId="131F3419">
            <w:pPr>
              <w:pStyle w:val="16"/>
              <w:tabs>
                <w:tab w:val="left" w:pos="1260"/>
              </w:tabs>
              <w:spacing w:beforeLines="0" w:afterLines="0" w:line="360" w:lineRule="auto"/>
              <w:ind w:left="-48" w:leftChars="-23" w:right="93" w:firstLine="48" w:firstLineChars="2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若m≤5，则直接计算m个符合上述要求的投标人的评标价算术平均值；</w:t>
            </w:r>
          </w:p>
          <w:p w14:paraId="582BFF2F">
            <w:pPr>
              <w:pStyle w:val="16"/>
              <w:tabs>
                <w:tab w:val="left" w:pos="1260"/>
              </w:tabs>
              <w:spacing w:beforeLines="0" w:afterLines="0" w:line="360" w:lineRule="auto"/>
              <w:ind w:left="-48" w:leftChars="-23" w:right="93" w:firstLine="48" w:firstLineChars="2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若5＜m≤12，则去除一个最高值（P</w:t>
            </w:r>
            <w:r>
              <w:rPr>
                <w:rFonts w:hint="eastAsia" w:ascii="宋体" w:hAnsi="宋体" w:cs="宋体"/>
                <w:color w:val="auto"/>
                <w:sz w:val="21"/>
                <w:szCs w:val="21"/>
                <w:highlight w:val="none"/>
                <w:vertAlign w:val="subscript"/>
              </w:rPr>
              <w:t>max</w:t>
            </w:r>
            <w:r>
              <w:rPr>
                <w:rFonts w:hint="eastAsia" w:ascii="宋体" w:hAnsi="宋体" w:cs="宋体"/>
                <w:color w:val="auto"/>
                <w:sz w:val="21"/>
                <w:szCs w:val="21"/>
                <w:highlight w:val="none"/>
              </w:rPr>
              <w:t>）和一个最低值（P</w:t>
            </w:r>
            <w:r>
              <w:rPr>
                <w:rFonts w:hint="eastAsia" w:ascii="宋体" w:hAnsi="宋体" w:cs="宋体"/>
                <w:color w:val="auto"/>
                <w:sz w:val="21"/>
                <w:szCs w:val="21"/>
                <w:highlight w:val="none"/>
                <w:vertAlign w:val="subscript"/>
              </w:rPr>
              <w:t>min</w:t>
            </w:r>
            <w:r>
              <w:rPr>
                <w:rFonts w:hint="eastAsia" w:ascii="宋体" w:hAnsi="宋体" w:cs="宋体"/>
                <w:color w:val="auto"/>
                <w:sz w:val="21"/>
                <w:szCs w:val="21"/>
                <w:highlight w:val="none"/>
              </w:rPr>
              <w:t>），然后计算其余m-2个符合上述要求的投标人的评标价算术平均值；</w:t>
            </w:r>
          </w:p>
          <w:p w14:paraId="5965A73F">
            <w:pPr>
              <w:pStyle w:val="16"/>
              <w:tabs>
                <w:tab w:val="left" w:pos="1260"/>
              </w:tabs>
              <w:spacing w:beforeLines="0" w:afterLines="0" w:line="360" w:lineRule="auto"/>
              <w:ind w:left="-48" w:leftChars="-23" w:right="93" w:firstLine="48" w:firstLineChars="2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若m＞12，则先从m个评标价去除一个最高值（P</w:t>
            </w:r>
            <w:r>
              <w:rPr>
                <w:rFonts w:hint="eastAsia" w:ascii="宋体" w:hAnsi="宋体" w:cs="宋体"/>
                <w:color w:val="auto"/>
                <w:sz w:val="21"/>
                <w:szCs w:val="21"/>
                <w:highlight w:val="none"/>
                <w:vertAlign w:val="subscript"/>
              </w:rPr>
              <w:t>max</w:t>
            </w:r>
            <w:r>
              <w:rPr>
                <w:rFonts w:hint="eastAsia" w:ascii="宋体" w:hAnsi="宋体" w:cs="宋体"/>
                <w:color w:val="auto"/>
                <w:sz w:val="21"/>
                <w:szCs w:val="21"/>
                <w:highlight w:val="none"/>
              </w:rPr>
              <w:t>）和一个最低值（P</w:t>
            </w:r>
            <w:r>
              <w:rPr>
                <w:rFonts w:hint="eastAsia" w:ascii="宋体" w:hAnsi="宋体" w:cs="宋体"/>
                <w:color w:val="auto"/>
                <w:sz w:val="21"/>
                <w:szCs w:val="21"/>
                <w:highlight w:val="none"/>
                <w:vertAlign w:val="subscript"/>
              </w:rPr>
              <w:t>min</w:t>
            </w:r>
            <w:r>
              <w:rPr>
                <w:rFonts w:hint="eastAsia" w:ascii="宋体" w:hAnsi="宋体" w:cs="宋体"/>
                <w:color w:val="auto"/>
                <w:sz w:val="21"/>
                <w:szCs w:val="21"/>
                <w:highlight w:val="none"/>
              </w:rPr>
              <w:t>），被去除的一个最高值（P</w:t>
            </w:r>
            <w:r>
              <w:rPr>
                <w:rFonts w:hint="eastAsia" w:ascii="宋体" w:hAnsi="宋体" w:cs="宋体"/>
                <w:color w:val="auto"/>
                <w:sz w:val="21"/>
                <w:szCs w:val="21"/>
                <w:highlight w:val="none"/>
                <w:vertAlign w:val="subscript"/>
              </w:rPr>
              <w:t>max</w:t>
            </w:r>
            <w:r>
              <w:rPr>
                <w:rFonts w:hint="eastAsia" w:ascii="宋体" w:hAnsi="宋体" w:cs="宋体"/>
                <w:color w:val="auto"/>
                <w:sz w:val="21"/>
                <w:szCs w:val="21"/>
                <w:highlight w:val="none"/>
              </w:rPr>
              <w:t>）和一个最低值（P</w:t>
            </w:r>
            <w:r>
              <w:rPr>
                <w:rFonts w:hint="eastAsia" w:ascii="宋体" w:hAnsi="宋体" w:cs="宋体"/>
                <w:color w:val="auto"/>
                <w:sz w:val="21"/>
                <w:szCs w:val="21"/>
                <w:highlight w:val="none"/>
                <w:vertAlign w:val="subscript"/>
              </w:rPr>
              <w:t>min</w:t>
            </w:r>
            <w:r>
              <w:rPr>
                <w:rFonts w:hint="eastAsia" w:ascii="宋体" w:hAnsi="宋体" w:cs="宋体"/>
                <w:color w:val="auto"/>
                <w:sz w:val="21"/>
                <w:szCs w:val="21"/>
                <w:highlight w:val="none"/>
              </w:rPr>
              <w:t>）不再参与后续计算。然后从其余m-2个评标价中的最高值[P</w:t>
            </w:r>
            <w:r>
              <w:rPr>
                <w:rFonts w:hint="eastAsia" w:ascii="宋体" w:hAnsi="宋体" w:cs="宋体"/>
                <w:color w:val="auto"/>
                <w:sz w:val="21"/>
                <w:szCs w:val="21"/>
                <w:highlight w:val="none"/>
                <w:vertAlign w:val="subscript"/>
              </w:rPr>
              <w:t>（m-2）max</w:t>
            </w:r>
            <w:r>
              <w:rPr>
                <w:rFonts w:hint="eastAsia" w:ascii="宋体" w:hAnsi="宋体" w:cs="宋体"/>
                <w:color w:val="auto"/>
                <w:sz w:val="21"/>
                <w:szCs w:val="21"/>
                <w:highlight w:val="none"/>
              </w:rPr>
              <w:t>]到最低值[P</w:t>
            </w:r>
            <w:r>
              <w:rPr>
                <w:rFonts w:hint="eastAsia" w:ascii="宋体" w:hAnsi="宋体" w:cs="宋体"/>
                <w:color w:val="auto"/>
                <w:sz w:val="21"/>
                <w:szCs w:val="21"/>
                <w:highlight w:val="none"/>
                <w:vertAlign w:val="subscript"/>
              </w:rPr>
              <w:t>（m-2）min</w:t>
            </w:r>
            <w:r>
              <w:rPr>
                <w:rFonts w:hint="eastAsia" w:ascii="宋体" w:hAnsi="宋体" w:cs="宋体"/>
                <w:color w:val="auto"/>
                <w:sz w:val="21"/>
                <w:szCs w:val="21"/>
                <w:highlight w:val="none"/>
              </w:rPr>
              <w:t>]划分为从高到低10个等差报价区间，计算各个区间内符合上述要求的投标人的评标价算术平均值（当投标人的评标价等于区间临界值时，列入较高一个区间计算平均值，[P</w:t>
            </w:r>
            <w:r>
              <w:rPr>
                <w:rFonts w:hint="eastAsia" w:ascii="宋体" w:hAnsi="宋体" w:cs="宋体"/>
                <w:color w:val="auto"/>
                <w:sz w:val="21"/>
                <w:szCs w:val="21"/>
                <w:highlight w:val="none"/>
                <w:vertAlign w:val="subscript"/>
              </w:rPr>
              <w:t>（m-2）max</w:t>
            </w:r>
            <w:r>
              <w:rPr>
                <w:rFonts w:hint="eastAsia" w:ascii="宋体" w:hAnsi="宋体" w:cs="宋体"/>
                <w:color w:val="auto"/>
                <w:sz w:val="21"/>
                <w:szCs w:val="21"/>
                <w:highlight w:val="none"/>
              </w:rPr>
              <w:t>]列入最高区间），最后再对各区间算术平均值进行第二次</w:t>
            </w:r>
            <w:r>
              <w:rPr>
                <w:rFonts w:hint="eastAsia" w:ascii="宋体" w:hAnsi="宋体" w:cs="宋体"/>
                <w:color w:val="auto"/>
                <w:sz w:val="21"/>
                <w:szCs w:val="21"/>
                <w:highlight w:val="none"/>
                <w:lang w:val="en-US"/>
              </w:rPr>
              <w:t>算术</w:t>
            </w:r>
            <w:r>
              <w:rPr>
                <w:rFonts w:hint="eastAsia" w:ascii="宋体" w:hAnsi="宋体" w:cs="宋体"/>
                <w:color w:val="auto"/>
                <w:sz w:val="21"/>
                <w:szCs w:val="21"/>
                <w:highlight w:val="none"/>
              </w:rPr>
              <w:t>平均，所得平均值即为B值（若某区间没有对应投标人的报价，则进行第二次平均时扣除相应的区间个数）。</w:t>
            </w:r>
          </w:p>
          <w:p w14:paraId="5086D020">
            <w:pPr>
              <w:numPr>
                <w:ilvl w:val="255"/>
                <w:numId w:val="0"/>
              </w:numPr>
              <w:tabs>
                <w:tab w:val="left" w:pos="1260"/>
              </w:tabs>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注：m为</w:t>
            </w:r>
            <w:r>
              <w:rPr>
                <w:rFonts w:hint="eastAsia" w:ascii="宋体" w:hAnsi="宋体" w:eastAsia="宋体" w:cs="宋体"/>
                <w:color w:val="auto"/>
                <w:sz w:val="21"/>
                <w:szCs w:val="21"/>
                <w:highlight w:val="none"/>
                <w:lang w:val="en-US"/>
              </w:rPr>
              <w:t>标段内</w:t>
            </w:r>
            <w:r>
              <w:rPr>
                <w:rFonts w:hint="eastAsia" w:ascii="宋体" w:hAnsi="宋体" w:eastAsia="宋体" w:cs="宋体"/>
                <w:color w:val="auto"/>
                <w:sz w:val="21"/>
                <w:szCs w:val="21"/>
                <w:highlight w:val="none"/>
              </w:rPr>
              <w:t>通过投标文件第一个信封评审的所有投标人（投标报价低于最高投标限价的 85％的投标人除外；第二个信封开标现场投标报价出现投标人须知第5.2.4项所示不参加评标基准价计算的任一情形的投标人除外）的家数。</w:t>
            </w:r>
          </w:p>
          <w:p w14:paraId="49115DFB">
            <w:pPr>
              <w:pStyle w:val="16"/>
              <w:numPr>
                <w:ilvl w:val="0"/>
                <w:numId w:val="3"/>
              </w:numPr>
              <w:tabs>
                <w:tab w:val="left" w:pos="1260"/>
              </w:tabs>
              <w:spacing w:beforeLines="0" w:afterLines="0" w:line="360" w:lineRule="auto"/>
              <w:ind w:left="-48" w:leftChars="-23" w:right="93" w:firstLine="48" w:firstLineChars="2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评标基准价的确定：</w:t>
            </w:r>
          </w:p>
          <w:p w14:paraId="5081259A">
            <w:pPr>
              <w:tabs>
                <w:tab w:val="left" w:pos="1260"/>
              </w:tabs>
              <w:spacing w:beforeLines="0" w:afterLines="0" w:line="360" w:lineRule="auto"/>
              <w:ind w:firstLine="1260" w:firstLineChars="700"/>
              <w:rPr>
                <w:rFonts w:hint="eastAsia" w:ascii="宋体" w:hAnsi="宋体" w:cs="宋体"/>
                <w:i w:val="0"/>
                <w:highlight w:val="none"/>
              </w:rPr>
            </w:pPr>
            <w:r>
              <w:rPr>
                <w:rFonts w:hint="eastAsia" w:ascii="宋体" w:hAnsi="宋体" w:cs="宋体"/>
                <w:sz w:val="18"/>
                <w:szCs w:val="18"/>
                <w:lang w:val="en-US" w:bidi="ar-SA"/>
              </w:rPr>
              <w:drawing>
                <wp:inline distT="0" distB="0" distL="114300" distR="114300">
                  <wp:extent cx="2160270" cy="403860"/>
                  <wp:effectExtent l="0" t="0" r="11430" b="1524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4" cstate="print"/>
                          <a:stretch>
                            <a:fillRect/>
                          </a:stretch>
                        </pic:blipFill>
                        <pic:spPr>
                          <a:xfrm>
                            <a:off x="0" y="0"/>
                            <a:ext cx="2160270" cy="403860"/>
                          </a:xfrm>
                          <a:prstGeom prst="rect">
                            <a:avLst/>
                          </a:prstGeom>
                          <a:noFill/>
                          <a:ln>
                            <a:noFill/>
                          </a:ln>
                        </pic:spPr>
                      </pic:pic>
                    </a:graphicData>
                  </a:graphic>
                </wp:inline>
              </w:drawing>
            </w:r>
          </w:p>
          <w:p w14:paraId="2CC6DE6C">
            <w:pPr>
              <w:pStyle w:val="16"/>
              <w:tabs>
                <w:tab w:val="left" w:pos="1260"/>
              </w:tabs>
              <w:spacing w:beforeLines="0" w:afterLines="0" w:line="360" w:lineRule="auto"/>
              <w:ind w:left="-48" w:leftChars="-23" w:right="93" w:firstLine="48" w:firstLineChars="2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式中：</w:t>
            </w:r>
          </w:p>
          <w:p w14:paraId="06DAF4F1">
            <w:pPr>
              <w:pStyle w:val="16"/>
              <w:tabs>
                <w:tab w:val="left" w:pos="1260"/>
              </w:tabs>
              <w:spacing w:beforeLines="0" w:afterLines="0" w:line="360" w:lineRule="auto"/>
              <w:ind w:left="-48" w:leftChars="-23" w:right="93" w:firstLine="48" w:firstLineChars="2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G为评标基准价</w:t>
            </w:r>
          </w:p>
          <w:p w14:paraId="56A697EE">
            <w:pPr>
              <w:pStyle w:val="16"/>
              <w:tabs>
                <w:tab w:val="left" w:pos="1260"/>
              </w:tabs>
              <w:spacing w:beforeLines="0" w:afterLines="0" w:line="360" w:lineRule="auto"/>
              <w:ind w:left="-48" w:leftChars="-23" w:right="93" w:firstLine="48" w:firstLineChars="2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A为最高投标限价</w:t>
            </w:r>
          </w:p>
          <w:p w14:paraId="4E4F20FC">
            <w:pPr>
              <w:pStyle w:val="16"/>
              <w:tabs>
                <w:tab w:val="left" w:pos="1260"/>
              </w:tabs>
              <w:spacing w:beforeLines="0" w:afterLines="0" w:line="360" w:lineRule="auto"/>
              <w:ind w:left="-48" w:leftChars="-23" w:right="93" w:firstLine="48" w:firstLineChars="2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B 评标价平均值</w:t>
            </w:r>
          </w:p>
          <w:p w14:paraId="7FB707B9">
            <w:pPr>
              <w:pStyle w:val="16"/>
              <w:tabs>
                <w:tab w:val="left" w:pos="1260"/>
              </w:tabs>
              <w:spacing w:beforeLines="0" w:afterLines="0" w:line="360" w:lineRule="auto"/>
              <w:ind w:left="-48" w:leftChars="-23" w:right="93" w:firstLine="48" w:firstLineChars="2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K为复合系数（开标时从0.30、0.35、0.40三个值中随机抽取一个值）；</w:t>
            </w:r>
          </w:p>
          <w:p w14:paraId="4B84EA7D">
            <w:pPr>
              <w:pStyle w:val="16"/>
              <w:tabs>
                <w:tab w:val="left" w:pos="1260"/>
              </w:tabs>
              <w:spacing w:beforeLines="0" w:afterLines="0" w:line="360" w:lineRule="auto"/>
              <w:ind w:left="-48" w:leftChars="-23" w:right="93" w:firstLine="48" w:firstLineChars="23"/>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Y为下浮系数（开标时从1.0、1.2、1.4、1.6、1.8、2.0、2.2、2.4、2.6、2.8、3.0十一个值中随机抽取一个值）。</w:t>
            </w:r>
          </w:p>
          <w:p w14:paraId="7FDD03F2">
            <w:pPr>
              <w:pStyle w:val="16"/>
              <w:tabs>
                <w:tab w:val="left" w:pos="1260"/>
              </w:tabs>
              <w:spacing w:beforeLines="0" w:afterLines="0" w:line="360" w:lineRule="auto"/>
              <w:ind w:right="93"/>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随机抽取的系数由现场随机抽取的投标人代表抽取。系数只抽取一次，各标段共用，连续3次抽取无被抽取的投标人应答，由监督人指定抽取人。</w:t>
            </w:r>
          </w:p>
          <w:p w14:paraId="733E6856">
            <w:pPr>
              <w:pStyle w:val="16"/>
              <w:tabs>
                <w:tab w:val="left" w:pos="1260"/>
              </w:tabs>
              <w:spacing w:beforeLines="0" w:afterLines="0" w:line="360" w:lineRule="auto"/>
              <w:ind w:right="93"/>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在开标现场，招标人将当场计算并宣布评标基准价。如果投标人认为本标段的评标基准价计算有误，有权在开标现场提出，经当场核实确认之后，可重新宣布评标基准价。</w:t>
            </w:r>
          </w:p>
          <w:p w14:paraId="09AE8E01">
            <w:pPr>
              <w:pStyle w:val="16"/>
              <w:tabs>
                <w:tab w:val="left" w:pos="1260"/>
              </w:tabs>
              <w:spacing w:beforeLines="0" w:afterLines="0" w:line="360" w:lineRule="auto"/>
              <w:ind w:left="-48" w:leftChars="-23" w:right="93" w:firstLine="48" w:firstLineChars="23"/>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除计算差错外，评标基准价在本次评标期间保持不变，不随通过初步评审和详细评审的投标人的数量发生变化。计算差错，仅限于以下两种情况：①</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纯算术性四则运算差错；②未按约定的计算方法，多计或少计投标人报价。由于评标差错，导致否决投标错误，重新评标纠正等其他情况，不属于计算差错。</w:t>
            </w:r>
          </w:p>
        </w:tc>
      </w:tr>
      <w:tr w14:paraId="6813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101" w:type="dxa"/>
            <w:vAlign w:val="center"/>
          </w:tcPr>
          <w:p w14:paraId="183BF091">
            <w:pPr>
              <w:pStyle w:val="16"/>
              <w:tabs>
                <w:tab w:val="left" w:pos="1260"/>
              </w:tabs>
              <w:spacing w:beforeLines="0" w:afterLines="0" w:line="360" w:lineRule="auto"/>
              <w:ind w:left="124" w:right="110"/>
              <w:rPr>
                <w:rFonts w:hint="eastAsia" w:ascii="宋体" w:hAnsi="宋体" w:cs="宋体"/>
                <w:color w:val="auto"/>
                <w:sz w:val="21"/>
                <w:szCs w:val="21"/>
                <w:highlight w:val="none"/>
              </w:rPr>
            </w:pPr>
            <w:r>
              <w:rPr>
                <w:rFonts w:hint="eastAsia" w:ascii="宋体" w:hAnsi="宋体" w:cs="宋体"/>
                <w:color w:val="auto"/>
                <w:sz w:val="21"/>
                <w:szCs w:val="21"/>
                <w:highlight w:val="none"/>
              </w:rPr>
              <w:t>2.2.3</w:t>
            </w:r>
          </w:p>
        </w:tc>
        <w:tc>
          <w:tcPr>
            <w:tcW w:w="1457" w:type="dxa"/>
            <w:vAlign w:val="center"/>
          </w:tcPr>
          <w:p w14:paraId="7D17469B">
            <w:pPr>
              <w:pStyle w:val="16"/>
              <w:tabs>
                <w:tab w:val="left" w:pos="1260"/>
              </w:tabs>
              <w:spacing w:beforeLines="0" w:afterLines="0" w:line="360" w:lineRule="auto"/>
              <w:ind w:left="125" w:right="113"/>
              <w:rPr>
                <w:rFonts w:hint="eastAsia" w:ascii="宋体" w:hAnsi="宋体" w:cs="宋体"/>
                <w:color w:val="auto"/>
                <w:sz w:val="21"/>
                <w:szCs w:val="21"/>
                <w:highlight w:val="none"/>
              </w:rPr>
            </w:pPr>
            <w:r>
              <w:rPr>
                <w:rFonts w:hint="eastAsia" w:ascii="宋体" w:hAnsi="宋体" w:cs="宋体"/>
                <w:color w:val="auto"/>
                <w:sz w:val="21"/>
                <w:szCs w:val="21"/>
                <w:highlight w:val="none"/>
              </w:rPr>
              <w:t>评标价的偏差率计算公式</w:t>
            </w:r>
          </w:p>
        </w:tc>
        <w:tc>
          <w:tcPr>
            <w:tcW w:w="6793" w:type="dxa"/>
            <w:vAlign w:val="center"/>
          </w:tcPr>
          <w:p w14:paraId="003D33F2">
            <w:pPr>
              <w:pStyle w:val="16"/>
              <w:tabs>
                <w:tab w:val="left" w:pos="1260"/>
              </w:tabs>
              <w:spacing w:beforeLines="0" w:afterLines="0" w:line="360" w:lineRule="auto"/>
              <w:ind w:left="-48" w:leftChars="-23" w:right="93" w:firstLine="48" w:firstLineChars="2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偏差率=100% ×（投标人评标价－评标基准价）/评标基准价</w:t>
            </w:r>
          </w:p>
          <w:p w14:paraId="06ADF88A">
            <w:pPr>
              <w:pStyle w:val="16"/>
              <w:tabs>
                <w:tab w:val="left" w:pos="1260"/>
              </w:tabs>
              <w:spacing w:beforeLines="0" w:afterLines="0" w:line="360" w:lineRule="auto"/>
              <w:ind w:left="-48" w:leftChars="-23" w:right="93" w:firstLine="48" w:firstLineChars="23"/>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偏差率保留二位小数</w:t>
            </w:r>
          </w:p>
        </w:tc>
      </w:tr>
    </w:tbl>
    <w:tbl>
      <w:tblPr>
        <w:tblStyle w:val="17"/>
        <w:tblW w:w="97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3" w:type="dxa"/>
          <w:bottom w:w="0" w:type="dxa"/>
          <w:right w:w="113" w:type="dxa"/>
        </w:tblCellMar>
      </w:tblPr>
      <w:tblGrid>
        <w:gridCol w:w="1154"/>
        <w:gridCol w:w="925"/>
        <w:gridCol w:w="634"/>
        <w:gridCol w:w="1134"/>
        <w:gridCol w:w="1134"/>
        <w:gridCol w:w="856"/>
        <w:gridCol w:w="3939"/>
      </w:tblGrid>
      <w:tr w14:paraId="3A323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381" w:hRule="atLeast"/>
          <w:tblHeader/>
          <w:jc w:val="center"/>
        </w:trPr>
        <w:tc>
          <w:tcPr>
            <w:tcW w:w="5837" w:type="dxa"/>
            <w:gridSpan w:val="6"/>
            <w:vAlign w:val="center"/>
          </w:tcPr>
          <w:p w14:paraId="788C6CF0">
            <w:pPr>
              <w:pStyle w:val="16"/>
              <w:tabs>
                <w:tab w:val="left" w:pos="1260"/>
              </w:tabs>
              <w:spacing w:beforeLines="0" w:afterLines="0" w:line="360" w:lineRule="auto"/>
              <w:rPr>
                <w:rFonts w:hint="eastAsia" w:ascii="宋体" w:hAnsi="宋体" w:eastAsia="宋体" w:cs="宋体"/>
                <w:b/>
                <w:color w:val="auto"/>
                <w:sz w:val="21"/>
                <w:szCs w:val="21"/>
                <w:highlight w:val="none"/>
                <w:lang w:eastAsia="en-US"/>
              </w:rPr>
            </w:pPr>
            <w:bookmarkStart w:id="27" w:name="_GoBack"/>
            <w:bookmarkEnd w:id="27"/>
            <w:r>
              <w:rPr>
                <w:rFonts w:hint="eastAsia" w:ascii="宋体" w:hAnsi="宋体" w:eastAsia="宋体" w:cs="宋体"/>
                <w:b/>
                <w:color w:val="auto"/>
                <w:sz w:val="21"/>
                <w:szCs w:val="21"/>
                <w:highlight w:val="none"/>
                <w:lang w:eastAsia="en-US"/>
              </w:rPr>
              <w:t>评分因素与权重分值</w:t>
            </w:r>
          </w:p>
        </w:tc>
        <w:tc>
          <w:tcPr>
            <w:tcW w:w="3939" w:type="dxa"/>
            <w:vMerge w:val="restart"/>
            <w:vAlign w:val="center"/>
          </w:tcPr>
          <w:p w14:paraId="2072AC38">
            <w:pPr>
              <w:pStyle w:val="16"/>
              <w:tabs>
                <w:tab w:val="left" w:pos="1260"/>
              </w:tabs>
              <w:spacing w:beforeLines="0" w:afterLines="0" w:line="360" w:lineRule="auto"/>
              <w:rPr>
                <w:rFonts w:hint="eastAsia" w:ascii="宋体" w:hAnsi="宋体" w:eastAsia="宋体" w:cs="宋体"/>
                <w:b/>
                <w:color w:val="auto"/>
                <w:sz w:val="21"/>
                <w:szCs w:val="21"/>
                <w:highlight w:val="none"/>
                <w:lang w:eastAsia="en-US"/>
              </w:rPr>
            </w:pPr>
            <w:r>
              <w:rPr>
                <w:rFonts w:hint="eastAsia" w:ascii="宋体" w:hAnsi="宋体" w:eastAsia="宋体" w:cs="宋体"/>
                <w:b/>
                <w:color w:val="auto"/>
                <w:sz w:val="21"/>
                <w:szCs w:val="21"/>
                <w:highlight w:val="none"/>
                <w:lang w:eastAsia="en-US"/>
              </w:rPr>
              <w:t>评分标准</w:t>
            </w:r>
          </w:p>
        </w:tc>
      </w:tr>
      <w:tr w14:paraId="324C8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757" w:hRule="atLeast"/>
          <w:tblHeader/>
          <w:jc w:val="center"/>
        </w:trPr>
        <w:tc>
          <w:tcPr>
            <w:tcW w:w="1154" w:type="dxa"/>
            <w:vAlign w:val="center"/>
          </w:tcPr>
          <w:p w14:paraId="5050E9CE">
            <w:pPr>
              <w:pStyle w:val="16"/>
              <w:tabs>
                <w:tab w:val="left" w:pos="1260"/>
              </w:tabs>
              <w:spacing w:beforeLines="0" w:afterLines="0" w:line="360" w:lineRule="auto"/>
              <w:rPr>
                <w:rFonts w:hint="eastAsia" w:ascii="宋体" w:hAnsi="宋体" w:eastAsia="宋体" w:cs="宋体"/>
                <w:b/>
                <w:color w:val="auto"/>
                <w:sz w:val="21"/>
                <w:szCs w:val="21"/>
                <w:highlight w:val="none"/>
                <w:lang w:eastAsia="en-US"/>
              </w:rPr>
            </w:pPr>
            <w:r>
              <w:rPr>
                <w:rFonts w:hint="eastAsia" w:ascii="宋体" w:hAnsi="宋体" w:eastAsia="宋体" w:cs="宋体"/>
                <w:b/>
                <w:color w:val="auto"/>
                <w:sz w:val="21"/>
                <w:szCs w:val="21"/>
                <w:highlight w:val="none"/>
                <w:lang w:eastAsia="en-US"/>
              </w:rPr>
              <w:t>条款号</w:t>
            </w:r>
          </w:p>
        </w:tc>
        <w:tc>
          <w:tcPr>
            <w:tcW w:w="1559" w:type="dxa"/>
            <w:gridSpan w:val="2"/>
            <w:vAlign w:val="center"/>
          </w:tcPr>
          <w:p w14:paraId="71CCF5AF">
            <w:pPr>
              <w:pStyle w:val="16"/>
              <w:tabs>
                <w:tab w:val="left" w:pos="1260"/>
              </w:tabs>
              <w:spacing w:beforeLines="0" w:afterLines="0" w:line="360" w:lineRule="auto"/>
              <w:rPr>
                <w:rFonts w:hint="eastAsia" w:ascii="宋体" w:hAnsi="宋体" w:eastAsia="宋体" w:cs="宋体"/>
                <w:b/>
                <w:color w:val="auto"/>
                <w:sz w:val="21"/>
                <w:szCs w:val="21"/>
                <w:highlight w:val="none"/>
                <w:lang w:eastAsia="en-US"/>
              </w:rPr>
            </w:pPr>
            <w:r>
              <w:rPr>
                <w:rFonts w:hint="eastAsia" w:ascii="宋体" w:hAnsi="宋体" w:eastAsia="宋体" w:cs="宋体"/>
                <w:b/>
                <w:color w:val="auto"/>
                <w:sz w:val="21"/>
                <w:szCs w:val="21"/>
                <w:highlight w:val="none"/>
                <w:lang w:eastAsia="en-US"/>
              </w:rPr>
              <w:t>评分因素</w:t>
            </w:r>
          </w:p>
        </w:tc>
        <w:tc>
          <w:tcPr>
            <w:tcW w:w="1134" w:type="dxa"/>
            <w:vAlign w:val="center"/>
          </w:tcPr>
          <w:p w14:paraId="0DA8EFF4">
            <w:pPr>
              <w:pStyle w:val="16"/>
              <w:tabs>
                <w:tab w:val="left" w:pos="1260"/>
              </w:tabs>
              <w:spacing w:beforeLines="0" w:afterLines="0" w:line="360" w:lineRule="auto"/>
              <w:rPr>
                <w:rFonts w:hint="eastAsia" w:ascii="宋体" w:hAnsi="宋体" w:eastAsia="宋体" w:cs="宋体"/>
                <w:b/>
                <w:color w:val="auto"/>
                <w:sz w:val="21"/>
                <w:szCs w:val="21"/>
                <w:highlight w:val="none"/>
                <w:lang w:eastAsia="en-US"/>
              </w:rPr>
            </w:pPr>
            <w:r>
              <w:rPr>
                <w:rFonts w:hint="eastAsia" w:ascii="宋体" w:hAnsi="宋体" w:eastAsia="宋体" w:cs="宋体"/>
                <w:b/>
                <w:color w:val="auto"/>
                <w:sz w:val="21"/>
                <w:szCs w:val="21"/>
                <w:highlight w:val="none"/>
                <w:lang w:eastAsia="en-US"/>
              </w:rPr>
              <w:t>评分因素</w:t>
            </w:r>
            <w:r>
              <w:rPr>
                <w:rFonts w:hint="eastAsia" w:ascii="宋体" w:hAnsi="宋体" w:eastAsia="宋体" w:cs="宋体"/>
                <w:b/>
                <w:color w:val="auto"/>
                <w:spacing w:val="-1"/>
                <w:sz w:val="21"/>
                <w:szCs w:val="21"/>
                <w:highlight w:val="none"/>
                <w:lang w:eastAsia="en-US"/>
              </w:rPr>
              <w:t>权重分值</w:t>
            </w:r>
          </w:p>
        </w:tc>
        <w:tc>
          <w:tcPr>
            <w:tcW w:w="1134" w:type="dxa"/>
            <w:vAlign w:val="center"/>
          </w:tcPr>
          <w:p w14:paraId="3F22ABC1">
            <w:pPr>
              <w:pStyle w:val="16"/>
              <w:tabs>
                <w:tab w:val="left" w:pos="1260"/>
              </w:tabs>
              <w:spacing w:beforeLines="0" w:afterLines="0" w:line="360" w:lineRule="auto"/>
              <w:rPr>
                <w:rFonts w:hint="eastAsia" w:ascii="宋体" w:hAnsi="宋体" w:eastAsia="宋体" w:cs="宋体"/>
                <w:b/>
                <w:color w:val="auto"/>
                <w:sz w:val="21"/>
                <w:szCs w:val="21"/>
                <w:highlight w:val="none"/>
                <w:lang w:eastAsia="en-US"/>
              </w:rPr>
            </w:pPr>
            <w:r>
              <w:rPr>
                <w:rFonts w:hint="eastAsia" w:ascii="宋体" w:hAnsi="宋体" w:eastAsia="宋体" w:cs="宋体"/>
                <w:b/>
                <w:color w:val="auto"/>
                <w:sz w:val="21"/>
                <w:szCs w:val="21"/>
                <w:highlight w:val="none"/>
                <w:lang w:eastAsia="en-US"/>
              </w:rPr>
              <w:t>各评分因素细分项</w:t>
            </w:r>
          </w:p>
        </w:tc>
        <w:tc>
          <w:tcPr>
            <w:tcW w:w="856" w:type="dxa"/>
            <w:vAlign w:val="center"/>
          </w:tcPr>
          <w:p w14:paraId="4BBAE116">
            <w:pPr>
              <w:pStyle w:val="16"/>
              <w:tabs>
                <w:tab w:val="left" w:pos="1260"/>
              </w:tabs>
              <w:spacing w:beforeLines="0" w:afterLines="0" w:line="360" w:lineRule="auto"/>
              <w:rPr>
                <w:rFonts w:hint="eastAsia" w:ascii="宋体" w:hAnsi="宋体" w:eastAsia="宋体" w:cs="宋体"/>
                <w:b/>
                <w:color w:val="auto"/>
                <w:sz w:val="21"/>
                <w:szCs w:val="21"/>
                <w:highlight w:val="none"/>
                <w:lang w:eastAsia="en-US"/>
              </w:rPr>
            </w:pPr>
            <w:r>
              <w:rPr>
                <w:rFonts w:hint="eastAsia" w:ascii="宋体" w:hAnsi="宋体" w:eastAsia="宋体" w:cs="宋体"/>
                <w:b/>
                <w:color w:val="auto"/>
                <w:sz w:val="21"/>
                <w:szCs w:val="21"/>
                <w:highlight w:val="none"/>
                <w:lang w:eastAsia="en-US"/>
              </w:rPr>
              <w:t>分值</w:t>
            </w:r>
          </w:p>
        </w:tc>
        <w:tc>
          <w:tcPr>
            <w:tcW w:w="3939" w:type="dxa"/>
            <w:vMerge w:val="continue"/>
          </w:tcPr>
          <w:p w14:paraId="43714AB3">
            <w:pPr>
              <w:tabs>
                <w:tab w:val="left" w:pos="1260"/>
              </w:tabs>
              <w:spacing w:beforeLines="0" w:afterLines="0" w:line="360" w:lineRule="auto"/>
              <w:rPr>
                <w:rFonts w:hint="eastAsia" w:ascii="宋体" w:hAnsi="宋体" w:eastAsia="宋体" w:cs="宋体"/>
                <w:color w:val="auto"/>
                <w:szCs w:val="21"/>
                <w:highlight w:val="none"/>
                <w:lang w:eastAsia="en-US"/>
              </w:rPr>
            </w:pPr>
          </w:p>
        </w:tc>
      </w:tr>
      <w:tr w14:paraId="15808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5350" w:hRule="atLeast"/>
          <w:jc w:val="center"/>
        </w:trPr>
        <w:tc>
          <w:tcPr>
            <w:tcW w:w="1154" w:type="dxa"/>
            <w:tcBorders>
              <w:bottom w:val="single" w:color="000000" w:sz="4" w:space="0"/>
            </w:tcBorders>
            <w:vAlign w:val="center"/>
          </w:tcPr>
          <w:p w14:paraId="074A9161">
            <w:pPr>
              <w:pStyle w:val="16"/>
              <w:tabs>
                <w:tab w:val="left" w:pos="1260"/>
              </w:tabs>
              <w:spacing w:beforeLines="0" w:afterLines="0" w:line="360" w:lineRule="auto"/>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2.2.4（1）</w:t>
            </w:r>
          </w:p>
        </w:tc>
        <w:tc>
          <w:tcPr>
            <w:tcW w:w="1559" w:type="dxa"/>
            <w:gridSpan w:val="2"/>
            <w:tcBorders>
              <w:bottom w:val="single" w:color="000000" w:sz="4" w:space="0"/>
            </w:tcBorders>
            <w:vAlign w:val="center"/>
          </w:tcPr>
          <w:p w14:paraId="43A3B673">
            <w:pPr>
              <w:widowControl/>
              <w:tabs>
                <w:tab w:val="left" w:pos="1260"/>
              </w:tabs>
              <w:spacing w:beforeLines="0" w:afterLines="0" w:line="360" w:lineRule="auto"/>
              <w:rPr>
                <w:rFonts w:hint="eastAsia" w:ascii="宋体" w:hAnsi="宋体" w:eastAsia="宋体" w:cs="宋体"/>
                <w:color w:val="auto"/>
                <w:kern w:val="0"/>
                <w:szCs w:val="21"/>
                <w:highlight w:val="none"/>
                <w:lang w:eastAsia="en-US"/>
              </w:rPr>
            </w:pPr>
            <w:r>
              <w:rPr>
                <w:rFonts w:hint="eastAsia" w:ascii="宋体" w:hAnsi="宋体" w:eastAsia="宋体" w:cs="宋体"/>
                <w:color w:val="auto"/>
                <w:szCs w:val="21"/>
                <w:highlight w:val="none"/>
                <w:lang w:eastAsia="en-US"/>
              </w:rPr>
              <w:t>施工组织设计</w:t>
            </w:r>
          </w:p>
        </w:tc>
        <w:tc>
          <w:tcPr>
            <w:tcW w:w="1134" w:type="dxa"/>
            <w:tcBorders>
              <w:bottom w:val="single" w:color="000000" w:sz="4" w:space="0"/>
            </w:tcBorders>
            <w:vAlign w:val="center"/>
          </w:tcPr>
          <w:p w14:paraId="09E4D758">
            <w:pPr>
              <w:widowControl/>
              <w:tabs>
                <w:tab w:val="left" w:pos="1260"/>
              </w:tabs>
              <w:spacing w:beforeLines="0" w:afterLines="0" w:line="360" w:lineRule="auto"/>
              <w:jc w:val="center"/>
              <w:rPr>
                <w:rFonts w:hint="eastAsia" w:ascii="宋体" w:hAnsi="宋体" w:eastAsia="宋体" w:cs="宋体"/>
                <w:color w:val="auto"/>
                <w:kern w:val="0"/>
                <w:szCs w:val="21"/>
                <w:highlight w:val="none"/>
                <w:lang w:eastAsia="en-US"/>
              </w:rPr>
            </w:pP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lang w:eastAsia="en-US"/>
              </w:rPr>
              <w:t>分</w:t>
            </w:r>
          </w:p>
        </w:tc>
        <w:tc>
          <w:tcPr>
            <w:tcW w:w="1134" w:type="dxa"/>
            <w:vAlign w:val="center"/>
          </w:tcPr>
          <w:p w14:paraId="354784CF">
            <w:pPr>
              <w:widowControl/>
              <w:tabs>
                <w:tab w:val="left" w:pos="1260"/>
              </w:tabs>
              <w:spacing w:beforeLines="0" w:afterLines="0" w:line="360" w:lineRule="auto"/>
              <w:jc w:val="center"/>
              <w:rPr>
                <w:rFonts w:hint="eastAsia" w:ascii="宋体" w:hAnsi="宋体" w:eastAsia="宋体" w:cs="宋体"/>
                <w:color w:val="auto"/>
                <w:kern w:val="0"/>
                <w:szCs w:val="21"/>
                <w:highlight w:val="none"/>
                <w:lang w:eastAsia="en-US"/>
              </w:rPr>
            </w:pPr>
            <w:r>
              <w:rPr>
                <w:rFonts w:hint="eastAsia" w:ascii="宋体" w:hAnsi="宋体" w:eastAsia="宋体" w:cs="宋体"/>
                <w:color w:val="auto"/>
                <w:szCs w:val="21"/>
                <w:highlight w:val="none"/>
                <w:lang w:eastAsia="en-US"/>
              </w:rPr>
              <w:t>施工组织设计</w:t>
            </w:r>
          </w:p>
        </w:tc>
        <w:tc>
          <w:tcPr>
            <w:tcW w:w="856" w:type="dxa"/>
            <w:vAlign w:val="center"/>
          </w:tcPr>
          <w:p w14:paraId="5FDAB6EB">
            <w:pPr>
              <w:pStyle w:val="16"/>
              <w:tabs>
                <w:tab w:val="left" w:pos="457"/>
                <w:tab w:val="left" w:pos="1260"/>
              </w:tabs>
              <w:spacing w:beforeLines="0" w:afterLines="0" w:line="360" w:lineRule="auto"/>
              <w:rPr>
                <w:rFonts w:hint="eastAsia" w:ascii="宋体" w:hAnsi="宋体" w:eastAsia="宋体" w:cs="宋体"/>
                <w:color w:val="auto"/>
                <w:sz w:val="21"/>
                <w:szCs w:val="21"/>
                <w:highlight w:val="none"/>
                <w:lang w:eastAsia="en-US"/>
              </w:rPr>
            </w:pP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lang w:eastAsia="en-US"/>
              </w:rPr>
              <w:t>分</w:t>
            </w:r>
          </w:p>
        </w:tc>
        <w:tc>
          <w:tcPr>
            <w:tcW w:w="3939" w:type="dxa"/>
            <w:vAlign w:val="center"/>
          </w:tcPr>
          <w:p w14:paraId="1017EDAD">
            <w:pPr>
              <w:tabs>
                <w:tab w:val="left" w:pos="1260"/>
              </w:tabs>
              <w:spacing w:beforeLines="0" w:afterLines="0" w:line="360" w:lineRule="auto"/>
              <w:jc w:val="left"/>
              <w:rPr>
                <w:rFonts w:hint="eastAsia" w:ascii="宋体" w:hAnsi="宋体" w:eastAsia="宋体" w:cs="宋体"/>
                <w:color w:val="auto"/>
                <w:kern w:val="0"/>
                <w:szCs w:val="21"/>
                <w:highlight w:val="none"/>
                <w:lang w:eastAsia="en-US"/>
              </w:rPr>
            </w:pPr>
            <w:r>
              <w:rPr>
                <w:rFonts w:hint="eastAsia" w:ascii="宋体" w:hAnsi="宋体" w:eastAsia="宋体" w:cs="宋体"/>
                <w:color w:val="auto"/>
                <w:kern w:val="0"/>
                <w:szCs w:val="21"/>
                <w:highlight w:val="none"/>
                <w:lang w:eastAsia="en-US"/>
              </w:rPr>
              <w:t>施工组织设计合理，有针对性，包含总体施工组织布置及规划；主要工程项目的施工方案、方法与技术措施；工期保证体系及保证措施；工程质量管理体系及保证措施；安全生产管理体系及保证措施；环境保护、水土保持保证体系及保证措施；文明施工、文物保护保证体系及保证措施；项目风险预测与防范，事故应急预案。方案可行，控制措施满足施工要求。</w:t>
            </w:r>
          </w:p>
          <w:p w14:paraId="3F611197">
            <w:pPr>
              <w:tabs>
                <w:tab w:val="left" w:pos="1260"/>
              </w:tabs>
              <w:spacing w:beforeLines="0" w:afterLines="0" w:line="360" w:lineRule="auto"/>
              <w:jc w:val="left"/>
              <w:rPr>
                <w:rFonts w:hint="eastAsia" w:ascii="宋体" w:hAnsi="宋体" w:eastAsia="宋体" w:cs="宋体"/>
                <w:color w:val="auto"/>
                <w:kern w:val="0"/>
                <w:szCs w:val="21"/>
                <w:highlight w:val="none"/>
                <w:lang w:eastAsia="en-US"/>
              </w:rPr>
            </w:pPr>
            <w:r>
              <w:rPr>
                <w:rFonts w:hint="eastAsia" w:ascii="宋体" w:hAnsi="宋体" w:eastAsia="宋体" w:cs="宋体"/>
                <w:color w:val="auto"/>
                <w:kern w:val="0"/>
                <w:szCs w:val="21"/>
                <w:highlight w:val="none"/>
                <w:lang w:eastAsia="en-US"/>
              </w:rPr>
              <w:t>①一般，得基本分4.2分；</w:t>
            </w:r>
          </w:p>
          <w:p w14:paraId="49A24F80">
            <w:pPr>
              <w:tabs>
                <w:tab w:val="left" w:pos="1260"/>
              </w:tabs>
              <w:spacing w:beforeLines="0" w:afterLines="0" w:line="360" w:lineRule="auto"/>
              <w:jc w:val="left"/>
              <w:rPr>
                <w:rFonts w:hint="eastAsia" w:ascii="宋体" w:hAnsi="宋体" w:eastAsia="宋体" w:cs="宋体"/>
                <w:color w:val="auto"/>
                <w:kern w:val="0"/>
                <w:szCs w:val="21"/>
                <w:highlight w:val="none"/>
                <w:lang w:eastAsia="en-US"/>
              </w:rPr>
            </w:pPr>
            <w:r>
              <w:rPr>
                <w:rFonts w:hint="eastAsia" w:ascii="宋体" w:hAnsi="宋体" w:eastAsia="宋体" w:cs="宋体"/>
                <w:color w:val="auto"/>
                <w:kern w:val="0"/>
                <w:szCs w:val="21"/>
                <w:highlight w:val="none"/>
                <w:lang w:eastAsia="en-US"/>
              </w:rPr>
              <w:t>②较好，得4.2-5.6分；</w:t>
            </w:r>
          </w:p>
          <w:p w14:paraId="7D7433FA">
            <w:pPr>
              <w:tabs>
                <w:tab w:val="left" w:pos="1260"/>
              </w:tabs>
              <w:spacing w:beforeLines="0" w:afterLines="0" w:line="360" w:lineRule="auto"/>
              <w:jc w:val="left"/>
              <w:rPr>
                <w:rFonts w:hint="eastAsia" w:ascii="宋体" w:hAnsi="宋体" w:eastAsia="宋体" w:cs="宋体"/>
                <w:color w:val="auto"/>
                <w:kern w:val="0"/>
                <w:szCs w:val="21"/>
                <w:highlight w:val="none"/>
                <w:lang w:eastAsia="en-US"/>
              </w:rPr>
            </w:pPr>
            <w:r>
              <w:rPr>
                <w:rFonts w:hint="eastAsia" w:ascii="宋体" w:hAnsi="宋体" w:eastAsia="宋体" w:cs="宋体"/>
                <w:color w:val="auto"/>
                <w:kern w:val="0"/>
                <w:szCs w:val="21"/>
                <w:highlight w:val="none"/>
                <w:lang w:eastAsia="en-US"/>
              </w:rPr>
              <w:t>③好，得5.6-7分。</w:t>
            </w:r>
          </w:p>
          <w:p w14:paraId="0232B702">
            <w:pPr>
              <w:tabs>
                <w:tab w:val="left" w:pos="1260"/>
              </w:tabs>
              <w:spacing w:beforeLines="0" w:afterLines="0" w:line="360" w:lineRule="auto"/>
              <w:jc w:val="left"/>
              <w:rPr>
                <w:rFonts w:hint="eastAsia" w:ascii="宋体" w:hAnsi="宋体" w:eastAsia="宋体" w:cs="宋体"/>
                <w:color w:val="auto"/>
                <w:kern w:val="0"/>
                <w:szCs w:val="21"/>
                <w:highlight w:val="none"/>
                <w:lang w:eastAsia="en-US"/>
              </w:rPr>
            </w:pPr>
            <w:r>
              <w:rPr>
                <w:rFonts w:hint="eastAsia" w:ascii="宋体" w:hAnsi="宋体" w:eastAsia="宋体" w:cs="宋体"/>
                <w:color w:val="auto"/>
                <w:kern w:val="0"/>
                <w:szCs w:val="21"/>
                <w:highlight w:val="none"/>
                <w:lang w:eastAsia="en-US"/>
              </w:rPr>
              <w:t>注：区间分值不包含下限，包含上限。</w:t>
            </w:r>
          </w:p>
        </w:tc>
      </w:tr>
      <w:tr w14:paraId="353E6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950" w:hRule="atLeast"/>
          <w:jc w:val="center"/>
        </w:trPr>
        <w:tc>
          <w:tcPr>
            <w:tcW w:w="1154" w:type="dxa"/>
            <w:vMerge w:val="restart"/>
            <w:tcBorders>
              <w:bottom w:val="single" w:color="000000" w:sz="4" w:space="0"/>
            </w:tcBorders>
            <w:vAlign w:val="center"/>
          </w:tcPr>
          <w:p w14:paraId="32579DF8">
            <w:pPr>
              <w:pStyle w:val="16"/>
              <w:tabs>
                <w:tab w:val="left" w:pos="1260"/>
              </w:tabs>
              <w:spacing w:beforeLines="0" w:afterLines="0" w:line="360" w:lineRule="auto"/>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2.2.4（2）</w:t>
            </w:r>
          </w:p>
        </w:tc>
        <w:tc>
          <w:tcPr>
            <w:tcW w:w="1559" w:type="dxa"/>
            <w:gridSpan w:val="2"/>
            <w:vMerge w:val="restart"/>
            <w:tcBorders>
              <w:bottom w:val="single" w:color="000000" w:sz="4" w:space="0"/>
            </w:tcBorders>
            <w:vAlign w:val="center"/>
          </w:tcPr>
          <w:p w14:paraId="17CABE19">
            <w:pPr>
              <w:pStyle w:val="16"/>
              <w:tabs>
                <w:tab w:val="left" w:pos="1260"/>
              </w:tabs>
              <w:spacing w:beforeLines="0" w:afterLines="0" w:line="360" w:lineRule="auto"/>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主要人员</w:t>
            </w:r>
          </w:p>
        </w:tc>
        <w:tc>
          <w:tcPr>
            <w:tcW w:w="1134" w:type="dxa"/>
            <w:vMerge w:val="restart"/>
            <w:tcBorders>
              <w:bottom w:val="single" w:color="000000" w:sz="4" w:space="0"/>
            </w:tcBorders>
            <w:vAlign w:val="center"/>
          </w:tcPr>
          <w:p w14:paraId="57336F49">
            <w:pPr>
              <w:pStyle w:val="16"/>
              <w:tabs>
                <w:tab w:val="left" w:pos="674"/>
                <w:tab w:val="left" w:pos="1260"/>
              </w:tabs>
              <w:spacing w:beforeLines="0" w:afterLines="0" w:line="360" w:lineRule="auto"/>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10分</w:t>
            </w:r>
          </w:p>
        </w:tc>
        <w:tc>
          <w:tcPr>
            <w:tcW w:w="1134" w:type="dxa"/>
            <w:vAlign w:val="center"/>
          </w:tcPr>
          <w:p w14:paraId="6802C8E6">
            <w:pPr>
              <w:tabs>
                <w:tab w:val="left" w:pos="1260"/>
              </w:tabs>
              <w:spacing w:beforeLines="0" w:afterLines="0" w:line="360" w:lineRule="auto"/>
              <w:rPr>
                <w:rFonts w:hint="eastAsia" w:ascii="宋体" w:hAnsi="宋体" w:eastAsia="宋体" w:cs="宋体"/>
                <w:color w:val="auto"/>
                <w:kern w:val="0"/>
                <w:szCs w:val="21"/>
                <w:highlight w:val="none"/>
                <w:lang w:eastAsia="en-US"/>
              </w:rPr>
            </w:pPr>
            <w:r>
              <w:rPr>
                <w:rFonts w:hint="eastAsia" w:ascii="宋体" w:hAnsi="宋体" w:eastAsia="宋体" w:cs="宋体"/>
                <w:color w:val="auto"/>
                <w:kern w:val="0"/>
                <w:szCs w:val="21"/>
                <w:highlight w:val="none"/>
                <w:lang w:eastAsia="en-US"/>
              </w:rPr>
              <w:t>项目经理任职资格与业绩</w:t>
            </w:r>
          </w:p>
        </w:tc>
        <w:tc>
          <w:tcPr>
            <w:tcW w:w="856" w:type="dxa"/>
            <w:vAlign w:val="center"/>
          </w:tcPr>
          <w:p w14:paraId="09C4BBCE">
            <w:pPr>
              <w:tabs>
                <w:tab w:val="left" w:pos="1260"/>
              </w:tabs>
              <w:spacing w:beforeLines="0" w:afterLines="0" w:line="360" w:lineRule="auto"/>
              <w:jc w:val="center"/>
              <w:rPr>
                <w:rFonts w:hint="eastAsia" w:ascii="宋体" w:hAnsi="宋体" w:eastAsia="宋体" w:cs="宋体"/>
                <w:color w:val="auto"/>
                <w:kern w:val="0"/>
                <w:szCs w:val="21"/>
                <w:highlight w:val="none"/>
                <w:lang w:eastAsia="en-US"/>
              </w:rPr>
            </w:pPr>
            <w:r>
              <w:rPr>
                <w:rFonts w:hint="eastAsia" w:ascii="宋体" w:hAnsi="宋体" w:eastAsia="宋体" w:cs="宋体"/>
                <w:color w:val="auto"/>
                <w:kern w:val="0"/>
                <w:szCs w:val="21"/>
                <w:highlight w:val="none"/>
                <w:lang w:eastAsia="en-US"/>
              </w:rPr>
              <w:t>6分</w:t>
            </w:r>
          </w:p>
        </w:tc>
        <w:tc>
          <w:tcPr>
            <w:tcW w:w="3939" w:type="dxa"/>
            <w:vAlign w:val="center"/>
          </w:tcPr>
          <w:p w14:paraId="641C0B1F">
            <w:pPr>
              <w:tabs>
                <w:tab w:val="left" w:pos="1260"/>
              </w:tabs>
              <w:spacing w:beforeLines="0" w:afterLines="0" w:line="360" w:lineRule="auto"/>
              <w:jc w:val="left"/>
              <w:rPr>
                <w:rFonts w:hint="eastAsia" w:ascii="宋体" w:hAnsi="宋体" w:eastAsia="宋体" w:cs="宋体"/>
                <w:color w:val="auto"/>
                <w:highlight w:val="none"/>
                <w:lang w:eastAsia="en-US"/>
              </w:rPr>
            </w:pPr>
            <w:r>
              <w:rPr>
                <w:rFonts w:hint="eastAsia" w:ascii="宋体" w:hAnsi="宋体" w:eastAsia="宋体" w:cs="宋体"/>
                <w:color w:val="auto"/>
                <w:highlight w:val="none"/>
                <w:lang w:eastAsia="en-US"/>
              </w:rPr>
              <w:t>满足资格审查条件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en-US"/>
              </w:rPr>
              <w:t>项目经理最低要求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en-US"/>
              </w:rPr>
              <w:t>，得3.6分，加分条件如下：</w:t>
            </w:r>
          </w:p>
          <w:p w14:paraId="66F7C5F7">
            <w:pPr>
              <w:tabs>
                <w:tab w:val="left" w:pos="1260"/>
              </w:tabs>
              <w:spacing w:beforeLines="0" w:afterLines="0" w:line="360" w:lineRule="auto"/>
              <w:jc w:val="left"/>
              <w:rPr>
                <w:rFonts w:hint="eastAsia" w:ascii="宋体" w:hAnsi="宋体" w:eastAsia="宋体" w:cs="宋体"/>
                <w:color w:val="auto"/>
                <w:highlight w:val="none"/>
                <w:lang w:eastAsia="en-US"/>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en-US"/>
              </w:rPr>
              <w:t>高级工程师及以上职称加0.8分；</w:t>
            </w:r>
          </w:p>
          <w:p w14:paraId="1FB3C0D4">
            <w:pPr>
              <w:tabs>
                <w:tab w:val="left" w:pos="1260"/>
              </w:tabs>
              <w:spacing w:beforeLines="0" w:afterLines="0" w:line="360" w:lineRule="auto"/>
              <w:jc w:val="left"/>
              <w:rPr>
                <w:rFonts w:hint="eastAsia" w:ascii="宋体" w:hAnsi="宋体" w:eastAsia="宋体" w:cs="宋体"/>
                <w:color w:val="auto"/>
                <w:highlight w:val="none"/>
                <w:lang w:eastAsia="en-US"/>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2.1）</w:t>
            </w:r>
            <w:r>
              <w:rPr>
                <w:rFonts w:hint="eastAsia" w:ascii="宋体" w:hAnsi="宋体" w:eastAsia="宋体" w:cs="宋体"/>
                <w:b/>
                <w:bCs/>
                <w:color w:val="auto"/>
                <w:highlight w:val="none"/>
                <w:lang w:val="en-US" w:eastAsia="zh-CN"/>
              </w:rPr>
              <w:t>A1标段：</w:t>
            </w:r>
            <w:r>
              <w:rPr>
                <w:rFonts w:hint="eastAsia" w:ascii="宋体" w:hAnsi="宋体" w:eastAsia="宋体" w:cs="宋体"/>
                <w:color w:val="auto"/>
                <w:highlight w:val="none"/>
                <w:lang w:eastAsia="en-US"/>
              </w:rPr>
              <w:t>在所有已交工业绩中，具有1个二级及以上等级公路路基工程施工的项目经理业绩，加0.8分，最多加1.6分。</w:t>
            </w:r>
          </w:p>
          <w:p w14:paraId="7AC2AAAE">
            <w:pPr>
              <w:tabs>
                <w:tab w:val="left" w:pos="1260"/>
              </w:tabs>
              <w:spacing w:beforeLines="0" w:afterLines="0" w:line="360" w:lineRule="auto"/>
              <w:jc w:val="left"/>
              <w:rPr>
                <w:rFonts w:hint="eastAsia" w:ascii="宋体" w:hAnsi="宋体" w:eastAsia="宋体" w:cs="宋体"/>
                <w:color w:val="auto"/>
                <w:highlight w:val="none"/>
                <w:lang w:eastAsia="en-US"/>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2.2）</w:t>
            </w:r>
            <w:r>
              <w:rPr>
                <w:rFonts w:hint="eastAsia" w:ascii="宋体" w:hAnsi="宋体" w:eastAsia="宋体" w:cs="宋体"/>
                <w:b/>
                <w:bCs/>
                <w:color w:val="auto"/>
                <w:highlight w:val="none"/>
                <w:lang w:val="en-US" w:eastAsia="zh-CN"/>
              </w:rPr>
              <w:t>A2标段：</w:t>
            </w:r>
            <w:r>
              <w:rPr>
                <w:rFonts w:hint="eastAsia" w:ascii="宋体" w:hAnsi="宋体" w:eastAsia="宋体" w:cs="宋体"/>
                <w:color w:val="auto"/>
                <w:highlight w:val="none"/>
                <w:lang w:eastAsia="en-US"/>
              </w:rPr>
              <w:t>在所有已交工业绩中，具有1座特大桥梁工程施工的项目经理业绩，加</w:t>
            </w:r>
            <w:r>
              <w:rPr>
                <w:rFonts w:hint="eastAsia" w:ascii="宋体" w:hAnsi="宋体" w:cs="宋体"/>
                <w:color w:val="auto"/>
                <w:highlight w:val="none"/>
                <w:lang w:val="en-US" w:eastAsia="zh-CN"/>
              </w:rPr>
              <w:t>0.8</w:t>
            </w:r>
            <w:r>
              <w:rPr>
                <w:rFonts w:hint="eastAsia" w:ascii="宋体" w:hAnsi="宋体" w:eastAsia="宋体" w:cs="宋体"/>
                <w:color w:val="auto"/>
                <w:highlight w:val="none"/>
                <w:lang w:eastAsia="en-US"/>
              </w:rPr>
              <w:t>分，最多加1.6分。</w:t>
            </w:r>
          </w:p>
          <w:p w14:paraId="4F2D5A59">
            <w:pPr>
              <w:tabs>
                <w:tab w:val="left" w:pos="1260"/>
              </w:tabs>
              <w:spacing w:beforeLines="0" w:afterLines="0"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2.3）</w:t>
            </w:r>
            <w:r>
              <w:rPr>
                <w:rFonts w:hint="eastAsia" w:ascii="宋体" w:hAnsi="宋体" w:eastAsia="宋体" w:cs="宋体"/>
                <w:b/>
                <w:bCs/>
                <w:color w:val="auto"/>
                <w:highlight w:val="none"/>
                <w:lang w:val="en-US" w:eastAsia="zh-CN"/>
              </w:rPr>
              <w:t>A3标段：</w:t>
            </w:r>
            <w:r>
              <w:rPr>
                <w:rFonts w:hint="eastAsia" w:ascii="宋体" w:hAnsi="宋体" w:eastAsia="宋体" w:cs="宋体"/>
                <w:color w:val="auto"/>
                <w:highlight w:val="none"/>
                <w:lang w:eastAsia="en-US"/>
              </w:rPr>
              <w:t>在所有已交工业绩中，具有1个二级及以上等级公路工程施工（以标段计，至少包含路基工程</w:t>
            </w:r>
            <w:r>
              <w:rPr>
                <w:rFonts w:hint="eastAsia" w:ascii="宋体" w:hAnsi="宋体" w:eastAsia="宋体" w:cs="宋体"/>
                <w:color w:val="auto"/>
                <w:highlight w:val="none"/>
                <w:lang w:val="en-US" w:eastAsia="zh-CN"/>
              </w:rPr>
              <w:t>和</w:t>
            </w:r>
            <w:r>
              <w:rPr>
                <w:rFonts w:hint="eastAsia" w:ascii="宋体" w:hAnsi="宋体" w:eastAsia="宋体" w:cs="宋体"/>
                <w:color w:val="auto"/>
                <w:highlight w:val="none"/>
                <w:lang w:eastAsia="en-US"/>
              </w:rPr>
              <w:t>沥青混凝土路面工程）的项目经理业绩，加0.8分，最多加1.6分。</w:t>
            </w:r>
          </w:p>
        </w:tc>
      </w:tr>
      <w:tr w14:paraId="193B1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835" w:hRule="atLeast"/>
          <w:jc w:val="center"/>
        </w:trPr>
        <w:tc>
          <w:tcPr>
            <w:tcW w:w="1154" w:type="dxa"/>
            <w:vMerge w:val="continue"/>
            <w:tcBorders>
              <w:bottom w:val="single" w:color="000000" w:sz="4" w:space="0"/>
            </w:tcBorders>
            <w:vAlign w:val="center"/>
          </w:tcPr>
          <w:p w14:paraId="654BBEC0">
            <w:pPr>
              <w:pStyle w:val="16"/>
              <w:tabs>
                <w:tab w:val="left" w:pos="1260"/>
              </w:tabs>
              <w:spacing w:beforeLines="0" w:afterLines="0" w:line="360" w:lineRule="auto"/>
              <w:rPr>
                <w:rFonts w:hint="eastAsia" w:ascii="宋体" w:hAnsi="宋体" w:eastAsia="宋体" w:cs="宋体"/>
                <w:color w:val="auto"/>
                <w:sz w:val="21"/>
                <w:szCs w:val="21"/>
                <w:highlight w:val="none"/>
                <w:lang w:eastAsia="en-US"/>
              </w:rPr>
            </w:pPr>
          </w:p>
        </w:tc>
        <w:tc>
          <w:tcPr>
            <w:tcW w:w="1559" w:type="dxa"/>
            <w:gridSpan w:val="2"/>
            <w:vMerge w:val="continue"/>
            <w:tcBorders>
              <w:bottom w:val="single" w:color="000000" w:sz="4" w:space="0"/>
            </w:tcBorders>
            <w:vAlign w:val="center"/>
          </w:tcPr>
          <w:p w14:paraId="227CF04E">
            <w:pPr>
              <w:pStyle w:val="16"/>
              <w:tabs>
                <w:tab w:val="left" w:pos="1260"/>
              </w:tabs>
              <w:spacing w:beforeLines="0" w:afterLines="0" w:line="360" w:lineRule="auto"/>
              <w:rPr>
                <w:rFonts w:hint="eastAsia" w:ascii="宋体" w:hAnsi="宋体" w:eastAsia="宋体" w:cs="宋体"/>
                <w:color w:val="auto"/>
                <w:sz w:val="21"/>
                <w:szCs w:val="21"/>
                <w:highlight w:val="none"/>
                <w:lang w:eastAsia="en-US"/>
              </w:rPr>
            </w:pPr>
          </w:p>
        </w:tc>
        <w:tc>
          <w:tcPr>
            <w:tcW w:w="1134" w:type="dxa"/>
            <w:vMerge w:val="continue"/>
            <w:tcBorders>
              <w:bottom w:val="single" w:color="000000" w:sz="4" w:space="0"/>
            </w:tcBorders>
            <w:vAlign w:val="center"/>
          </w:tcPr>
          <w:p w14:paraId="1191CEF3">
            <w:pPr>
              <w:pStyle w:val="16"/>
              <w:tabs>
                <w:tab w:val="left" w:pos="674"/>
                <w:tab w:val="left" w:pos="1260"/>
              </w:tabs>
              <w:spacing w:beforeLines="0" w:afterLines="0" w:line="360" w:lineRule="auto"/>
              <w:rPr>
                <w:rFonts w:hint="eastAsia" w:ascii="宋体" w:hAnsi="宋体" w:eastAsia="宋体" w:cs="宋体"/>
                <w:color w:val="auto"/>
                <w:sz w:val="21"/>
                <w:szCs w:val="21"/>
                <w:highlight w:val="none"/>
                <w:lang w:eastAsia="en-US"/>
              </w:rPr>
            </w:pPr>
          </w:p>
        </w:tc>
        <w:tc>
          <w:tcPr>
            <w:tcW w:w="1134" w:type="dxa"/>
            <w:vAlign w:val="center"/>
          </w:tcPr>
          <w:p w14:paraId="74BC0B3F">
            <w:pPr>
              <w:widowControl/>
              <w:tabs>
                <w:tab w:val="left" w:pos="1260"/>
              </w:tabs>
              <w:spacing w:beforeLines="0" w:afterLines="0" w:line="360" w:lineRule="auto"/>
              <w:rPr>
                <w:rFonts w:hint="eastAsia" w:ascii="宋体" w:hAnsi="宋体" w:eastAsia="宋体" w:cs="宋体"/>
                <w:color w:val="auto"/>
                <w:kern w:val="0"/>
                <w:szCs w:val="21"/>
                <w:highlight w:val="none"/>
                <w:lang w:eastAsia="en-US"/>
              </w:rPr>
            </w:pPr>
            <w:r>
              <w:rPr>
                <w:rFonts w:hint="eastAsia" w:ascii="宋体" w:hAnsi="宋体" w:eastAsia="宋体" w:cs="宋体"/>
                <w:color w:val="auto"/>
                <w:kern w:val="0"/>
                <w:szCs w:val="21"/>
                <w:highlight w:val="none"/>
                <w:lang w:eastAsia="en-US"/>
              </w:rPr>
              <w:t>项目总工任职资格与业绩</w:t>
            </w:r>
          </w:p>
        </w:tc>
        <w:tc>
          <w:tcPr>
            <w:tcW w:w="856" w:type="dxa"/>
            <w:vAlign w:val="center"/>
          </w:tcPr>
          <w:p w14:paraId="59371A5F">
            <w:pPr>
              <w:tabs>
                <w:tab w:val="left" w:pos="1260"/>
              </w:tabs>
              <w:spacing w:beforeLines="0" w:afterLines="0" w:line="360" w:lineRule="auto"/>
              <w:rPr>
                <w:rFonts w:hint="eastAsia" w:ascii="宋体" w:hAnsi="宋体" w:eastAsia="宋体" w:cs="宋体"/>
                <w:color w:val="auto"/>
                <w:kern w:val="0"/>
                <w:szCs w:val="21"/>
                <w:highlight w:val="none"/>
                <w:lang w:eastAsia="en-US"/>
              </w:rPr>
            </w:pPr>
            <w:r>
              <w:rPr>
                <w:rFonts w:hint="eastAsia" w:ascii="宋体" w:hAnsi="宋体" w:eastAsia="宋体" w:cs="宋体"/>
                <w:color w:val="auto"/>
                <w:kern w:val="0"/>
                <w:szCs w:val="21"/>
                <w:highlight w:val="none"/>
                <w:lang w:eastAsia="en-US"/>
              </w:rPr>
              <w:t>4分</w:t>
            </w:r>
          </w:p>
        </w:tc>
        <w:tc>
          <w:tcPr>
            <w:tcW w:w="3939" w:type="dxa"/>
            <w:vAlign w:val="center"/>
          </w:tcPr>
          <w:p w14:paraId="487FDC93">
            <w:pPr>
              <w:shd w:val="clear"/>
              <w:tabs>
                <w:tab w:val="left" w:pos="1260"/>
              </w:tabs>
              <w:spacing w:beforeLines="0" w:afterLines="0" w:line="360" w:lineRule="auto"/>
              <w:jc w:val="left"/>
              <w:rPr>
                <w:rFonts w:hint="eastAsia" w:ascii="宋体" w:hAnsi="宋体" w:eastAsia="宋体" w:cs="宋体"/>
                <w:color w:val="auto"/>
                <w:highlight w:val="none"/>
                <w:lang w:eastAsia="en-US"/>
              </w:rPr>
            </w:pPr>
            <w:r>
              <w:rPr>
                <w:rFonts w:hint="eastAsia" w:ascii="宋体" w:hAnsi="宋体" w:eastAsia="宋体" w:cs="宋体"/>
                <w:color w:val="auto"/>
                <w:highlight w:val="none"/>
                <w:lang w:eastAsia="en-US"/>
              </w:rPr>
              <w:t>满足资格审查条件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en-US"/>
              </w:rPr>
              <w:t>项目总工最低要求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en-US"/>
              </w:rPr>
              <w:t>，得2.4分，加分条件如下：</w:t>
            </w:r>
          </w:p>
          <w:p w14:paraId="4010919F">
            <w:pPr>
              <w:tabs>
                <w:tab w:val="left" w:pos="1260"/>
              </w:tabs>
              <w:spacing w:beforeLines="0" w:afterLines="0" w:line="360" w:lineRule="auto"/>
              <w:jc w:val="left"/>
              <w:rPr>
                <w:rFonts w:hint="eastAsia" w:ascii="宋体" w:hAnsi="宋体" w:eastAsia="宋体" w:cs="宋体"/>
                <w:color w:val="auto"/>
                <w:highlight w:val="none"/>
                <w:lang w:eastAsia="en-US"/>
              </w:rPr>
            </w:pPr>
            <w:r>
              <w:rPr>
                <w:rFonts w:hint="eastAsia" w:ascii="宋体" w:hAnsi="宋体" w:eastAsia="宋体" w:cs="宋体"/>
                <w:b/>
                <w:bCs/>
                <w:color w:val="auto"/>
                <w:highlight w:val="none"/>
                <w:lang w:val="en-US" w:eastAsia="zh-CN"/>
              </w:rPr>
              <w:t>A1标段：</w:t>
            </w:r>
            <w:r>
              <w:rPr>
                <w:rFonts w:hint="eastAsia" w:ascii="宋体" w:hAnsi="宋体" w:eastAsia="宋体" w:cs="宋体"/>
                <w:color w:val="auto"/>
                <w:highlight w:val="none"/>
                <w:lang w:eastAsia="en-US"/>
              </w:rPr>
              <w:t>在所有已交工业绩中，具有1个二级及以上等级公路路基工程施工的项目总工或技术负责人业绩，加0.8分，最多加1.6分。</w:t>
            </w:r>
          </w:p>
          <w:p w14:paraId="000B5821">
            <w:pPr>
              <w:tabs>
                <w:tab w:val="left" w:pos="1260"/>
              </w:tabs>
              <w:spacing w:beforeLines="0" w:afterLines="0" w:line="360" w:lineRule="auto"/>
              <w:jc w:val="left"/>
              <w:rPr>
                <w:rFonts w:hint="eastAsia" w:ascii="宋体" w:hAnsi="宋体" w:eastAsia="宋体" w:cs="宋体"/>
                <w:color w:val="auto"/>
                <w:highlight w:val="none"/>
                <w:lang w:eastAsia="en-US"/>
              </w:rPr>
            </w:pPr>
            <w:r>
              <w:rPr>
                <w:rFonts w:hint="eastAsia" w:ascii="宋体" w:hAnsi="宋体" w:eastAsia="宋体" w:cs="宋体"/>
                <w:b/>
                <w:bCs/>
                <w:color w:val="auto"/>
                <w:highlight w:val="none"/>
                <w:lang w:val="en-US" w:eastAsia="zh-CN"/>
              </w:rPr>
              <w:t>A2标段：</w:t>
            </w:r>
            <w:r>
              <w:rPr>
                <w:rFonts w:hint="eastAsia" w:ascii="宋体" w:hAnsi="宋体" w:eastAsia="宋体" w:cs="宋体"/>
                <w:color w:val="auto"/>
                <w:highlight w:val="none"/>
                <w:lang w:eastAsia="en-US"/>
              </w:rPr>
              <w:t>在所有已交工业绩中，具有1座特大桥梁工程施工的项目总工或技术负责人业绩，加</w:t>
            </w:r>
            <w:r>
              <w:rPr>
                <w:rFonts w:hint="eastAsia" w:ascii="宋体" w:hAnsi="宋体" w:cs="宋体"/>
                <w:color w:val="auto"/>
                <w:highlight w:val="none"/>
                <w:lang w:val="en-US" w:eastAsia="zh-CN"/>
              </w:rPr>
              <w:t>0.8</w:t>
            </w:r>
            <w:r>
              <w:rPr>
                <w:rFonts w:hint="eastAsia" w:ascii="宋体" w:hAnsi="宋体" w:eastAsia="宋体" w:cs="宋体"/>
                <w:color w:val="auto"/>
                <w:highlight w:val="none"/>
                <w:lang w:eastAsia="en-US"/>
              </w:rPr>
              <w:t>分，最多加1.6分。</w:t>
            </w:r>
          </w:p>
          <w:p w14:paraId="0FA61758">
            <w:pPr>
              <w:shd w:val="clear"/>
              <w:tabs>
                <w:tab w:val="left" w:pos="1260"/>
              </w:tabs>
              <w:spacing w:beforeLines="0" w:afterLines="0" w:line="360" w:lineRule="auto"/>
              <w:jc w:val="left"/>
              <w:rPr>
                <w:rFonts w:hint="eastAsia" w:ascii="宋体" w:hAnsi="宋体" w:eastAsia="宋体" w:cs="宋体"/>
                <w:color w:val="auto"/>
                <w:highlight w:val="none"/>
                <w:lang w:val="en-US" w:eastAsia="en-US"/>
              </w:rPr>
            </w:pPr>
            <w:r>
              <w:rPr>
                <w:rFonts w:hint="eastAsia" w:ascii="宋体" w:hAnsi="宋体" w:eastAsia="宋体" w:cs="宋体"/>
                <w:b/>
                <w:bCs/>
                <w:color w:val="auto"/>
                <w:highlight w:val="none"/>
                <w:lang w:val="en-US" w:eastAsia="zh-CN"/>
              </w:rPr>
              <w:t>A3标段：</w:t>
            </w:r>
            <w:r>
              <w:rPr>
                <w:rFonts w:hint="eastAsia" w:ascii="宋体" w:hAnsi="宋体" w:eastAsia="宋体" w:cs="宋体"/>
                <w:color w:val="auto"/>
                <w:highlight w:val="none"/>
                <w:lang w:eastAsia="en-US"/>
              </w:rPr>
              <w:t>在所有已交工业绩中，具有1个二级及以上等级公路工程施工（以标段计，至少包含路基工程</w:t>
            </w:r>
            <w:r>
              <w:rPr>
                <w:rFonts w:hint="eastAsia" w:ascii="宋体" w:hAnsi="宋体" w:eastAsia="宋体" w:cs="宋体"/>
                <w:color w:val="auto"/>
                <w:highlight w:val="none"/>
                <w:lang w:val="en-US" w:eastAsia="zh-CN"/>
              </w:rPr>
              <w:t>和</w:t>
            </w:r>
            <w:r>
              <w:rPr>
                <w:rFonts w:hint="eastAsia" w:ascii="宋体" w:hAnsi="宋体" w:eastAsia="宋体" w:cs="宋体"/>
                <w:color w:val="auto"/>
                <w:highlight w:val="none"/>
                <w:lang w:eastAsia="en-US"/>
              </w:rPr>
              <w:t>沥青混凝土路面工程）的项目总工或技术负责人业绩，加0.8分，最多加1.6分。</w:t>
            </w:r>
          </w:p>
        </w:tc>
      </w:tr>
      <w:tr w14:paraId="743BA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655" w:hRule="atLeast"/>
          <w:jc w:val="center"/>
        </w:trPr>
        <w:tc>
          <w:tcPr>
            <w:tcW w:w="1154" w:type="dxa"/>
            <w:tcBorders>
              <w:top w:val="single" w:color="000000" w:sz="4" w:space="0"/>
            </w:tcBorders>
            <w:vAlign w:val="center"/>
          </w:tcPr>
          <w:p w14:paraId="687D9DC7">
            <w:pPr>
              <w:pStyle w:val="16"/>
              <w:tabs>
                <w:tab w:val="left" w:pos="1260"/>
              </w:tabs>
              <w:spacing w:beforeLines="0" w:afterLines="0" w:line="360" w:lineRule="auto"/>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2.2.4（3）</w:t>
            </w:r>
          </w:p>
        </w:tc>
        <w:tc>
          <w:tcPr>
            <w:tcW w:w="1559" w:type="dxa"/>
            <w:gridSpan w:val="2"/>
            <w:tcBorders>
              <w:top w:val="single" w:color="000000" w:sz="4" w:space="0"/>
            </w:tcBorders>
            <w:vAlign w:val="center"/>
          </w:tcPr>
          <w:p w14:paraId="6F5AB5CD">
            <w:pPr>
              <w:pStyle w:val="16"/>
              <w:tabs>
                <w:tab w:val="left" w:pos="1260"/>
              </w:tabs>
              <w:spacing w:beforeLines="0" w:afterLines="0" w:line="360" w:lineRule="auto"/>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评标价</w:t>
            </w:r>
          </w:p>
        </w:tc>
        <w:tc>
          <w:tcPr>
            <w:tcW w:w="1134" w:type="dxa"/>
            <w:tcBorders>
              <w:top w:val="single" w:color="000000" w:sz="4" w:space="0"/>
            </w:tcBorders>
            <w:vAlign w:val="center"/>
          </w:tcPr>
          <w:p w14:paraId="10DD64A5">
            <w:pPr>
              <w:pStyle w:val="16"/>
              <w:tabs>
                <w:tab w:val="left" w:pos="1260"/>
              </w:tabs>
              <w:spacing w:beforeLines="0" w:afterLines="0" w:line="360" w:lineRule="auto"/>
              <w:rPr>
                <w:rFonts w:hint="eastAsia" w:ascii="宋体" w:hAnsi="宋体" w:eastAsia="宋体" w:cs="宋体"/>
                <w:color w:val="auto"/>
                <w:sz w:val="21"/>
                <w:szCs w:val="21"/>
                <w:highlight w:val="none"/>
                <w:lang w:eastAsia="en-US"/>
              </w:rPr>
            </w:pPr>
            <w:r>
              <w:rPr>
                <w:rFonts w:hint="eastAsia" w:ascii="宋体" w:hAnsi="宋体" w:eastAsia="宋体" w:cs="宋体"/>
                <w:color w:val="auto"/>
                <w:spacing w:val="-3"/>
                <w:sz w:val="21"/>
                <w:szCs w:val="21"/>
                <w:highlight w:val="none"/>
                <w:lang w:eastAsia="en-US"/>
              </w:rPr>
              <w:t>70分</w:t>
            </w:r>
          </w:p>
        </w:tc>
        <w:tc>
          <w:tcPr>
            <w:tcW w:w="5929" w:type="dxa"/>
            <w:gridSpan w:val="3"/>
            <w:vAlign w:val="center"/>
          </w:tcPr>
          <w:p w14:paraId="5DAE1499">
            <w:pPr>
              <w:widowControl/>
              <w:tabs>
                <w:tab w:val="left" w:pos="1260"/>
              </w:tabs>
              <w:spacing w:beforeLines="0" w:afterLines="0" w:line="320" w:lineRule="exact"/>
              <w:jc w:val="left"/>
              <w:rPr>
                <w:rFonts w:hint="eastAsia" w:ascii="宋体" w:hAnsi="宋体" w:eastAsia="宋体" w:cs="宋体"/>
                <w:color w:val="auto"/>
                <w:szCs w:val="21"/>
                <w:highlight w:val="none"/>
                <w:lang w:eastAsia="en-US"/>
              </w:rPr>
            </w:pPr>
            <w:r>
              <w:rPr>
                <w:rFonts w:hint="eastAsia" w:ascii="宋体" w:hAnsi="宋体" w:eastAsia="宋体" w:cs="宋体"/>
                <w:color w:val="auto"/>
                <w:szCs w:val="21"/>
                <w:highlight w:val="none"/>
                <w:lang w:eastAsia="en-US"/>
              </w:rPr>
              <w:t>评标价得分计算公式示例：</w:t>
            </w:r>
          </w:p>
          <w:p w14:paraId="5B2E8250">
            <w:pPr>
              <w:widowControl/>
              <w:tabs>
                <w:tab w:val="left" w:pos="1260"/>
              </w:tabs>
              <w:spacing w:beforeLines="0" w:afterLines="0" w:line="320" w:lineRule="exact"/>
              <w:jc w:val="left"/>
              <w:rPr>
                <w:rFonts w:hint="eastAsia" w:ascii="宋体" w:hAnsi="宋体" w:eastAsia="宋体" w:cs="宋体"/>
                <w:color w:val="auto"/>
                <w:szCs w:val="21"/>
                <w:highlight w:val="none"/>
                <w:lang w:eastAsia="en-US"/>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eastAsia="en-US"/>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eastAsia="en-US"/>
              </w:rPr>
              <w:t>如果投标人的评标价＞评标基准价，则评标价得分=70-偏差率×100×E1；</w:t>
            </w:r>
          </w:p>
          <w:p w14:paraId="40006B28">
            <w:pPr>
              <w:widowControl/>
              <w:tabs>
                <w:tab w:val="left" w:pos="1260"/>
              </w:tabs>
              <w:spacing w:beforeLines="0" w:afterLines="0" w:line="320" w:lineRule="exact"/>
              <w:jc w:val="left"/>
              <w:rPr>
                <w:rFonts w:hint="eastAsia" w:ascii="宋体" w:hAnsi="宋体" w:eastAsia="宋体" w:cs="宋体"/>
                <w:color w:val="auto"/>
                <w:szCs w:val="21"/>
                <w:highlight w:val="none"/>
                <w:lang w:eastAsia="en-US"/>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eastAsia="en-US"/>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eastAsia="en-US"/>
              </w:rPr>
              <w:t>如果投标人的评标价≤评标基准价，则评标价得分=70+偏差率×100×E2；</w:t>
            </w:r>
          </w:p>
          <w:p w14:paraId="71436AEE">
            <w:pPr>
              <w:widowControl/>
              <w:tabs>
                <w:tab w:val="left" w:pos="1260"/>
              </w:tabs>
              <w:spacing w:beforeLines="0" w:afterLines="0" w:line="320" w:lineRule="exact"/>
              <w:jc w:val="left"/>
              <w:rPr>
                <w:rFonts w:hint="eastAsia" w:ascii="宋体" w:hAnsi="宋体" w:eastAsia="宋体" w:cs="宋体"/>
                <w:color w:val="auto"/>
                <w:szCs w:val="21"/>
                <w:highlight w:val="none"/>
                <w:lang w:eastAsia="en-US"/>
              </w:rPr>
            </w:pPr>
            <w:r>
              <w:rPr>
                <w:rFonts w:hint="eastAsia" w:ascii="宋体" w:hAnsi="宋体" w:eastAsia="宋体" w:cs="宋体"/>
                <w:color w:val="auto"/>
                <w:szCs w:val="21"/>
                <w:highlight w:val="none"/>
                <w:lang w:eastAsia="en-US"/>
              </w:rPr>
              <w:t>其中：E1是评标价每高于评标基准价一个百分点的扣分值，E1=1.0；E2是评标价每低于评标基准价一个百分点的扣分值，E2=0.5。</w:t>
            </w:r>
          </w:p>
          <w:p w14:paraId="55059A3E">
            <w:pPr>
              <w:widowControl/>
              <w:tabs>
                <w:tab w:val="left" w:pos="1260"/>
              </w:tabs>
              <w:spacing w:beforeLines="0" w:afterLines="0" w:line="320" w:lineRule="exact"/>
              <w:jc w:val="left"/>
              <w:rPr>
                <w:rFonts w:hint="eastAsia" w:ascii="宋体" w:hAnsi="宋体" w:eastAsia="宋体" w:cs="宋体"/>
                <w:color w:val="auto"/>
                <w:kern w:val="0"/>
                <w:szCs w:val="21"/>
                <w:highlight w:val="none"/>
                <w:lang w:eastAsia="en-US"/>
              </w:rPr>
            </w:pPr>
            <w:r>
              <w:rPr>
                <w:rFonts w:hint="eastAsia" w:ascii="宋体" w:hAnsi="宋体" w:eastAsia="宋体" w:cs="宋体"/>
                <w:color w:val="auto"/>
                <w:szCs w:val="21"/>
                <w:highlight w:val="none"/>
                <w:lang w:eastAsia="en-US"/>
              </w:rPr>
              <w:t>评标价得分保留小数点后两位，小数点后第三位“四舍五入”。</w:t>
            </w:r>
          </w:p>
        </w:tc>
      </w:tr>
      <w:tr w14:paraId="270CE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604" w:hRule="atLeast"/>
          <w:jc w:val="center"/>
        </w:trPr>
        <w:tc>
          <w:tcPr>
            <w:tcW w:w="1154" w:type="dxa"/>
            <w:vMerge w:val="restart"/>
            <w:vAlign w:val="center"/>
          </w:tcPr>
          <w:p w14:paraId="4C8E5B95">
            <w:pPr>
              <w:pStyle w:val="16"/>
              <w:tabs>
                <w:tab w:val="left" w:pos="1260"/>
              </w:tabs>
              <w:spacing w:beforeLines="0" w:afterLines="0" w:line="360" w:lineRule="auto"/>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2.2.4（4）</w:t>
            </w:r>
          </w:p>
        </w:tc>
        <w:tc>
          <w:tcPr>
            <w:tcW w:w="925" w:type="dxa"/>
            <w:vMerge w:val="restart"/>
            <w:tcBorders>
              <w:right w:val="single" w:color="auto" w:sz="4" w:space="0"/>
            </w:tcBorders>
            <w:vAlign w:val="center"/>
          </w:tcPr>
          <w:p w14:paraId="444ED1E7">
            <w:pPr>
              <w:pStyle w:val="16"/>
              <w:tabs>
                <w:tab w:val="left" w:pos="1260"/>
              </w:tabs>
              <w:spacing w:beforeLines="0" w:afterLines="0" w:line="360" w:lineRule="auto"/>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其他因素</w:t>
            </w:r>
          </w:p>
        </w:tc>
        <w:tc>
          <w:tcPr>
            <w:tcW w:w="634" w:type="dxa"/>
            <w:tcBorders>
              <w:left w:val="single" w:color="auto" w:sz="4" w:space="0"/>
            </w:tcBorders>
            <w:vAlign w:val="center"/>
          </w:tcPr>
          <w:p w14:paraId="1E5D77CC">
            <w:pPr>
              <w:pStyle w:val="16"/>
              <w:tabs>
                <w:tab w:val="left" w:pos="1260"/>
              </w:tabs>
              <w:spacing w:beforeLines="0" w:afterLines="0" w:line="360" w:lineRule="auto"/>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财务能力</w:t>
            </w:r>
          </w:p>
        </w:tc>
        <w:tc>
          <w:tcPr>
            <w:tcW w:w="1134" w:type="dxa"/>
            <w:vAlign w:val="center"/>
          </w:tcPr>
          <w:p w14:paraId="765FE8F2">
            <w:pPr>
              <w:tabs>
                <w:tab w:val="left" w:pos="1260"/>
              </w:tabs>
              <w:spacing w:beforeLines="0" w:afterLines="0" w:line="360" w:lineRule="auto"/>
              <w:jc w:val="center"/>
              <w:rPr>
                <w:rFonts w:hint="eastAsia" w:ascii="宋体" w:hAnsi="宋体" w:eastAsia="宋体" w:cs="宋体"/>
                <w:color w:val="auto"/>
                <w:kern w:val="0"/>
                <w:sz w:val="21"/>
                <w:szCs w:val="21"/>
                <w:highlight w:val="none"/>
                <w:lang w:val="en-US" w:eastAsia="zh-CN"/>
              </w:rPr>
            </w:pPr>
            <w:r>
              <w:rPr>
                <w:rFonts w:ascii="Times New Roman" w:hAnsi="Times New Roman" w:cs="Times New Roman" w:eastAsiaTheme="minorEastAsia"/>
                <w:color w:val="auto"/>
                <w:szCs w:val="21"/>
                <w:highlight w:val="none"/>
                <w:lang w:eastAsia="en-US"/>
              </w:rPr>
              <w:t>5分</w:t>
            </w:r>
          </w:p>
        </w:tc>
        <w:tc>
          <w:tcPr>
            <w:tcW w:w="5929" w:type="dxa"/>
            <w:gridSpan w:val="3"/>
            <w:vAlign w:val="center"/>
          </w:tcPr>
          <w:p w14:paraId="636161A7">
            <w:pPr>
              <w:widowControl/>
              <w:tabs>
                <w:tab w:val="left" w:pos="1260"/>
              </w:tabs>
              <w:spacing w:beforeLines="0" w:afterLines="0" w:line="36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满足资格审查条件(财务最低要求)，得3分；</w:t>
            </w:r>
          </w:p>
          <w:p w14:paraId="2EA190F5">
            <w:pPr>
              <w:widowControl/>
              <w:tabs>
                <w:tab w:val="left" w:pos="1260"/>
              </w:tabs>
              <w:spacing w:beforeLines="0" w:afterLines="0" w:line="36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加分条件如下：</w:t>
            </w:r>
          </w:p>
          <w:p w14:paraId="0FD3ABB4">
            <w:pPr>
              <w:widowControl/>
              <w:tabs>
                <w:tab w:val="left" w:pos="1260"/>
              </w:tabs>
              <w:spacing w:beforeLines="0" w:afterLines="0" w:line="36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营运资金</w:t>
            </w:r>
            <w:r>
              <w:rPr>
                <w:rFonts w:hint="eastAsia" w:ascii="宋体" w:hAnsi="宋体" w:cs="宋体"/>
                <w:b w:val="0"/>
                <w:bCs w:val="0"/>
                <w:color w:val="auto"/>
                <w:sz w:val="21"/>
                <w:szCs w:val="21"/>
                <w:highlight w:val="none"/>
                <w:lang w:val="en-US" w:eastAsia="zh-CN"/>
              </w:rPr>
              <w:t>（2024年度</w:t>
            </w:r>
            <w:r>
              <w:rPr>
                <w:rFonts w:hint="eastAsia" w:ascii="宋体" w:hAnsi="宋体" w:eastAsia="宋体" w:cs="宋体"/>
                <w:b w:val="0"/>
                <w:bCs w:val="0"/>
                <w:color w:val="auto"/>
                <w:sz w:val="21"/>
                <w:szCs w:val="21"/>
                <w:highlight w:val="none"/>
                <w:lang w:val="en-US" w:eastAsia="zh-CN"/>
              </w:rPr>
              <w:t>流动资产-</w:t>
            </w:r>
            <w:r>
              <w:rPr>
                <w:rFonts w:hint="eastAsia" w:ascii="宋体" w:hAnsi="宋体" w:cs="宋体"/>
                <w:b w:val="0"/>
                <w:bCs w:val="0"/>
                <w:color w:val="auto"/>
                <w:sz w:val="21"/>
                <w:szCs w:val="21"/>
                <w:highlight w:val="none"/>
                <w:lang w:val="en-US" w:eastAsia="zh-CN"/>
              </w:rPr>
              <w:t>2024年度</w:t>
            </w:r>
            <w:r>
              <w:rPr>
                <w:rFonts w:hint="eastAsia" w:ascii="宋体" w:hAnsi="宋体" w:eastAsia="宋体" w:cs="宋体"/>
                <w:b w:val="0"/>
                <w:bCs w:val="0"/>
                <w:color w:val="auto"/>
                <w:sz w:val="21"/>
                <w:szCs w:val="21"/>
                <w:highlight w:val="none"/>
                <w:lang w:val="en-US" w:eastAsia="zh-CN"/>
              </w:rPr>
              <w:t>流动负债+银行专为本工程出具的银行信贷</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每增加所投标段最高投标限价的5%加1分；最多加2分。不足5%整数倍部分，不计算加分。</w:t>
            </w:r>
          </w:p>
          <w:p w14:paraId="76F86F09">
            <w:pPr>
              <w:widowControl/>
              <w:tabs>
                <w:tab w:val="left" w:pos="1260"/>
              </w:tabs>
              <w:spacing w:beforeLines="0" w:afterLines="0" w:line="360" w:lineRule="exact"/>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eastAsia="zh-CN"/>
              </w:rPr>
              <w:t>注：如2024年度财务审计报告为未出具，可提供2023年度财务审计报告，营运资金以2023年度财务审计报告数据为准</w:t>
            </w:r>
            <w:r>
              <w:rPr>
                <w:rFonts w:hint="eastAsia" w:ascii="宋体" w:hAnsi="宋体" w:cs="宋体"/>
                <w:color w:val="auto"/>
                <w:sz w:val="21"/>
                <w:szCs w:val="21"/>
                <w:highlight w:val="none"/>
                <w:lang w:eastAsia="zh-CN"/>
              </w:rPr>
              <w:t>。</w:t>
            </w:r>
          </w:p>
        </w:tc>
      </w:tr>
      <w:tr w14:paraId="0631C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890" w:hRule="atLeast"/>
          <w:jc w:val="center"/>
        </w:trPr>
        <w:tc>
          <w:tcPr>
            <w:tcW w:w="1154" w:type="dxa"/>
            <w:vMerge w:val="continue"/>
            <w:vAlign w:val="center"/>
          </w:tcPr>
          <w:p w14:paraId="26C150AA">
            <w:pPr>
              <w:pStyle w:val="16"/>
              <w:tabs>
                <w:tab w:val="left" w:pos="1260"/>
              </w:tabs>
              <w:spacing w:beforeLines="0" w:afterLines="0" w:line="360" w:lineRule="auto"/>
              <w:rPr>
                <w:rFonts w:hint="eastAsia" w:ascii="宋体" w:hAnsi="宋体" w:eastAsia="宋体" w:cs="宋体"/>
                <w:color w:val="auto"/>
                <w:sz w:val="21"/>
                <w:szCs w:val="21"/>
                <w:highlight w:val="none"/>
                <w:lang w:eastAsia="en-US"/>
              </w:rPr>
            </w:pPr>
          </w:p>
        </w:tc>
        <w:tc>
          <w:tcPr>
            <w:tcW w:w="925" w:type="dxa"/>
            <w:vMerge w:val="continue"/>
            <w:tcBorders>
              <w:right w:val="single" w:color="auto" w:sz="4" w:space="0"/>
            </w:tcBorders>
            <w:vAlign w:val="center"/>
          </w:tcPr>
          <w:p w14:paraId="7DB704C7">
            <w:pPr>
              <w:pStyle w:val="16"/>
              <w:tabs>
                <w:tab w:val="left" w:pos="1260"/>
              </w:tabs>
              <w:spacing w:beforeLines="0" w:afterLines="0" w:line="360" w:lineRule="auto"/>
              <w:rPr>
                <w:rFonts w:hint="eastAsia" w:ascii="宋体" w:hAnsi="宋体" w:eastAsia="宋体" w:cs="宋体"/>
                <w:color w:val="auto"/>
                <w:sz w:val="21"/>
                <w:szCs w:val="21"/>
                <w:highlight w:val="none"/>
                <w:lang w:eastAsia="en-US"/>
              </w:rPr>
            </w:pPr>
          </w:p>
        </w:tc>
        <w:tc>
          <w:tcPr>
            <w:tcW w:w="634" w:type="dxa"/>
            <w:tcBorders>
              <w:left w:val="single" w:color="auto" w:sz="4" w:space="0"/>
            </w:tcBorders>
            <w:vAlign w:val="center"/>
          </w:tcPr>
          <w:p w14:paraId="6F00A464">
            <w:pPr>
              <w:pStyle w:val="16"/>
              <w:tabs>
                <w:tab w:val="left" w:pos="1260"/>
              </w:tabs>
              <w:spacing w:beforeLines="0" w:afterLines="0" w:line="360" w:lineRule="auto"/>
              <w:rPr>
                <w:rFonts w:hint="eastAsia" w:ascii="宋体" w:hAnsi="宋体" w:eastAsia="宋体" w:cs="宋体"/>
                <w:color w:val="auto"/>
                <w:szCs w:val="21"/>
                <w:highlight w:val="none"/>
                <w:lang w:val="en-US" w:eastAsia="en-US"/>
              </w:rPr>
            </w:pPr>
            <w:r>
              <w:rPr>
                <w:rFonts w:hint="eastAsia" w:ascii="宋体" w:hAnsi="宋体" w:eastAsia="宋体" w:cs="宋体"/>
                <w:color w:val="auto"/>
                <w:sz w:val="21"/>
                <w:szCs w:val="21"/>
                <w:highlight w:val="none"/>
                <w:lang w:eastAsia="en-US"/>
              </w:rPr>
              <w:t>企业业绩</w:t>
            </w:r>
          </w:p>
        </w:tc>
        <w:tc>
          <w:tcPr>
            <w:tcW w:w="1134" w:type="dxa"/>
            <w:vAlign w:val="center"/>
          </w:tcPr>
          <w:p w14:paraId="564130B7">
            <w:pPr>
              <w:tabs>
                <w:tab w:val="left" w:pos="1260"/>
              </w:tabs>
              <w:spacing w:beforeLines="0" w:afterLines="0" w:line="360" w:lineRule="auto"/>
              <w:jc w:val="center"/>
              <w:rPr>
                <w:rFonts w:hint="eastAsia" w:ascii="宋体" w:hAnsi="宋体" w:eastAsia="宋体" w:cs="宋体"/>
                <w:color w:val="auto"/>
                <w:spacing w:val="-3"/>
                <w:szCs w:val="21"/>
                <w:highlight w:val="none"/>
                <w:lang w:eastAsia="en-US"/>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en-US"/>
              </w:rPr>
              <w:t>分</w:t>
            </w:r>
          </w:p>
        </w:tc>
        <w:tc>
          <w:tcPr>
            <w:tcW w:w="5929" w:type="dxa"/>
            <w:gridSpan w:val="3"/>
            <w:vAlign w:val="center"/>
          </w:tcPr>
          <w:p w14:paraId="59AADE35">
            <w:pPr>
              <w:widowControl/>
              <w:tabs>
                <w:tab w:val="left" w:pos="1260"/>
              </w:tabs>
              <w:spacing w:beforeLines="0" w:afterLines="0" w:line="360" w:lineRule="exact"/>
              <w:jc w:val="left"/>
              <w:rPr>
                <w:rFonts w:hint="eastAsia" w:ascii="宋体" w:hAnsi="宋体" w:eastAsia="宋体" w:cs="宋体"/>
                <w:color w:val="auto"/>
                <w:highlight w:val="none"/>
                <w:lang w:eastAsia="en-US"/>
              </w:rPr>
            </w:pPr>
            <w:r>
              <w:rPr>
                <w:rFonts w:hint="eastAsia" w:ascii="宋体" w:hAnsi="宋体" w:eastAsia="宋体" w:cs="宋体"/>
                <w:color w:val="auto"/>
                <w:highlight w:val="none"/>
                <w:lang w:eastAsia="en-US"/>
              </w:rPr>
              <w:t>满足资格审查条件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en-US"/>
              </w:rPr>
              <w:t>业绩最低要求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en-US"/>
              </w:rPr>
              <w:t>，得</w:t>
            </w: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en-US"/>
              </w:rPr>
              <w:t>分，加分条件如下：近五年（20</w:t>
            </w: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lang w:eastAsia="en-US"/>
              </w:rPr>
              <w:t>年</w:t>
            </w:r>
            <w:r>
              <w:rPr>
                <w:rFonts w:hint="eastAsia" w:ascii="宋体" w:hAnsi="宋体" w:eastAsia="宋体" w:cs="宋体"/>
                <w:color w:val="auto"/>
                <w:highlight w:val="none"/>
                <w:lang w:val="en-US" w:eastAsia="zh-CN"/>
              </w:rPr>
              <w:t>5月</w:t>
            </w:r>
            <w:r>
              <w:rPr>
                <w:rFonts w:hint="eastAsia" w:ascii="宋体" w:hAnsi="宋体" w:eastAsia="宋体" w:cs="宋体"/>
                <w:color w:val="auto"/>
                <w:highlight w:val="none"/>
                <w:lang w:eastAsia="en-US"/>
              </w:rPr>
              <w:t>1日至投标文件递交截止时间</w:t>
            </w:r>
            <w:r>
              <w:rPr>
                <w:rFonts w:hint="eastAsia" w:ascii="宋体" w:hAnsi="宋体" w:eastAsia="宋体" w:cs="宋体"/>
                <w:color w:val="auto"/>
                <w:sz w:val="21"/>
                <w:szCs w:val="21"/>
                <w:highlight w:val="none"/>
                <w:lang w:val="en-US" w:eastAsia="zh-CN"/>
              </w:rPr>
              <w:t>，以实际交工日期为准</w:t>
            </w:r>
            <w:r>
              <w:rPr>
                <w:rFonts w:hint="eastAsia" w:ascii="宋体" w:hAnsi="宋体" w:eastAsia="宋体" w:cs="宋体"/>
                <w:color w:val="auto"/>
                <w:highlight w:val="none"/>
                <w:lang w:eastAsia="en-US"/>
              </w:rPr>
              <w:t>）</w:t>
            </w:r>
          </w:p>
          <w:p w14:paraId="36FDE72A">
            <w:pPr>
              <w:widowControl/>
              <w:tabs>
                <w:tab w:val="left" w:pos="1260"/>
              </w:tabs>
              <w:spacing w:beforeLines="0" w:afterLines="0" w:line="360" w:lineRule="exact"/>
              <w:jc w:val="left"/>
              <w:rPr>
                <w:rFonts w:hint="eastAsia" w:ascii="宋体" w:hAnsi="宋体" w:eastAsia="宋体" w:cs="宋体"/>
                <w:highlight w:val="none"/>
              </w:rPr>
            </w:pPr>
            <w:r>
              <w:rPr>
                <w:rFonts w:hint="eastAsia" w:ascii="宋体" w:hAnsi="宋体" w:eastAsia="宋体" w:cs="宋体"/>
                <w:b/>
                <w:bCs/>
                <w:color w:val="auto"/>
                <w:sz w:val="21"/>
                <w:szCs w:val="21"/>
                <w:highlight w:val="none"/>
                <w:lang w:val="en-US" w:eastAsia="zh-CN"/>
              </w:rPr>
              <w:t>A1标段：</w:t>
            </w:r>
            <w:r>
              <w:rPr>
                <w:rFonts w:hint="eastAsia" w:ascii="宋体" w:hAnsi="宋体" w:cs="宋体"/>
                <w:color w:val="auto"/>
                <w:sz w:val="21"/>
                <w:szCs w:val="21"/>
                <w:highlight w:val="none"/>
                <w:lang w:val="en-US" w:eastAsia="zh-CN"/>
              </w:rPr>
              <w:t>独立完成的二级及以上等级公路路基工程施工</w:t>
            </w:r>
            <w:r>
              <w:rPr>
                <w:rFonts w:hint="eastAsia" w:ascii="宋体" w:hAnsi="宋体" w:eastAsia="宋体" w:cs="宋体"/>
                <w:color w:val="auto"/>
                <w:sz w:val="21"/>
                <w:szCs w:val="21"/>
                <w:highlight w:val="none"/>
                <w:lang w:val="en-US" w:eastAsia="zh-CN"/>
              </w:rPr>
              <w:t>项目</w:t>
            </w:r>
            <w:r>
              <w:rPr>
                <w:rFonts w:hint="eastAsia" w:ascii="宋体" w:hAnsi="宋体" w:eastAsia="宋体" w:cs="宋体"/>
                <w:b w:val="0"/>
                <w:bCs w:val="0"/>
                <w:color w:val="auto"/>
                <w:szCs w:val="21"/>
                <w:highlight w:val="none"/>
                <w:lang w:val="en-US" w:eastAsia="zh-CN"/>
              </w:rPr>
              <w:t>，</w:t>
            </w:r>
            <w:r>
              <w:rPr>
                <w:rFonts w:hint="eastAsia" w:ascii="宋体" w:hAnsi="宋体" w:cs="宋体"/>
                <w:highlight w:val="none"/>
              </w:rPr>
              <w:t>在满足资格审查条件的基础上，每增加</w:t>
            </w:r>
            <w:r>
              <w:rPr>
                <w:rFonts w:hint="eastAsia" w:ascii="宋体" w:hAnsi="宋体" w:eastAsia="宋体" w:cs="宋体"/>
                <w:highlight w:val="none"/>
                <w:lang w:val="en-US" w:eastAsia="zh-CN"/>
              </w:rPr>
              <w:t>1个</w:t>
            </w:r>
            <w:r>
              <w:rPr>
                <w:rFonts w:hint="eastAsia" w:ascii="宋体" w:hAnsi="宋体" w:cs="宋体"/>
                <w:highlight w:val="none"/>
              </w:rPr>
              <w:t>，加</w:t>
            </w:r>
            <w:r>
              <w:rPr>
                <w:rFonts w:hint="eastAsia" w:ascii="宋体" w:hAnsi="宋体" w:cs="宋体"/>
                <w:highlight w:val="none"/>
                <w:lang w:val="en-US" w:eastAsia="zh-CN"/>
              </w:rPr>
              <w:t>1</w:t>
            </w:r>
            <w:r>
              <w:rPr>
                <w:rFonts w:hint="eastAsia" w:ascii="宋体" w:hAnsi="宋体" w:cs="宋体"/>
                <w:highlight w:val="none"/>
              </w:rPr>
              <w:t>分，最多加</w:t>
            </w:r>
            <w:r>
              <w:rPr>
                <w:rFonts w:hint="eastAsia" w:ascii="宋体" w:hAnsi="宋体" w:cs="宋体"/>
                <w:highlight w:val="none"/>
                <w:lang w:val="en-US" w:eastAsia="zh-CN"/>
              </w:rPr>
              <w:t>2</w:t>
            </w:r>
            <w:r>
              <w:rPr>
                <w:rFonts w:hint="eastAsia" w:ascii="宋体" w:hAnsi="宋体" w:cs="宋体"/>
                <w:highlight w:val="none"/>
              </w:rPr>
              <w:t>分。</w:t>
            </w:r>
          </w:p>
          <w:p w14:paraId="4711B3E7">
            <w:pPr>
              <w:widowControl/>
              <w:tabs>
                <w:tab w:val="left" w:pos="1260"/>
              </w:tabs>
              <w:spacing w:beforeLines="0" w:afterLines="0" w:line="360" w:lineRule="exact"/>
              <w:jc w:val="left"/>
              <w:rPr>
                <w:rFonts w:hint="eastAsia" w:ascii="宋体" w:hAnsi="宋体" w:eastAsia="宋体" w:cs="宋体"/>
                <w:highlight w:val="none"/>
              </w:rPr>
            </w:pPr>
            <w:r>
              <w:rPr>
                <w:rFonts w:hint="eastAsia" w:ascii="宋体" w:hAnsi="宋体" w:eastAsia="宋体" w:cs="宋体"/>
                <w:b/>
                <w:bCs/>
                <w:color w:val="auto"/>
                <w:sz w:val="21"/>
                <w:szCs w:val="21"/>
                <w:highlight w:val="none"/>
                <w:lang w:val="en-US" w:eastAsia="zh-CN"/>
              </w:rPr>
              <w:t>A2标段：</w:t>
            </w:r>
            <w:r>
              <w:rPr>
                <w:rFonts w:hint="eastAsia" w:ascii="宋体" w:hAnsi="宋体" w:eastAsia="宋体" w:cs="宋体"/>
                <w:color w:val="auto"/>
                <w:sz w:val="21"/>
                <w:szCs w:val="21"/>
                <w:highlight w:val="none"/>
                <w:lang w:val="en-US" w:eastAsia="zh-CN"/>
              </w:rPr>
              <w:t>独立完成的特大桥梁工程施工项目</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highlight w:val="none"/>
              </w:rPr>
              <w:t>在满足资格审查条件的基础上，</w:t>
            </w:r>
            <w:r>
              <w:rPr>
                <w:rFonts w:hint="eastAsia" w:ascii="宋体" w:hAnsi="宋体" w:cs="宋体"/>
                <w:highlight w:val="none"/>
              </w:rPr>
              <w:t>每增加</w:t>
            </w:r>
            <w:r>
              <w:rPr>
                <w:rFonts w:hint="eastAsia" w:ascii="宋体" w:hAnsi="宋体" w:eastAsia="宋体" w:cs="宋体"/>
                <w:highlight w:val="none"/>
                <w:lang w:val="en-US" w:eastAsia="zh-CN"/>
              </w:rPr>
              <w:t>1个</w:t>
            </w:r>
            <w:r>
              <w:rPr>
                <w:rFonts w:hint="eastAsia" w:ascii="宋体" w:hAnsi="宋体" w:cs="宋体"/>
                <w:highlight w:val="none"/>
              </w:rPr>
              <w:t>，加</w:t>
            </w:r>
            <w:r>
              <w:rPr>
                <w:rFonts w:hint="eastAsia" w:ascii="宋体" w:hAnsi="宋体" w:cs="宋体"/>
                <w:highlight w:val="none"/>
                <w:lang w:val="en-US" w:eastAsia="zh-CN"/>
              </w:rPr>
              <w:t>1</w:t>
            </w:r>
            <w:r>
              <w:rPr>
                <w:rFonts w:hint="eastAsia" w:ascii="宋体" w:hAnsi="宋体" w:cs="宋体"/>
                <w:highlight w:val="none"/>
              </w:rPr>
              <w:t>分，最多加</w:t>
            </w:r>
            <w:r>
              <w:rPr>
                <w:rFonts w:hint="eastAsia" w:ascii="宋体" w:hAnsi="宋体" w:cs="宋体"/>
                <w:highlight w:val="none"/>
                <w:lang w:val="en-US" w:eastAsia="zh-CN"/>
              </w:rPr>
              <w:t>2</w:t>
            </w:r>
            <w:r>
              <w:rPr>
                <w:rFonts w:hint="eastAsia" w:ascii="宋体" w:hAnsi="宋体" w:cs="宋体"/>
                <w:highlight w:val="none"/>
              </w:rPr>
              <w:t>分。</w:t>
            </w:r>
          </w:p>
          <w:p w14:paraId="78A4E65C">
            <w:pPr>
              <w:widowControl/>
              <w:tabs>
                <w:tab w:val="left" w:pos="1260"/>
              </w:tabs>
              <w:spacing w:beforeLines="0" w:afterLines="0" w:line="360" w:lineRule="exact"/>
              <w:jc w:val="left"/>
              <w:rPr>
                <w:rFonts w:hint="eastAsia" w:ascii="宋体" w:hAnsi="宋体" w:eastAsia="宋体" w:cs="宋体"/>
                <w:highlight w:val="none"/>
                <w:lang w:val="en-US" w:eastAsia="zh-CN"/>
              </w:rPr>
            </w:pPr>
            <w:r>
              <w:rPr>
                <w:rFonts w:hint="eastAsia" w:ascii="宋体" w:hAnsi="宋体" w:eastAsia="宋体" w:cs="宋体"/>
                <w:b/>
                <w:bCs/>
                <w:color w:val="auto"/>
                <w:sz w:val="21"/>
                <w:szCs w:val="21"/>
                <w:highlight w:val="none"/>
                <w:lang w:val="en-US" w:eastAsia="zh-CN"/>
              </w:rPr>
              <w:t>A3标段：</w:t>
            </w:r>
            <w:r>
              <w:rPr>
                <w:rFonts w:hint="eastAsia" w:ascii="宋体" w:hAnsi="宋体" w:eastAsia="宋体" w:cs="宋体"/>
                <w:color w:val="auto"/>
                <w:sz w:val="21"/>
                <w:szCs w:val="21"/>
                <w:highlight w:val="none"/>
                <w:lang w:val="en-US" w:eastAsia="zh-CN"/>
              </w:rPr>
              <w:t>独立完成的二级及以上等级公路工程施工</w:t>
            </w:r>
            <w:r>
              <w:rPr>
                <w:rFonts w:hint="eastAsia" w:ascii="宋体" w:hAnsi="宋体" w:eastAsia="宋体" w:cs="宋体"/>
                <w:color w:val="auto"/>
                <w:highlight w:val="none"/>
                <w:lang w:eastAsia="en-US"/>
              </w:rPr>
              <w:t>（以标段计，至少包含路基工程</w:t>
            </w:r>
            <w:r>
              <w:rPr>
                <w:rFonts w:hint="eastAsia" w:ascii="宋体" w:hAnsi="宋体" w:eastAsia="宋体" w:cs="宋体"/>
                <w:color w:val="auto"/>
                <w:highlight w:val="none"/>
                <w:lang w:val="en-US" w:eastAsia="zh-CN"/>
              </w:rPr>
              <w:t>和</w:t>
            </w:r>
            <w:r>
              <w:rPr>
                <w:rFonts w:hint="eastAsia" w:ascii="宋体" w:hAnsi="宋体" w:eastAsia="宋体" w:cs="宋体"/>
                <w:color w:val="auto"/>
                <w:highlight w:val="none"/>
                <w:lang w:eastAsia="en-US"/>
              </w:rPr>
              <w:t>沥青混凝土路面工程）</w:t>
            </w:r>
            <w:r>
              <w:rPr>
                <w:rFonts w:hint="eastAsia" w:ascii="宋体" w:hAnsi="宋体" w:eastAsia="宋体" w:cs="宋体"/>
                <w:color w:val="auto"/>
                <w:sz w:val="21"/>
                <w:szCs w:val="21"/>
                <w:highlight w:val="none"/>
                <w:lang w:val="en-US" w:eastAsia="zh-CN"/>
              </w:rPr>
              <w:t>项目</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highlight w:val="none"/>
              </w:rPr>
              <w:t>在满足资格审查条件的基础上，</w:t>
            </w:r>
            <w:r>
              <w:rPr>
                <w:rFonts w:hint="eastAsia" w:ascii="宋体" w:hAnsi="宋体" w:cs="宋体"/>
                <w:highlight w:val="none"/>
              </w:rPr>
              <w:t>每增加</w:t>
            </w:r>
            <w:r>
              <w:rPr>
                <w:rFonts w:hint="eastAsia" w:ascii="宋体" w:hAnsi="宋体" w:eastAsia="宋体" w:cs="宋体"/>
                <w:highlight w:val="none"/>
                <w:lang w:val="en-US" w:eastAsia="zh-CN"/>
              </w:rPr>
              <w:t>1个</w:t>
            </w:r>
            <w:r>
              <w:rPr>
                <w:rFonts w:hint="eastAsia" w:ascii="宋体" w:hAnsi="宋体" w:cs="宋体"/>
                <w:highlight w:val="none"/>
              </w:rPr>
              <w:t>，加</w:t>
            </w:r>
            <w:r>
              <w:rPr>
                <w:rFonts w:hint="eastAsia" w:ascii="宋体" w:hAnsi="宋体" w:cs="宋体"/>
                <w:highlight w:val="none"/>
                <w:lang w:val="en-US" w:eastAsia="zh-CN"/>
              </w:rPr>
              <w:t>1</w:t>
            </w:r>
            <w:r>
              <w:rPr>
                <w:rFonts w:hint="eastAsia" w:ascii="宋体" w:hAnsi="宋体" w:cs="宋体"/>
                <w:highlight w:val="none"/>
              </w:rPr>
              <w:t>分，最多加</w:t>
            </w:r>
            <w:r>
              <w:rPr>
                <w:rFonts w:hint="eastAsia" w:ascii="宋体" w:hAnsi="宋体" w:cs="宋体"/>
                <w:highlight w:val="none"/>
                <w:lang w:val="en-US" w:eastAsia="zh-CN"/>
              </w:rPr>
              <w:t>2</w:t>
            </w:r>
            <w:r>
              <w:rPr>
                <w:rFonts w:hint="eastAsia" w:ascii="宋体" w:hAnsi="宋体" w:cs="宋体"/>
                <w:highlight w:val="none"/>
              </w:rPr>
              <w:t>分。</w:t>
            </w:r>
          </w:p>
        </w:tc>
      </w:tr>
      <w:tr w14:paraId="0BF04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1102" w:hRule="atLeast"/>
          <w:jc w:val="center"/>
        </w:trPr>
        <w:tc>
          <w:tcPr>
            <w:tcW w:w="1154" w:type="dxa"/>
            <w:vMerge w:val="continue"/>
            <w:vAlign w:val="center"/>
          </w:tcPr>
          <w:p w14:paraId="41968EA4">
            <w:pPr>
              <w:pStyle w:val="16"/>
              <w:tabs>
                <w:tab w:val="left" w:pos="1260"/>
              </w:tabs>
              <w:spacing w:beforeLines="0" w:afterLines="0" w:line="360" w:lineRule="auto"/>
              <w:rPr>
                <w:rFonts w:hint="eastAsia" w:ascii="宋体" w:hAnsi="宋体" w:eastAsia="宋体" w:cs="宋体"/>
                <w:color w:val="auto"/>
                <w:sz w:val="21"/>
                <w:szCs w:val="21"/>
                <w:highlight w:val="none"/>
                <w:lang w:eastAsia="en-US"/>
              </w:rPr>
            </w:pPr>
          </w:p>
        </w:tc>
        <w:tc>
          <w:tcPr>
            <w:tcW w:w="925" w:type="dxa"/>
            <w:vMerge w:val="continue"/>
            <w:tcBorders>
              <w:right w:val="single" w:color="auto" w:sz="4" w:space="0"/>
            </w:tcBorders>
            <w:vAlign w:val="center"/>
          </w:tcPr>
          <w:p w14:paraId="144F88A1">
            <w:pPr>
              <w:pStyle w:val="16"/>
              <w:tabs>
                <w:tab w:val="left" w:pos="1260"/>
              </w:tabs>
              <w:spacing w:beforeLines="0" w:afterLines="0" w:line="360" w:lineRule="auto"/>
              <w:rPr>
                <w:rFonts w:hint="eastAsia" w:ascii="宋体" w:hAnsi="宋体" w:eastAsia="宋体" w:cs="宋体"/>
                <w:color w:val="auto"/>
                <w:sz w:val="21"/>
                <w:szCs w:val="21"/>
                <w:highlight w:val="none"/>
                <w:lang w:eastAsia="en-US"/>
              </w:rPr>
            </w:pPr>
          </w:p>
        </w:tc>
        <w:tc>
          <w:tcPr>
            <w:tcW w:w="634" w:type="dxa"/>
            <w:tcBorders>
              <w:left w:val="single" w:color="auto" w:sz="4" w:space="0"/>
            </w:tcBorders>
            <w:vAlign w:val="center"/>
          </w:tcPr>
          <w:p w14:paraId="0E89692D">
            <w:pPr>
              <w:widowControl/>
              <w:tabs>
                <w:tab w:val="left" w:pos="1260"/>
              </w:tabs>
              <w:spacing w:beforeLines="0" w:afterLines="0" w:line="360" w:lineRule="auto"/>
              <w:jc w:val="center"/>
              <w:rPr>
                <w:rFonts w:hint="eastAsia" w:ascii="宋体" w:hAnsi="宋体" w:eastAsia="宋体" w:cs="宋体"/>
                <w:color w:val="auto"/>
                <w:szCs w:val="21"/>
                <w:highlight w:val="none"/>
                <w:lang w:eastAsia="en-US"/>
              </w:rPr>
            </w:pPr>
            <w:r>
              <w:rPr>
                <w:rFonts w:hint="eastAsia" w:ascii="宋体" w:hAnsi="宋体" w:eastAsia="宋体" w:cs="宋体"/>
                <w:color w:val="auto"/>
                <w:szCs w:val="21"/>
                <w:highlight w:val="none"/>
                <w:lang w:eastAsia="en-US"/>
              </w:rPr>
              <w:t>履约信誉</w:t>
            </w:r>
          </w:p>
        </w:tc>
        <w:tc>
          <w:tcPr>
            <w:tcW w:w="1134" w:type="dxa"/>
            <w:vAlign w:val="center"/>
          </w:tcPr>
          <w:p w14:paraId="47836903">
            <w:pPr>
              <w:widowControl/>
              <w:tabs>
                <w:tab w:val="left" w:pos="1260"/>
              </w:tabs>
              <w:spacing w:beforeLines="0" w:afterLines="0" w:line="360" w:lineRule="auto"/>
              <w:jc w:val="center"/>
              <w:rPr>
                <w:rFonts w:hint="eastAsia" w:ascii="宋体" w:hAnsi="宋体" w:eastAsia="宋体" w:cs="宋体"/>
                <w:color w:val="auto"/>
                <w:kern w:val="0"/>
                <w:szCs w:val="21"/>
                <w:highlight w:val="none"/>
                <w:lang w:eastAsia="en-US"/>
              </w:rPr>
            </w:pPr>
            <w:r>
              <w:rPr>
                <w:rFonts w:hint="eastAsia" w:ascii="宋体" w:hAnsi="宋体" w:eastAsia="宋体" w:cs="宋体"/>
                <w:color w:val="auto"/>
                <w:kern w:val="0"/>
                <w:szCs w:val="21"/>
                <w:highlight w:val="none"/>
                <w:lang w:eastAsia="en-US"/>
              </w:rPr>
              <w:t>3分</w:t>
            </w:r>
          </w:p>
        </w:tc>
        <w:tc>
          <w:tcPr>
            <w:tcW w:w="5929" w:type="dxa"/>
            <w:gridSpan w:val="3"/>
            <w:vAlign w:val="center"/>
          </w:tcPr>
          <w:p w14:paraId="7C7728A1">
            <w:pPr>
              <w:widowControl/>
              <w:tabs>
                <w:tab w:val="left" w:pos="1260"/>
              </w:tabs>
              <w:spacing w:beforeLines="0" w:afterLines="0"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202</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年度被黑龙江省交通运输厅或202</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年度被交通运输部认定为施工企业AA级信用评价等级的，得3分；</w:t>
            </w:r>
          </w:p>
          <w:p w14:paraId="133A82D7">
            <w:pPr>
              <w:widowControl/>
              <w:tabs>
                <w:tab w:val="left" w:pos="1260"/>
              </w:tabs>
              <w:spacing w:beforeLines="0" w:afterLines="0"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202</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年度被黑龙江省交通运输厅或202</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年度被交通运输部认定为施工企业A级信用评价等级的，得2分。</w:t>
            </w:r>
          </w:p>
          <w:p w14:paraId="5EDC8FE4">
            <w:pPr>
              <w:widowControl/>
              <w:tabs>
                <w:tab w:val="left" w:pos="1260"/>
              </w:tabs>
              <w:spacing w:beforeLines="0" w:afterLines="0"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202</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年度黑龙江省交通运输厅和202</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年度交通运输部无施工企业信用评价结果的，采用202</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年度黑龙江省交通运输厅或202</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年度交通运输部施工企业信用评价结果。</w:t>
            </w:r>
          </w:p>
          <w:p w14:paraId="091D4FC8">
            <w:pPr>
              <w:widowControl/>
              <w:tabs>
                <w:tab w:val="left" w:pos="1260"/>
              </w:tabs>
              <w:spacing w:beforeLines="0" w:afterLines="0"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202</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、202</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年度在黑龙江省和</w:t>
            </w:r>
            <w:r>
              <w:rPr>
                <w:rFonts w:hint="eastAsia" w:ascii="宋体" w:hAnsi="宋体" w:cs="宋体"/>
                <w:color w:val="auto"/>
                <w:kern w:val="0"/>
                <w:szCs w:val="21"/>
                <w:highlight w:val="none"/>
                <w:lang w:val="en-US" w:eastAsia="zh-CN"/>
              </w:rPr>
              <w:t>2023年度、2022年度</w:t>
            </w:r>
            <w:r>
              <w:rPr>
                <w:rFonts w:hint="eastAsia" w:ascii="宋体" w:hAnsi="宋体" w:eastAsia="宋体" w:cs="宋体"/>
                <w:color w:val="auto"/>
                <w:kern w:val="0"/>
                <w:szCs w:val="21"/>
                <w:highlight w:val="none"/>
                <w:lang w:eastAsia="zh-CN"/>
              </w:rPr>
              <w:t>交通运输部均无施工企业信用评价结果的，国务院有关部门许可资质的施工企业，若无不良信用记录，按A级对待，得2分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其他施工企业（</w:t>
            </w:r>
            <w:r>
              <w:rPr>
                <w:rFonts w:hint="eastAsia" w:ascii="宋体" w:hAnsi="宋体" w:eastAsia="宋体" w:cs="宋体"/>
                <w:color w:val="auto"/>
                <w:kern w:val="0"/>
                <w:szCs w:val="21"/>
                <w:highlight w:val="none"/>
                <w:lang w:eastAsia="zh-CN"/>
              </w:rPr>
              <w:t>国务院有关部门许可资质的</w:t>
            </w:r>
            <w:r>
              <w:rPr>
                <w:rFonts w:hint="eastAsia" w:ascii="宋体" w:hAnsi="宋体" w:eastAsia="宋体" w:cs="宋体"/>
                <w:color w:val="auto"/>
                <w:kern w:val="0"/>
                <w:szCs w:val="21"/>
                <w:highlight w:val="none"/>
                <w:lang w:val="en-US" w:eastAsia="zh-CN"/>
              </w:rPr>
              <w:t>除外）</w:t>
            </w:r>
            <w:r>
              <w:rPr>
                <w:rFonts w:hint="eastAsia" w:ascii="宋体" w:hAnsi="宋体" w:eastAsia="宋体" w:cs="宋体"/>
                <w:color w:val="auto"/>
                <w:kern w:val="0"/>
                <w:szCs w:val="21"/>
                <w:highlight w:val="none"/>
                <w:lang w:eastAsia="zh-CN"/>
              </w:rPr>
              <w:t>初次进入黑龙江省，其信用等级参照企业注册地省级交通运输主管部门的省级综合评价结果确定；其他情形不得分。</w:t>
            </w:r>
          </w:p>
          <w:p w14:paraId="22128A2E">
            <w:pPr>
              <w:widowControl/>
              <w:tabs>
                <w:tab w:val="left" w:pos="1260"/>
              </w:tabs>
              <w:spacing w:beforeLines="0" w:afterLines="0"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注：得分不累加，只计一次最高分，本项最高得分3分。</w:t>
            </w:r>
          </w:p>
        </w:tc>
      </w:tr>
      <w:tr w14:paraId="51627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1363" w:hRule="atLeast"/>
          <w:jc w:val="center"/>
        </w:trPr>
        <w:tc>
          <w:tcPr>
            <w:tcW w:w="9776" w:type="dxa"/>
            <w:gridSpan w:val="7"/>
            <w:vAlign w:val="center"/>
          </w:tcPr>
          <w:p w14:paraId="55086E83">
            <w:pPr>
              <w:tabs>
                <w:tab w:val="left" w:pos="1260"/>
              </w:tabs>
              <w:spacing w:beforeLines="0" w:afterLines="0" w:line="360" w:lineRule="auto"/>
              <w:ind w:firstLine="420" w:firstLineChars="200"/>
              <w:jc w:val="left"/>
              <w:rPr>
                <w:rFonts w:hint="eastAsia" w:ascii="宋体" w:hAnsi="宋体" w:eastAsia="宋体" w:cs="宋体"/>
                <w:color w:val="auto"/>
                <w:kern w:val="0"/>
                <w:szCs w:val="21"/>
                <w:highlight w:val="none"/>
                <w:lang w:eastAsia="en-US"/>
              </w:rPr>
            </w:pPr>
            <w:r>
              <w:rPr>
                <w:rFonts w:hint="eastAsia" w:ascii="宋体" w:hAnsi="宋体" w:eastAsia="宋体" w:cs="宋体"/>
                <w:color w:val="auto"/>
                <w:kern w:val="0"/>
                <w:szCs w:val="21"/>
                <w:highlight w:val="none"/>
                <w:lang w:eastAsia="en-US"/>
              </w:rPr>
              <w:t>需要补充的其他内容：</w:t>
            </w:r>
          </w:p>
          <w:p w14:paraId="6C4957BC">
            <w:pPr>
              <w:tabs>
                <w:tab w:val="left" w:pos="1260"/>
              </w:tabs>
              <w:spacing w:beforeLines="0" w:afterLines="0" w:line="360" w:lineRule="auto"/>
              <w:ind w:firstLine="420" w:firstLineChars="200"/>
              <w:jc w:val="left"/>
              <w:rPr>
                <w:rFonts w:hint="eastAsia" w:ascii="宋体" w:hAnsi="宋体" w:eastAsia="宋体" w:cs="宋体"/>
                <w:color w:val="auto"/>
                <w:kern w:val="0"/>
                <w:szCs w:val="21"/>
                <w:highlight w:val="none"/>
                <w:lang w:eastAsia="en-US"/>
              </w:rPr>
            </w:pPr>
            <w:r>
              <w:rPr>
                <w:rFonts w:hint="eastAsia" w:ascii="宋体" w:hAnsi="宋体" w:eastAsia="宋体" w:cs="宋体"/>
                <w:color w:val="auto"/>
                <w:kern w:val="0"/>
                <w:szCs w:val="21"/>
                <w:highlight w:val="none"/>
                <w:lang w:eastAsia="en-US"/>
              </w:rPr>
              <w:t>（1）本招标项目要求投标人按照招标人提供的工程量固化清单电子文件填写工程量清单，无须按照本章第 3.4.2 项和第 3.4.3 项的规定对投标报价进行修正，第 3.4.2 项至第 3.4.5 项内容不适用。</w:t>
            </w:r>
          </w:p>
          <w:p w14:paraId="3E6E8D85">
            <w:pPr>
              <w:tabs>
                <w:tab w:val="left" w:pos="1260"/>
              </w:tabs>
              <w:spacing w:beforeLines="0" w:afterLines="0" w:line="360" w:lineRule="auto"/>
              <w:ind w:firstLine="420" w:firstLineChars="200"/>
              <w:jc w:val="left"/>
              <w:rPr>
                <w:rFonts w:hint="eastAsia" w:ascii="宋体" w:hAnsi="宋体" w:eastAsia="宋体" w:cs="宋体"/>
                <w:color w:val="auto"/>
                <w:kern w:val="2"/>
                <w:szCs w:val="21"/>
                <w:highlight w:val="none"/>
                <w:lang w:eastAsia="en-US"/>
              </w:rPr>
            </w:pPr>
            <w:r>
              <w:rPr>
                <w:rFonts w:hint="eastAsia" w:ascii="宋体" w:hAnsi="宋体" w:eastAsia="宋体" w:cs="宋体"/>
                <w:color w:val="auto"/>
                <w:kern w:val="0"/>
                <w:szCs w:val="21"/>
                <w:highlight w:val="none"/>
                <w:lang w:eastAsia="en-US"/>
              </w:rPr>
              <w:t>（2）</w:t>
            </w:r>
            <w:r>
              <w:rPr>
                <w:rFonts w:hint="eastAsia" w:ascii="宋体" w:hAnsi="宋体" w:eastAsia="宋体" w:cs="宋体"/>
                <w:color w:val="auto"/>
                <w:szCs w:val="21"/>
                <w:highlight w:val="none"/>
                <w:lang w:eastAsia="en-US"/>
              </w:rPr>
              <w:t>本项目招标人设置成本价评估值C，成本价评估值作为投标人投标报价是否“明显低于其他投标人报价”的重要参考依据。投标人报价低于成本价评估值的，投标人应当对其投标报价作出书面说明，提供投标报价单价构成说明及相关证明材料（详细的清单预算、主要材料来源及价格证明材料以及评标委员会要求提供的其他材料等），并加盖投标人单位公章，随时备查。</w:t>
            </w:r>
            <w:r>
              <w:rPr>
                <w:rFonts w:hint="eastAsia" w:ascii="宋体" w:hAnsi="宋体" w:eastAsia="宋体" w:cs="宋体"/>
                <w:color w:val="auto"/>
                <w:sz w:val="21"/>
                <w:szCs w:val="21"/>
                <w:highlight w:val="none"/>
                <w:lang w:eastAsia="en-US"/>
              </w:rPr>
              <w:t>书面说明及证明材料不需要与投标文件同时递交。</w:t>
            </w:r>
          </w:p>
          <w:p w14:paraId="5A937968">
            <w:pPr>
              <w:tabs>
                <w:tab w:val="left" w:pos="1260"/>
              </w:tabs>
              <w:autoSpaceDE/>
              <w:autoSpaceDN/>
              <w:adjustRightInd/>
              <w:spacing w:beforeLines="0" w:afterLines="0" w:line="360" w:lineRule="auto"/>
              <w:ind w:left="0" w:leftChars="0" w:right="0" w:rightChars="0" w:firstLine="420" w:firstLineChars="200"/>
              <w:jc w:val="left"/>
              <w:rPr>
                <w:rFonts w:hint="eastAsia" w:ascii="宋体" w:hAnsi="宋体" w:eastAsia="宋体" w:cs="宋体"/>
                <w:color w:val="auto"/>
                <w:szCs w:val="21"/>
                <w:highlight w:val="none"/>
                <w:lang w:eastAsia="en-US"/>
              </w:rPr>
            </w:pPr>
            <w:r>
              <w:rPr>
                <w:rFonts w:hint="eastAsia" w:ascii="宋体" w:hAnsi="宋体" w:eastAsia="宋体" w:cs="宋体"/>
                <w:color w:val="auto"/>
                <w:szCs w:val="21"/>
                <w:highlight w:val="none"/>
                <w:lang w:eastAsia="en-US"/>
              </w:rPr>
              <w:t>C=</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eastAsia="en-US"/>
              </w:rPr>
              <w:t>Z×0.85+∑T/N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eastAsia="en-US"/>
              </w:rPr>
              <w:t>/2,其中：</w:t>
            </w:r>
          </w:p>
          <w:p w14:paraId="4E338119">
            <w:pPr>
              <w:tabs>
                <w:tab w:val="left" w:pos="1260"/>
              </w:tabs>
              <w:autoSpaceDE/>
              <w:autoSpaceDN/>
              <w:adjustRightInd/>
              <w:spacing w:beforeLines="0" w:afterLines="0" w:line="360" w:lineRule="auto"/>
              <w:ind w:left="0" w:leftChars="0" w:right="0" w:rightChars="0" w:firstLine="420" w:firstLineChars="200"/>
              <w:jc w:val="left"/>
              <w:rPr>
                <w:rFonts w:hint="eastAsia" w:ascii="宋体" w:hAnsi="宋体" w:eastAsia="宋体" w:cs="宋体"/>
                <w:color w:val="auto"/>
                <w:szCs w:val="21"/>
                <w:highlight w:val="none"/>
                <w:lang w:eastAsia="en-US"/>
              </w:rPr>
            </w:pPr>
            <w:r>
              <w:rPr>
                <w:rFonts w:hint="eastAsia" w:ascii="宋体" w:hAnsi="宋体" w:eastAsia="宋体" w:cs="宋体"/>
                <w:color w:val="auto"/>
                <w:szCs w:val="21"/>
                <w:highlight w:val="none"/>
                <w:lang w:eastAsia="en-US"/>
              </w:rPr>
              <w:t>Z为最高投标限价；</w:t>
            </w:r>
          </w:p>
          <w:p w14:paraId="44AAB88D">
            <w:pPr>
              <w:tabs>
                <w:tab w:val="left" w:pos="1260"/>
              </w:tabs>
              <w:autoSpaceDE/>
              <w:autoSpaceDN/>
              <w:adjustRightInd/>
              <w:spacing w:beforeLines="0" w:afterLines="0" w:line="360" w:lineRule="auto"/>
              <w:ind w:left="0" w:leftChars="0" w:right="0" w:rightChars="0" w:firstLine="420" w:firstLineChars="200"/>
              <w:jc w:val="left"/>
              <w:rPr>
                <w:rFonts w:hint="eastAsia" w:ascii="宋体" w:hAnsi="宋体" w:eastAsia="宋体" w:cs="宋体"/>
                <w:color w:val="auto"/>
                <w:szCs w:val="21"/>
                <w:highlight w:val="none"/>
                <w:lang w:eastAsia="en-US"/>
              </w:rPr>
            </w:pPr>
            <w:r>
              <w:rPr>
                <w:rFonts w:hint="eastAsia" w:ascii="宋体" w:hAnsi="宋体" w:eastAsia="宋体" w:cs="宋体"/>
                <w:color w:val="auto"/>
                <w:szCs w:val="21"/>
                <w:highlight w:val="none"/>
                <w:lang w:eastAsia="en-US"/>
              </w:rPr>
              <w:t>T为通过第二个信封初步评审且Z×0.8≤T≤Z×0.9的投标人投标报价；</w:t>
            </w:r>
          </w:p>
          <w:p w14:paraId="44641739">
            <w:pPr>
              <w:tabs>
                <w:tab w:val="left" w:pos="1260"/>
              </w:tabs>
              <w:autoSpaceDE/>
              <w:autoSpaceDN/>
              <w:adjustRightInd/>
              <w:spacing w:beforeLines="0" w:afterLines="0" w:line="360" w:lineRule="auto"/>
              <w:ind w:left="0" w:leftChars="0" w:right="0" w:rightChars="0" w:firstLine="420" w:firstLineChars="200"/>
              <w:jc w:val="left"/>
              <w:rPr>
                <w:rFonts w:hint="eastAsia" w:ascii="宋体" w:hAnsi="宋体" w:eastAsia="宋体" w:cs="宋体"/>
                <w:color w:val="auto"/>
                <w:szCs w:val="21"/>
                <w:highlight w:val="none"/>
                <w:lang w:eastAsia="en-US"/>
              </w:rPr>
            </w:pPr>
            <w:r>
              <w:rPr>
                <w:rFonts w:hint="eastAsia" w:ascii="宋体" w:hAnsi="宋体" w:eastAsia="宋体" w:cs="宋体"/>
                <w:color w:val="auto"/>
                <w:szCs w:val="21"/>
                <w:highlight w:val="none"/>
                <w:lang w:eastAsia="en-US"/>
              </w:rPr>
              <w:t>N为满足T的投标人数量；</w:t>
            </w:r>
          </w:p>
          <w:p w14:paraId="7823C291">
            <w:pPr>
              <w:tabs>
                <w:tab w:val="left" w:pos="1260"/>
              </w:tabs>
              <w:autoSpaceDE/>
              <w:autoSpaceDN/>
              <w:adjustRightInd/>
              <w:spacing w:beforeLines="0" w:afterLines="0" w:line="360" w:lineRule="auto"/>
              <w:ind w:left="0" w:leftChars="0" w:right="0" w:rightChars="0" w:firstLine="420" w:firstLineChars="200"/>
              <w:jc w:val="left"/>
              <w:rPr>
                <w:rFonts w:hint="eastAsia" w:ascii="宋体" w:hAnsi="宋体" w:eastAsia="宋体" w:cs="宋体"/>
                <w:color w:val="auto"/>
                <w:szCs w:val="21"/>
                <w:highlight w:val="none"/>
                <w:lang w:eastAsia="en-US"/>
              </w:rPr>
            </w:pPr>
            <w:r>
              <w:rPr>
                <w:rFonts w:hint="eastAsia" w:ascii="宋体" w:hAnsi="宋体" w:eastAsia="宋体" w:cs="宋体"/>
                <w:color w:val="auto"/>
                <w:szCs w:val="21"/>
                <w:highlight w:val="none"/>
                <w:lang w:eastAsia="en-US"/>
              </w:rPr>
              <w:t>当N＝0时，C＝Z×0.85。</w:t>
            </w:r>
          </w:p>
          <w:p w14:paraId="7B7017DA">
            <w:pPr>
              <w:tabs>
                <w:tab w:val="left" w:pos="1260"/>
              </w:tabs>
              <w:spacing w:beforeLines="0" w:afterLines="0" w:line="360" w:lineRule="auto"/>
              <w:ind w:firstLine="420" w:firstLineChars="200"/>
              <w:jc w:val="left"/>
              <w:rPr>
                <w:rFonts w:hint="eastAsia" w:ascii="宋体" w:hAnsi="宋体" w:eastAsia="宋体" w:cs="宋体"/>
                <w:color w:val="auto"/>
                <w:kern w:val="0"/>
                <w:szCs w:val="21"/>
                <w:highlight w:val="none"/>
                <w:lang w:eastAsia="en-US"/>
              </w:rPr>
            </w:pPr>
            <w:r>
              <w:rPr>
                <w:rFonts w:hint="eastAsia" w:ascii="宋体" w:hAnsi="宋体" w:eastAsia="宋体" w:cs="宋体"/>
                <w:color w:val="auto"/>
                <w:szCs w:val="21"/>
                <w:highlight w:val="none"/>
                <w:lang w:eastAsia="en-US"/>
              </w:rPr>
              <w:t>通过第二个信封初步评审的投标文件不会因其投标报价未参与成本价评估值C计算而被否决。</w:t>
            </w:r>
          </w:p>
          <w:p w14:paraId="53180833">
            <w:pPr>
              <w:tabs>
                <w:tab w:val="left" w:pos="1260"/>
              </w:tabs>
              <w:spacing w:beforeLines="0" w:afterLines="0" w:line="360" w:lineRule="auto"/>
              <w:ind w:firstLine="420" w:firstLineChars="200"/>
              <w:jc w:val="left"/>
              <w:rPr>
                <w:rFonts w:hint="eastAsia" w:ascii="宋体" w:hAnsi="宋体" w:eastAsia="宋体" w:cs="宋体"/>
                <w:color w:val="auto"/>
                <w:szCs w:val="21"/>
                <w:highlight w:val="none"/>
                <w:lang w:eastAsia="en-US"/>
              </w:rPr>
            </w:pPr>
            <w:r>
              <w:rPr>
                <w:rFonts w:hint="eastAsia" w:ascii="宋体" w:hAnsi="宋体" w:eastAsia="宋体" w:cs="宋体"/>
                <w:color w:val="auto"/>
                <w:kern w:val="0"/>
                <w:szCs w:val="21"/>
                <w:highlight w:val="none"/>
                <w:lang w:eastAsia="en-US"/>
              </w:rPr>
              <w:t>（3）</w:t>
            </w:r>
            <w:r>
              <w:rPr>
                <w:rFonts w:hint="eastAsia" w:ascii="宋体" w:hAnsi="宋体" w:eastAsia="宋体" w:cs="宋体"/>
                <w:color w:val="auto"/>
                <w:szCs w:val="21"/>
                <w:highlight w:val="none"/>
                <w:lang w:eastAsia="en-US"/>
              </w:rPr>
              <w:t>评标委员会对投标文件第一个信封（商务及技术文件）进行评审后，因有效投标不足3个使得投标明显缺乏竞争的，可以否决全部投标。未否决全部投标的，评标委员会应当在评标报告中阐明理由。评标委员会对通过第一个信封（商务及技术文件）评审的投标人的第二个信封（报价文件）进行评审后，有效投标不足3个的，可以否决全部投标。未否决全部投标的，评标委员会应当在评标报告中阐明理由并推荐中标候选人。</w:t>
            </w:r>
          </w:p>
          <w:p w14:paraId="5B200976">
            <w:pPr>
              <w:tabs>
                <w:tab w:val="left" w:pos="1260"/>
              </w:tabs>
              <w:spacing w:beforeLines="0" w:afterLines="0" w:line="360" w:lineRule="auto"/>
              <w:ind w:firstLine="420" w:firstLineChars="200"/>
              <w:jc w:val="left"/>
              <w:rPr>
                <w:rFonts w:hint="eastAsia" w:ascii="宋体" w:hAnsi="宋体" w:cs="宋体"/>
                <w:highlight w:val="none"/>
                <w:lang w:eastAsia="en-US"/>
              </w:rPr>
            </w:pPr>
            <w:r>
              <w:rPr>
                <w:rFonts w:hint="default" w:ascii="Times New Roman" w:hAnsi="Times New Roman" w:cs="Times New Roman" w:eastAsiaTheme="minorEastAsia"/>
                <w:color w:val="auto"/>
                <w:szCs w:val="21"/>
                <w:highlight w:val="none"/>
                <w:lang w:eastAsia="en-US"/>
              </w:rPr>
              <w:t>（4）</w:t>
            </w:r>
            <w:r>
              <w:rPr>
                <w:rFonts w:hint="default" w:ascii="Times New Roman" w:hAnsi="Times New Roman" w:cs="Times New Roman"/>
                <w:highlight w:val="none"/>
                <w:lang w:eastAsia="en-US"/>
              </w:rPr>
              <w:t>3.9.1项补充：评标过程中，评标委员会优先推荐各标段中排名第一的投标人为第一中标候选人。经评标委员会评审，若同一投标人在两个不同的标段中均排名第一，则评标委员会将根据该投标人在各标段投标报价金额从高到低的顺序，推荐其为其中一个标段的第一中标候选人。与此同时，该投标人在另一个标段中的中标候选人资格将自动失效，该标段的中标候选人资格将由后续排名的投标人依次递补。</w:t>
            </w:r>
          </w:p>
        </w:tc>
      </w:tr>
    </w:tbl>
    <w:p w14:paraId="4879A138">
      <w:pPr>
        <w:tabs>
          <w:tab w:val="left" w:pos="1260"/>
        </w:tabs>
        <w:spacing w:beforeLines="0" w:afterLines="0" w:line="360" w:lineRule="auto"/>
        <w:rPr>
          <w:rFonts w:hint="eastAsia" w:ascii="宋体" w:hAnsi="宋体" w:eastAsia="宋体" w:cs="宋体"/>
          <w:color w:val="auto"/>
          <w:szCs w:val="21"/>
          <w:highlight w:val="none"/>
        </w:rPr>
      </w:pPr>
    </w:p>
    <w:p w14:paraId="54A1E5DA">
      <w:pPr>
        <w:numPr>
          <w:ilvl w:val="255"/>
          <w:numId w:val="0"/>
        </w:numPr>
        <w:tabs>
          <w:tab w:val="left" w:pos="1260"/>
        </w:tabs>
        <w:spacing w:beforeLines="0" w:afterLines="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bookmarkStart w:id="26" w:name="_Hlk527029563"/>
      <w:r>
        <w:rPr>
          <w:rFonts w:hint="eastAsia" w:ascii="宋体" w:hAnsi="宋体" w:eastAsia="宋体" w:cs="宋体"/>
          <w:color w:val="auto"/>
          <w:szCs w:val="21"/>
          <w:highlight w:val="none"/>
        </w:rPr>
        <w:t>各评分因素（包括各评分因素细分项）得分以评标委员会各成员的单项打分的算术平均值确定（评标委员会成员总数为7人时，该平均值以去掉一个单项最高分和一个单项最低分后计算）。评标委员会各成员的单项打分分值小数点后保留一位，计算过程及计算结果小数点后保留两位小数，小数点后第三位“四舍五入”。</w:t>
      </w:r>
    </w:p>
    <w:bookmarkEnd w:id="26"/>
    <w:p w14:paraId="3F4395CA">
      <w:pPr>
        <w:numPr>
          <w:ilvl w:val="255"/>
          <w:numId w:val="0"/>
        </w:numPr>
        <w:tabs>
          <w:tab w:val="left" w:pos="1260"/>
        </w:tabs>
        <w:spacing w:beforeLines="0" w:afterLines="0" w:line="360" w:lineRule="auto"/>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投标人所附人员加分业绩</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zCs w:val="21"/>
          <w:highlight w:val="none"/>
        </w:rPr>
        <w:t>企业加分项业绩中所提到的类似项目是指中国境内新建或改扩建项目，不含养护工程项目。</w:t>
      </w:r>
    </w:p>
    <w:p w14:paraId="2C8491B9">
      <w:pPr>
        <w:numPr>
          <w:ilvl w:val="255"/>
          <w:numId w:val="0"/>
        </w:numPr>
        <w:tabs>
          <w:tab w:val="left" w:pos="1260"/>
        </w:tabs>
        <w:spacing w:beforeLines="0" w:afterLines="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投标人所附企业加分业绩应为近5年（20</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5月</w:t>
      </w:r>
      <w:r>
        <w:rPr>
          <w:rFonts w:hint="eastAsia" w:ascii="宋体" w:hAnsi="宋体" w:eastAsia="宋体" w:cs="宋体"/>
          <w:color w:val="auto"/>
          <w:szCs w:val="21"/>
          <w:highlight w:val="none"/>
        </w:rPr>
        <w:t>1日~递交投标文件截止时间，以实际交工日期为准）内完成的项目业绩，超出此时间范围的业绩不加分。</w:t>
      </w:r>
    </w:p>
    <w:p w14:paraId="6130E7A6">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项目经理、项目总工的个人业绩加分项不设年限要求。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综艺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5A4D2"/>
    <w:multiLevelType w:val="singleLevel"/>
    <w:tmpl w:val="8A25A4D2"/>
    <w:lvl w:ilvl="0" w:tentative="0">
      <w:start w:val="1"/>
      <w:numFmt w:val="decimal"/>
      <w:suff w:val="nothing"/>
      <w:lvlText w:val="（%1）"/>
      <w:lvlJc w:val="left"/>
    </w:lvl>
  </w:abstractNum>
  <w:abstractNum w:abstractNumId="1">
    <w:nsid w:val="8D0AE5E8"/>
    <w:multiLevelType w:val="singleLevel"/>
    <w:tmpl w:val="8D0AE5E8"/>
    <w:lvl w:ilvl="0" w:tentative="0">
      <w:start w:val="3"/>
      <w:numFmt w:val="decimal"/>
      <w:suff w:val="nothing"/>
      <w:lvlText w:val="（%1）"/>
      <w:lvlJc w:val="left"/>
    </w:lvl>
  </w:abstractNum>
  <w:abstractNum w:abstractNumId="2">
    <w:nsid w:val="67C78EC7"/>
    <w:multiLevelType w:val="singleLevel"/>
    <w:tmpl w:val="67C78EC7"/>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15430"/>
    <w:rsid w:val="161C0D90"/>
    <w:rsid w:val="1C18591B"/>
    <w:rsid w:val="1D4A2F2C"/>
    <w:rsid w:val="292116BA"/>
    <w:rsid w:val="3AB331C1"/>
    <w:rsid w:val="456D319A"/>
    <w:rsid w:val="6C0270E4"/>
    <w:rsid w:val="6E005A16"/>
    <w:rsid w:val="74387CB8"/>
    <w:rsid w:val="74A4534E"/>
    <w:rsid w:val="75AB270C"/>
    <w:rsid w:val="7A0643B5"/>
    <w:rsid w:val="7CFE5817"/>
    <w:rsid w:val="7D56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1"/>
    <w:pPr>
      <w:spacing w:after="120"/>
    </w:pPr>
    <w:rPr>
      <w:rFonts w:ascii="Times New Roman" w:hAnsi="Times New Roman"/>
      <w:szCs w:val="20"/>
    </w:rPr>
  </w:style>
  <w:style w:type="paragraph" w:styleId="4">
    <w:name w:val="Body Text 2"/>
    <w:basedOn w:val="1"/>
    <w:qFormat/>
    <w:uiPriority w:val="0"/>
    <w:pPr>
      <w:jc w:val="center"/>
    </w:pPr>
    <w:rPr>
      <w:rFonts w:ascii="方正综艺简体" w:hAnsi="宋体" w:eastAsia="方正综艺简体"/>
      <w:spacing w:val="24"/>
      <w:sz w:val="32"/>
    </w:rPr>
  </w:style>
  <w:style w:type="paragraph" w:styleId="5">
    <w:name w:val="Body Text Indent"/>
    <w:basedOn w:val="1"/>
    <w:qFormat/>
    <w:uiPriority w:val="0"/>
    <w:pPr>
      <w:spacing w:after="120"/>
      <w:ind w:left="420" w:leftChars="200"/>
    </w:pPr>
    <w:rPr>
      <w:rFonts w:ascii="Times New Roman" w:hAnsi="Times New Roman"/>
      <w:szCs w:val="20"/>
    </w:rPr>
  </w:style>
  <w:style w:type="paragraph" w:styleId="6">
    <w:name w:val="index 9"/>
    <w:basedOn w:val="1"/>
    <w:next w:val="1"/>
    <w:qFormat/>
    <w:uiPriority w:val="0"/>
    <w:pPr>
      <w:ind w:left="3360"/>
    </w:pPr>
  </w:style>
  <w:style w:type="paragraph" w:styleId="7">
    <w:name w:val="Body Text First Indent"/>
    <w:basedOn w:val="3"/>
    <w:next w:val="8"/>
    <w:qFormat/>
    <w:uiPriority w:val="0"/>
    <w:pPr>
      <w:spacing w:line="312" w:lineRule="auto"/>
      <w:ind w:firstLine="420"/>
    </w:pPr>
    <w:rPr>
      <w:rFonts w:ascii="Times New Roman" w:hAnsi="Times New Roman"/>
      <w:szCs w:val="24"/>
    </w:rPr>
  </w:style>
  <w:style w:type="paragraph" w:styleId="8">
    <w:name w:val="Body Text First Indent 2"/>
    <w:basedOn w:val="5"/>
    <w:next w:val="3"/>
    <w:qFormat/>
    <w:uiPriority w:val="0"/>
    <w:pPr>
      <w:adjustRightInd w:val="0"/>
      <w:spacing w:line="312" w:lineRule="atLeast"/>
      <w:ind w:left="450" w:leftChars="450" w:firstLine="210"/>
      <w:textAlignment w:val="baseline"/>
    </w:pPr>
    <w:rPr>
      <w:rFonts w:ascii="宋体"/>
      <w:b/>
      <w:kern w:val="0"/>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99"/>
    <w:rPr>
      <w:color w:val="0000FF"/>
      <w:u w:val="single"/>
    </w:rPr>
  </w:style>
  <w:style w:type="paragraph" w:customStyle="1" w:styleId="13">
    <w:name w:val="正文1"/>
    <w:basedOn w:val="3"/>
    <w:qFormat/>
    <w:uiPriority w:val="1"/>
    <w:pPr>
      <w:tabs>
        <w:tab w:val="left" w:pos="1709"/>
        <w:tab w:val="left" w:pos="2069"/>
        <w:tab w:val="left" w:pos="2909"/>
        <w:tab w:val="left" w:pos="3509"/>
        <w:tab w:val="left" w:pos="4205"/>
        <w:tab w:val="left" w:pos="4678"/>
        <w:tab w:val="left" w:pos="6150"/>
        <w:tab w:val="left" w:pos="6479"/>
        <w:tab w:val="left" w:pos="7064"/>
      </w:tabs>
      <w:wordWrap w:val="0"/>
      <w:spacing w:line="360" w:lineRule="auto"/>
      <w:ind w:left="0" w:firstLine="200" w:firstLineChars="200"/>
    </w:pPr>
    <w:rPr>
      <w:rFonts w:ascii="Times New Roman" w:hAnsi="Times New Roman"/>
      <w:sz w:val="21"/>
      <w:lang w:eastAsia="zh-CN"/>
    </w:rPr>
  </w:style>
  <w:style w:type="paragraph" w:customStyle="1" w:styleId="14">
    <w:name w:val="hetong"/>
    <w:basedOn w:val="3"/>
    <w:qFormat/>
    <w:uiPriority w:val="0"/>
    <w:pPr>
      <w:spacing w:before="147" w:line="357" w:lineRule="auto"/>
      <w:ind w:right="146" w:firstLine="479"/>
      <w:jc w:val="both"/>
    </w:pPr>
    <w:rPr>
      <w:rFonts w:ascii="Times New Roman" w:hAnsi="Times New Roman" w:eastAsia="Times New Roman" w:cs="Times New Roman"/>
      <w:sz w:val="21"/>
      <w:lang w:eastAsia="zh-CN"/>
    </w:rPr>
  </w:style>
  <w:style w:type="paragraph" w:customStyle="1" w:styleId="15">
    <w:name w:val="标题 91"/>
    <w:basedOn w:val="1"/>
    <w:qFormat/>
    <w:uiPriority w:val="1"/>
    <w:pPr>
      <w:ind w:left="144"/>
    </w:pPr>
    <w:rPr>
      <w:rFonts w:ascii="黑体" w:hAnsi="黑体" w:eastAsia="黑体"/>
      <w:sz w:val="28"/>
      <w:szCs w:val="28"/>
    </w:rPr>
  </w:style>
  <w:style w:type="paragraph" w:customStyle="1" w:styleId="16">
    <w:name w:val="Table Paragraph"/>
    <w:basedOn w:val="1"/>
    <w:qFormat/>
    <w:uiPriority w:val="1"/>
    <w:pPr>
      <w:widowControl/>
      <w:jc w:val="center"/>
    </w:pPr>
    <w:rPr>
      <w:rFonts w:ascii="宋体" w:hAnsi="宋体" w:cs="宋体"/>
      <w:kern w:val="0"/>
      <w:sz w:val="22"/>
      <w:lang w:val="zh-CN" w:bidi="zh-CN"/>
    </w:rPr>
  </w:style>
  <w:style w:type="table" w:customStyle="1" w:styleId="17">
    <w:name w:val="Table Normal"/>
    <w:unhideWhenUsed/>
    <w:qFormat/>
    <w:uiPriority w:val="2"/>
    <w:pPr>
      <w:jc w:val="center"/>
    </w:pPr>
    <w:rPr>
      <w:rFonts w:ascii="Calibri" w:hAnsi="Calibri" w:eastAsia="宋体" w:cs="Times New Roman"/>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4497</Words>
  <Characters>5308</Characters>
  <Lines>0</Lines>
  <Paragraphs>0</Paragraphs>
  <TotalTime>0</TotalTime>
  <ScaleCrop>false</ScaleCrop>
  <LinksUpToDate>false</LinksUpToDate>
  <CharactersWithSpaces>5317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2025-05-26T07:44:00Z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eyJoZGlkIjoiNGZlOTA4MWNjMGM3ZmNjZTYzZjRlMWIyYTE3ODRhNmUiLCJ1c2VySWQiOiI4MzEzOTY1MzUifQ==</vt:lpwstr>
  </property>
  <property fmtid="{D5CDD505-2E9C-101B-9397-08002B2CF9AE}" pid="4" name="ICV">
    <vt:lpwstr>E48BAB96C6654BD1B0CC71A0B65FCBCE_12</vt:lpwstr>
  </property>
</Properties>
</file>