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DD975">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cs="Times New Roman"/>
          <w:sz w:val="36"/>
          <w:szCs w:val="36"/>
          <w:highlight w:val="none"/>
        </w:rPr>
      </w:pPr>
      <w:r>
        <w:rPr>
          <w:rFonts w:hint="default" w:ascii="Times New Roman" w:hAnsi="Times New Roman" w:cs="Times New Roman"/>
          <w:sz w:val="36"/>
          <w:szCs w:val="36"/>
          <w:highlight w:val="none"/>
          <w:lang w:val="en-US" w:eastAsia="zh-CN"/>
        </w:rPr>
        <w:t>招标公告</w:t>
      </w:r>
    </w:p>
    <w:p w14:paraId="6D9990DA">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textAlignment w:val="baseline"/>
        <w:rPr>
          <w:rFonts w:hint="default" w:ascii="宋体" w:hAnsi="宋体" w:eastAsia="宋体" w:cs="宋体"/>
          <w:sz w:val="24"/>
          <w:szCs w:val="21"/>
        </w:rPr>
      </w:pPr>
      <w:r>
        <w:rPr>
          <w:rFonts w:hint="default" w:ascii="宋体" w:hAnsi="宋体" w:eastAsia="宋体" w:cs="宋体"/>
          <w:sz w:val="24"/>
          <w:szCs w:val="21"/>
          <w:lang w:val="en-US" w:eastAsia="zh-CN"/>
        </w:rPr>
        <w:t>1. 招标条件</w:t>
      </w:r>
    </w:p>
    <w:p w14:paraId="57AA1955">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highlight w:val="none"/>
        </w:rPr>
      </w:pPr>
      <w:r>
        <w:rPr>
          <w:rFonts w:hint="default" w:ascii="宋体" w:hAnsi="宋体" w:eastAsia="宋体" w:cs="宋体"/>
          <w:sz w:val="24"/>
          <w:szCs w:val="21"/>
          <w:highlight w:val="none"/>
          <w:lang w:val="en-US" w:eastAsia="zh-CN"/>
        </w:rPr>
        <w:t>本招标项目</w:t>
      </w:r>
      <w:r>
        <w:rPr>
          <w:rFonts w:hint="eastAsia" w:ascii="宋体" w:hAnsi="宋体" w:eastAsia="宋体" w:cs="宋体"/>
          <w:sz w:val="24"/>
          <w:szCs w:val="21"/>
          <w:highlight w:val="none"/>
          <w:u w:val="single"/>
          <w:lang w:val="en-US" w:eastAsia="zh-CN"/>
        </w:rPr>
        <w:t>国道抚远至饶河公路别拉洪至四合段改扩建工程</w:t>
      </w:r>
      <w:r>
        <w:rPr>
          <w:rFonts w:hint="default" w:ascii="宋体" w:hAnsi="宋体" w:eastAsia="宋体" w:cs="宋体"/>
          <w:sz w:val="24"/>
          <w:szCs w:val="21"/>
          <w:highlight w:val="none"/>
          <w:lang w:val="en-US" w:eastAsia="zh-CN"/>
        </w:rPr>
        <w:t>已由黑龙江省交通运输厅关于国道抚远至饶河公路别拉洪至四合段改扩建工程初步设计的批复黑交发</w:t>
      </w:r>
      <w:r>
        <w:rPr>
          <w:rFonts w:hint="eastAsia" w:ascii="宋体" w:hAnsi="宋体" w:eastAsia="宋体" w:cs="宋体"/>
          <w:sz w:val="24"/>
          <w:szCs w:val="21"/>
          <w:highlight w:val="none"/>
          <w:lang w:val="en-US" w:eastAsia="zh-CN"/>
        </w:rPr>
        <w:t>【</w:t>
      </w:r>
      <w:r>
        <w:rPr>
          <w:rFonts w:hint="default" w:ascii="宋体" w:hAnsi="宋体" w:eastAsia="宋体" w:cs="宋体"/>
          <w:sz w:val="24"/>
          <w:szCs w:val="21"/>
          <w:highlight w:val="none"/>
          <w:lang w:val="en-US" w:eastAsia="zh-CN"/>
        </w:rPr>
        <w:t>2024</w:t>
      </w:r>
      <w:r>
        <w:rPr>
          <w:rFonts w:hint="eastAsia" w:ascii="宋体" w:hAnsi="宋体" w:eastAsia="宋体" w:cs="宋体"/>
          <w:sz w:val="24"/>
          <w:szCs w:val="21"/>
          <w:highlight w:val="none"/>
          <w:lang w:val="en-US" w:eastAsia="zh-CN"/>
        </w:rPr>
        <w:t>】</w:t>
      </w:r>
      <w:r>
        <w:rPr>
          <w:rFonts w:hint="default" w:ascii="宋体" w:hAnsi="宋体" w:eastAsia="宋体" w:cs="宋体"/>
          <w:sz w:val="24"/>
          <w:szCs w:val="21"/>
          <w:highlight w:val="none"/>
          <w:lang w:val="en-US" w:eastAsia="zh-CN"/>
        </w:rPr>
        <w:t>388号</w:t>
      </w:r>
      <w:r>
        <w:rPr>
          <w:rFonts w:hint="eastAsia" w:ascii="宋体" w:hAnsi="宋体" w:eastAsia="宋体" w:cs="宋体"/>
          <w:sz w:val="24"/>
          <w:szCs w:val="21"/>
          <w:highlight w:val="none"/>
          <w:lang w:val="en-US" w:eastAsia="zh-CN"/>
        </w:rPr>
        <w:t xml:space="preserve"> 、</w:t>
      </w:r>
      <w:r>
        <w:rPr>
          <w:rFonts w:hint="default" w:ascii="宋体" w:hAnsi="宋体" w:eastAsia="宋体" w:cs="宋体"/>
          <w:sz w:val="24"/>
          <w:szCs w:val="21"/>
          <w:highlight w:val="none"/>
          <w:lang w:val="en-US" w:eastAsia="zh-CN"/>
        </w:rPr>
        <w:t>黑龙江省交通运输厅关于国道抚远至饶河公路别拉洪至四合段改扩建工程施工图设计的批复黑交发</w:t>
      </w:r>
      <w:r>
        <w:rPr>
          <w:rFonts w:hint="eastAsia" w:ascii="宋体" w:hAnsi="宋体" w:eastAsia="宋体" w:cs="宋体"/>
          <w:sz w:val="24"/>
          <w:szCs w:val="21"/>
          <w:highlight w:val="none"/>
          <w:lang w:val="en-US" w:eastAsia="zh-CN"/>
        </w:rPr>
        <w:t>【2025】</w:t>
      </w:r>
      <w:r>
        <w:rPr>
          <w:rFonts w:hint="default" w:ascii="宋体" w:hAnsi="宋体" w:eastAsia="宋体" w:cs="宋体"/>
          <w:sz w:val="24"/>
          <w:szCs w:val="21"/>
          <w:highlight w:val="none"/>
          <w:lang w:val="en-US" w:eastAsia="zh-CN"/>
        </w:rPr>
        <w:t>106号文件批准建设，招标人为</w:t>
      </w:r>
      <w:r>
        <w:rPr>
          <w:rFonts w:hint="eastAsia" w:ascii="宋体" w:hAnsi="宋体" w:eastAsia="宋体" w:cs="宋体"/>
          <w:sz w:val="24"/>
          <w:szCs w:val="21"/>
          <w:highlight w:val="none"/>
          <w:u w:val="single"/>
          <w:lang w:val="en-US" w:eastAsia="zh-CN"/>
        </w:rPr>
        <w:t>国道抚远至饶河公路别拉洪至四合段改扩建工程建设指挥部</w:t>
      </w:r>
      <w:r>
        <w:rPr>
          <w:rFonts w:hint="eastAsia" w:ascii="宋体" w:hAnsi="宋体" w:eastAsia="宋体" w:cs="宋体"/>
          <w:sz w:val="24"/>
          <w:szCs w:val="21"/>
          <w:highlight w:val="none"/>
          <w:u w:val="none"/>
          <w:lang w:val="en-US" w:eastAsia="zh-CN"/>
        </w:rPr>
        <w:t>，</w:t>
      </w:r>
      <w:r>
        <w:rPr>
          <w:rFonts w:hint="default" w:ascii="宋体" w:hAnsi="宋体" w:eastAsia="宋体" w:cs="宋体"/>
          <w:sz w:val="24"/>
          <w:szCs w:val="21"/>
          <w:highlight w:val="none"/>
          <w:lang w:val="en-US" w:eastAsia="zh-CN"/>
        </w:rPr>
        <w:t>项目法人单位</w:t>
      </w:r>
      <w:r>
        <w:rPr>
          <w:rFonts w:hint="eastAsia" w:ascii="宋体" w:hAnsi="宋体" w:eastAsia="宋体" w:cs="宋体"/>
          <w:sz w:val="24"/>
          <w:szCs w:val="21"/>
          <w:highlight w:val="none"/>
          <w:lang w:val="en-US" w:eastAsia="zh-CN"/>
        </w:rPr>
        <w:t>为</w:t>
      </w:r>
      <w:r>
        <w:rPr>
          <w:rFonts w:hint="eastAsia" w:ascii="宋体" w:hAnsi="宋体" w:eastAsia="宋体" w:cs="宋体"/>
          <w:sz w:val="24"/>
          <w:szCs w:val="21"/>
          <w:highlight w:val="none"/>
          <w:u w:val="single"/>
          <w:lang w:val="en-US" w:eastAsia="zh-CN"/>
        </w:rPr>
        <w:t>抚远市交通运输局</w:t>
      </w:r>
      <w:r>
        <w:rPr>
          <w:rFonts w:hint="default" w:ascii="宋体" w:hAnsi="宋体" w:eastAsia="宋体" w:cs="宋体"/>
          <w:sz w:val="24"/>
          <w:szCs w:val="21"/>
          <w:highlight w:val="none"/>
          <w:lang w:val="en-US" w:eastAsia="zh-CN"/>
        </w:rPr>
        <w:t>，建设资金为</w:t>
      </w:r>
      <w:r>
        <w:rPr>
          <w:rFonts w:hint="eastAsia" w:ascii="宋体" w:hAnsi="宋体" w:eastAsia="宋体" w:cs="宋体"/>
          <w:sz w:val="24"/>
          <w:szCs w:val="21"/>
          <w:highlight w:val="none"/>
          <w:u w:val="single"/>
          <w:lang w:val="en-US" w:eastAsia="zh-CN"/>
        </w:rPr>
        <w:t>交通运输领域重点项目资金及地方自筹资金</w:t>
      </w:r>
      <w:r>
        <w:rPr>
          <w:rFonts w:hint="default" w:ascii="宋体" w:hAnsi="宋体" w:eastAsia="宋体" w:cs="宋体"/>
          <w:sz w:val="24"/>
          <w:szCs w:val="21"/>
          <w:highlight w:val="none"/>
          <w:lang w:val="en-US" w:eastAsia="zh-CN"/>
        </w:rPr>
        <w:t>。项目已具备招标条件，现对该项目的</w:t>
      </w:r>
      <w:r>
        <w:rPr>
          <w:rFonts w:hint="eastAsia" w:ascii="宋体" w:hAnsi="宋体" w:eastAsia="宋体" w:cs="宋体"/>
          <w:sz w:val="24"/>
          <w:szCs w:val="21"/>
          <w:highlight w:val="none"/>
          <w:lang w:val="en-US" w:eastAsia="zh-CN"/>
        </w:rPr>
        <w:t>土建工程</w:t>
      </w:r>
      <w:r>
        <w:rPr>
          <w:rFonts w:hint="default" w:ascii="宋体" w:hAnsi="宋体" w:eastAsia="宋体" w:cs="宋体"/>
          <w:sz w:val="24"/>
          <w:szCs w:val="21"/>
          <w:highlight w:val="none"/>
          <w:lang w:val="en-US" w:eastAsia="zh-CN"/>
        </w:rPr>
        <w:t>进行</w:t>
      </w:r>
      <w:r>
        <w:rPr>
          <w:rFonts w:hint="eastAsia" w:ascii="宋体" w:hAnsi="宋体" w:eastAsia="宋体" w:cs="宋体"/>
          <w:sz w:val="24"/>
          <w:szCs w:val="21"/>
          <w:highlight w:val="none"/>
          <w:lang w:val="en-US" w:eastAsia="zh-CN"/>
        </w:rPr>
        <w:t>施工</w:t>
      </w:r>
      <w:r>
        <w:rPr>
          <w:rFonts w:hint="default" w:ascii="宋体" w:hAnsi="宋体" w:eastAsia="宋体" w:cs="宋体"/>
          <w:sz w:val="24"/>
          <w:szCs w:val="21"/>
          <w:highlight w:val="none"/>
          <w:lang w:val="en-US" w:eastAsia="zh-CN"/>
        </w:rPr>
        <w:t>公开招标。</w:t>
      </w:r>
    </w:p>
    <w:p w14:paraId="46D71062">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2" w:line="360" w:lineRule="auto"/>
        <w:ind w:left="23"/>
        <w:textAlignment w:val="baseline"/>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项目概况与招标范围 </w:t>
      </w:r>
    </w:p>
    <w:p w14:paraId="08D9952F">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2.1 建设地点：佳木斯市抚远市</w:t>
      </w:r>
      <w:r>
        <w:rPr>
          <w:rFonts w:hint="eastAsia" w:ascii="宋体" w:hAnsi="宋体" w:eastAsia="宋体" w:cs="宋体"/>
          <w:sz w:val="24"/>
          <w:szCs w:val="21"/>
          <w:lang w:val="en-US" w:eastAsia="zh-CN"/>
        </w:rPr>
        <w:t>。</w:t>
      </w:r>
    </w:p>
    <w:p w14:paraId="1915F4C6">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rPr>
      </w:pPr>
      <w:r>
        <w:rPr>
          <w:rFonts w:hint="default" w:ascii="宋体" w:hAnsi="宋体" w:eastAsia="宋体" w:cs="宋体"/>
          <w:sz w:val="24"/>
          <w:szCs w:val="21"/>
          <w:lang w:val="en-US" w:eastAsia="zh-CN"/>
        </w:rPr>
        <w:t>2.2 建设规模：路线起于国道抚远至饶河公路K49+500与省道四勤公路交叉处(别拉洪乡西入口),向东沿旧路布线，经别拉洪乡、海兴村、海宏村、海青乡、四合村，终点于国道抚远至饶河公路 K115+718处(海青乡与八五九农场交界)</w:t>
      </w:r>
      <w:r>
        <w:rPr>
          <w:rFonts w:hint="eastAsia" w:ascii="宋体" w:hAnsi="宋体" w:eastAsia="宋体" w:cs="宋体"/>
          <w:sz w:val="24"/>
          <w:szCs w:val="21"/>
          <w:lang w:val="en-US" w:eastAsia="zh-CN"/>
        </w:rPr>
        <w:t>。</w:t>
      </w:r>
    </w:p>
    <w:p w14:paraId="15DEB025">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lang w:val="en-US" w:eastAsia="zh-CN"/>
        </w:rPr>
      </w:pPr>
      <w:r>
        <w:rPr>
          <w:rFonts w:hint="eastAsia" w:ascii="宋体" w:hAnsi="宋体" w:eastAsia="宋体" w:cs="宋体"/>
          <w:sz w:val="24"/>
          <w:szCs w:val="21"/>
          <w:lang w:val="en-US" w:eastAsia="zh-CN"/>
        </w:rPr>
        <w:t>（一）</w:t>
      </w:r>
      <w:r>
        <w:rPr>
          <w:rFonts w:hint="default" w:ascii="宋体" w:hAnsi="宋体" w:eastAsia="宋体" w:cs="宋体"/>
          <w:sz w:val="24"/>
          <w:szCs w:val="21"/>
          <w:lang w:val="en-US" w:eastAsia="zh-CN"/>
        </w:rPr>
        <w:t>路线全长66.222公里，建设里程66.192公里。全线设置桥梁324.40米/11座，其中，利用中桥129.54米/2座、小桥194.86米/9座(含利用 30.54米/1座)，涵洞53道;等级公路平面交叉32处,管线交叉4处;交通量观测站1处，客运汽车停靠站7处(14座)，养护道班1处。</w:t>
      </w:r>
    </w:p>
    <w:p w14:paraId="7382A72D">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（二）K49+500~K96+358和K96+388~K115+722.382段均采用二级公路标准建设，设计速度60公里/小时，一般路段路基宽度10.0米</w:t>
      </w:r>
      <w:r>
        <w:rPr>
          <w:rFonts w:hint="eastAsia" w:ascii="宋体" w:hAnsi="宋体" w:eastAsia="宋体" w:cs="宋体"/>
          <w:sz w:val="24"/>
          <w:szCs w:val="21"/>
          <w:lang w:val="en-US" w:eastAsia="zh-CN"/>
        </w:rPr>
        <w:t>，路面工程为沥青混凝土路面。</w:t>
      </w:r>
      <w:r>
        <w:rPr>
          <w:rFonts w:hint="default" w:ascii="宋体" w:hAnsi="宋体" w:eastAsia="宋体" w:cs="宋体"/>
          <w:sz w:val="24"/>
          <w:szCs w:val="21"/>
          <w:lang w:val="en-US" w:eastAsia="zh-CN"/>
        </w:rPr>
        <w:t>桥涵设计汽车荷载等级采用公路I级，其他技术指标按《公路工程技术标准》（JTGB01-2014）执行。</w:t>
      </w:r>
    </w:p>
    <w:p w14:paraId="6A2627B1">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lang w:val="en-US"/>
        </w:rPr>
      </w:pPr>
      <w:r>
        <w:rPr>
          <w:rFonts w:hint="default" w:ascii="宋体" w:hAnsi="宋体" w:eastAsia="宋体" w:cs="宋体"/>
          <w:sz w:val="24"/>
          <w:szCs w:val="21"/>
          <w:lang w:val="en-US" w:eastAsia="zh-CN"/>
        </w:rPr>
        <w:t>2.3 计划工期</w:t>
      </w:r>
      <w:r>
        <w:rPr>
          <w:rFonts w:hint="default" w:ascii="宋体" w:hAnsi="宋体" w:eastAsia="宋体" w:cs="宋体"/>
          <w:sz w:val="24"/>
          <w:szCs w:val="21"/>
          <w:highlight w:val="none"/>
          <w:lang w:val="en-US" w:eastAsia="zh-CN"/>
        </w:rPr>
        <w:t>：</w:t>
      </w:r>
      <w:r>
        <w:rPr>
          <w:rFonts w:hint="eastAsia" w:ascii="宋体" w:hAnsi="宋体" w:eastAsia="宋体" w:cs="宋体"/>
          <w:sz w:val="24"/>
          <w:szCs w:val="21"/>
          <w:highlight w:val="none"/>
          <w:lang w:val="en-US" w:eastAsia="zh-CN"/>
        </w:rPr>
        <w:t>开工日期2025年7月1日-2028年12月31日，共计1280日历日</w:t>
      </w:r>
      <w:r>
        <w:rPr>
          <w:rFonts w:hint="default" w:ascii="宋体" w:hAnsi="宋体" w:eastAsia="宋体" w:cs="宋体"/>
          <w:sz w:val="24"/>
          <w:szCs w:val="21"/>
          <w:highlight w:val="none"/>
          <w:lang w:val="en-US" w:eastAsia="zh-CN"/>
        </w:rPr>
        <w:t>（上述开、竣工时间仅作为编制投标文件的统一标准，实际开工日期按施工合同相关条款规定执行）</w:t>
      </w:r>
      <w:r>
        <w:rPr>
          <w:rFonts w:hint="eastAsia" w:ascii="宋体" w:hAnsi="宋体" w:eastAsia="宋体" w:cs="宋体"/>
          <w:sz w:val="24"/>
          <w:szCs w:val="21"/>
          <w:highlight w:val="none"/>
          <w:lang w:val="en-US" w:eastAsia="zh-CN"/>
        </w:rPr>
        <w:t>。缺陷责任期24个月。</w:t>
      </w:r>
    </w:p>
    <w:p w14:paraId="6939A667">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lang w:val="en-US"/>
        </w:rPr>
      </w:pPr>
      <w:r>
        <w:rPr>
          <w:rFonts w:hint="default" w:ascii="宋体" w:hAnsi="宋体" w:eastAsia="宋体" w:cs="宋体"/>
          <w:sz w:val="24"/>
          <w:szCs w:val="21"/>
          <w:lang w:val="en-US" w:eastAsia="zh-CN"/>
        </w:rPr>
        <w:t>2.4 招标范围：</w:t>
      </w:r>
      <w:r>
        <w:rPr>
          <w:rFonts w:hint="default" w:ascii="宋体" w:hAnsi="宋体" w:eastAsia="宋体" w:cs="宋体"/>
          <w:sz w:val="24"/>
          <w:szCs w:val="21"/>
        </w:rPr>
        <w:t>完成上述项目施工图纸及工程量清单范围内所包含的所有工作内容</w:t>
      </w:r>
      <w:r>
        <w:rPr>
          <w:rFonts w:hint="default" w:ascii="宋体" w:hAnsi="宋体" w:eastAsia="宋体" w:cs="宋体"/>
          <w:sz w:val="24"/>
          <w:szCs w:val="21"/>
          <w:lang w:eastAsia="zh-CN"/>
        </w:rPr>
        <w:t>。</w:t>
      </w:r>
      <w:r>
        <w:rPr>
          <w:rFonts w:hint="eastAsia" w:ascii="宋体" w:hAnsi="宋体" w:eastAsia="宋体" w:cs="宋体"/>
          <w:sz w:val="24"/>
          <w:szCs w:val="21"/>
          <w:lang w:val="en-US" w:eastAsia="zh-CN"/>
        </w:rPr>
        <w:t>缺陷责任期修复内容：本项目路基、路面、桥梁、涵洞、交叉工程、交安设施、沿线附属设施等工程施工及缺陷责任修复的全部内容。</w:t>
      </w:r>
    </w:p>
    <w:p w14:paraId="1D73F845">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color w:val="FF0000"/>
          <w:sz w:val="24"/>
          <w:szCs w:val="21"/>
          <w:highlight w:val="yellow"/>
          <w:lang w:val="en-US"/>
        </w:rPr>
      </w:pPr>
      <w:r>
        <w:rPr>
          <w:rFonts w:hint="default" w:ascii="宋体" w:hAnsi="宋体" w:eastAsia="宋体" w:cs="宋体"/>
          <w:sz w:val="24"/>
          <w:szCs w:val="21"/>
          <w:lang w:val="en-US" w:eastAsia="zh-CN"/>
        </w:rPr>
        <w:t>2.5 质量要求：</w:t>
      </w:r>
      <w:r>
        <w:rPr>
          <w:rFonts w:hint="eastAsia" w:ascii="宋体" w:hAnsi="宋体" w:eastAsia="宋体" w:cs="宋体"/>
          <w:sz w:val="24"/>
          <w:szCs w:val="21"/>
          <w:highlight w:val="none"/>
          <w:lang w:val="en-US" w:eastAsia="zh-CN"/>
        </w:rPr>
        <w:t>工程质量符合《公路工程质量检验评定标准》(JTG F80∕1-2017)；竣(交)工验收依据《公路工程竣(交)工验收办法实施细则》(交公路发[2010]65号)规定，标段交工验收质量评定合格，竣工验收质量评定优良及符合现行房建工程施工质量验收标准以及相关专业验收规范的合格标准。</w:t>
      </w:r>
    </w:p>
    <w:p w14:paraId="5FA41170">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eastAsia" w:ascii="宋体" w:hAnsi="宋体" w:eastAsia="宋体" w:cs="宋体"/>
          <w:sz w:val="24"/>
          <w:szCs w:val="21"/>
          <w:highlight w:val="none"/>
          <w:lang w:val="en-US" w:eastAsia="zh-CN"/>
        </w:rPr>
      </w:pPr>
      <w:r>
        <w:rPr>
          <w:rFonts w:hint="default" w:ascii="宋体" w:hAnsi="宋体" w:eastAsia="宋体" w:cs="宋体"/>
          <w:sz w:val="24"/>
          <w:szCs w:val="21"/>
          <w:lang w:val="en-US" w:eastAsia="zh-CN"/>
        </w:rPr>
        <w:t>2.6 安全目标：</w:t>
      </w:r>
      <w:r>
        <w:rPr>
          <w:rFonts w:hint="eastAsia" w:ascii="宋体" w:hAnsi="宋体" w:eastAsia="宋体" w:cs="宋体"/>
          <w:sz w:val="24"/>
          <w:szCs w:val="21"/>
          <w:highlight w:val="none"/>
          <w:lang w:val="en-US" w:eastAsia="zh-CN"/>
        </w:rPr>
        <w:t>在项目建设过程中杜绝重大安全责任事故，避免发生较大安全责任事故，控制一般安全责任事故，各类生产安全责任事故死亡人数为零。</w:t>
      </w:r>
    </w:p>
    <w:p w14:paraId="0A158F4E">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eastAsia" w:ascii="宋体" w:hAnsi="宋体" w:eastAsia="宋体" w:cs="宋体"/>
          <w:sz w:val="24"/>
          <w:szCs w:val="21"/>
          <w:lang w:val="en-US" w:eastAsia="zh-CN"/>
        </w:rPr>
      </w:pPr>
      <w:r>
        <w:rPr>
          <w:rFonts w:hint="default" w:ascii="宋体" w:hAnsi="宋体" w:eastAsia="宋体" w:cs="宋体"/>
          <w:sz w:val="24"/>
          <w:szCs w:val="21"/>
          <w:lang w:val="en-US" w:eastAsia="zh-CN"/>
        </w:rPr>
        <w:t>2.7 标段划</w:t>
      </w:r>
      <w:r>
        <w:rPr>
          <w:rFonts w:hint="default" w:ascii="宋体" w:hAnsi="宋体" w:eastAsia="宋体" w:cs="宋体"/>
          <w:sz w:val="24"/>
          <w:szCs w:val="21"/>
          <w:highlight w:val="none"/>
          <w:lang w:val="en-US" w:eastAsia="zh-CN"/>
        </w:rPr>
        <w:t>分：本项目施工共计划分2个标段</w:t>
      </w:r>
      <w:r>
        <w:rPr>
          <w:rFonts w:hint="eastAsia" w:ascii="宋体" w:hAnsi="宋体" w:eastAsia="宋体" w:cs="宋体"/>
          <w:sz w:val="24"/>
          <w:szCs w:val="21"/>
          <w:highlight w:val="none"/>
          <w:lang w:val="en-US" w:eastAsia="zh-CN"/>
        </w:rPr>
        <w:t>，</w:t>
      </w:r>
      <w:r>
        <w:rPr>
          <w:rFonts w:hint="default" w:ascii="宋体" w:hAnsi="宋体" w:eastAsia="宋体" w:cs="宋体"/>
          <w:sz w:val="24"/>
          <w:szCs w:val="21"/>
          <w:highlight w:val="none"/>
          <w:lang w:val="en-US" w:eastAsia="zh-CN"/>
        </w:rPr>
        <w:t>各标段主要工程内容、主要工程量等情况见下表：</w:t>
      </w:r>
    </w:p>
    <w:tbl>
      <w:tblPr>
        <w:tblStyle w:val="6"/>
        <w:tblW w:w="0" w:type="auto"/>
        <w:jc w:val="center"/>
        <w:tblLayout w:type="autofit"/>
        <w:tblCellMar>
          <w:top w:w="0" w:type="dxa"/>
          <w:left w:w="108" w:type="dxa"/>
          <w:bottom w:w="0" w:type="dxa"/>
          <w:right w:w="108" w:type="dxa"/>
        </w:tblCellMar>
      </w:tblPr>
      <w:tblGrid>
        <w:gridCol w:w="426"/>
        <w:gridCol w:w="2316"/>
        <w:gridCol w:w="850"/>
        <w:gridCol w:w="3244"/>
        <w:gridCol w:w="1686"/>
      </w:tblGrid>
      <w:tr w14:paraId="703B76B7">
        <w:tblPrEx>
          <w:tblCellMar>
            <w:top w:w="0" w:type="dxa"/>
            <w:left w:w="108" w:type="dxa"/>
            <w:bottom w:w="0" w:type="dxa"/>
            <w:right w:w="108" w:type="dxa"/>
          </w:tblCellMar>
        </w:tblPrEx>
        <w:trPr>
          <w:trHeight w:val="675"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14:paraId="35858DA9">
            <w:pPr>
              <w:widowControl/>
              <w:jc w:val="center"/>
              <w:rPr>
                <w:rFonts w:ascii="宋体" w:hAnsi="宋体" w:cs="宋体"/>
                <w:kern w:val="0"/>
                <w:szCs w:val="21"/>
              </w:rPr>
            </w:pPr>
            <w:r>
              <w:rPr>
                <w:rFonts w:hint="eastAsia" w:ascii="宋体" w:hAnsi="宋体" w:cs="宋体"/>
                <w:kern w:val="0"/>
                <w:szCs w:val="21"/>
              </w:rPr>
              <w:t>标段</w:t>
            </w:r>
          </w:p>
        </w:tc>
        <w:tc>
          <w:tcPr>
            <w:tcW w:w="0" w:type="auto"/>
            <w:tcBorders>
              <w:top w:val="single" w:color="auto" w:sz="4" w:space="0"/>
              <w:left w:val="nil"/>
              <w:bottom w:val="single" w:color="auto" w:sz="4" w:space="0"/>
              <w:right w:val="single" w:color="auto" w:sz="4" w:space="0"/>
            </w:tcBorders>
            <w:vAlign w:val="center"/>
          </w:tcPr>
          <w:p w14:paraId="774DDA26">
            <w:pPr>
              <w:widowControl/>
              <w:jc w:val="center"/>
              <w:rPr>
                <w:rFonts w:hint="eastAsia" w:eastAsia="宋体"/>
                <w:lang w:eastAsia="zh-CN"/>
              </w:rPr>
            </w:pPr>
            <w:r>
              <w:rPr>
                <w:rFonts w:hint="eastAsia"/>
              </w:rPr>
              <w:t>起讫桩号</w:t>
            </w:r>
            <w:r>
              <w:rPr>
                <w:rFonts w:hint="eastAsia" w:eastAsia="宋体"/>
                <w:lang w:eastAsia="zh-CN"/>
              </w:rPr>
              <w:t>及</w:t>
            </w:r>
          </w:p>
          <w:p w14:paraId="57255A3F">
            <w:pPr>
              <w:pStyle w:val="2"/>
              <w:jc w:val="center"/>
              <w:rPr>
                <w:rFonts w:hint="eastAsia"/>
                <w:lang w:eastAsia="zh-CN"/>
              </w:rPr>
            </w:pPr>
            <w:r>
              <w:rPr>
                <w:rFonts w:hint="eastAsia"/>
                <w:lang w:eastAsia="zh-CN"/>
              </w:rPr>
              <w:t>桥位中心桩号</w:t>
            </w:r>
          </w:p>
        </w:tc>
        <w:tc>
          <w:tcPr>
            <w:tcW w:w="853" w:type="dxa"/>
            <w:tcBorders>
              <w:top w:val="single" w:color="auto" w:sz="4" w:space="0"/>
              <w:left w:val="nil"/>
              <w:bottom w:val="single" w:color="auto" w:sz="4" w:space="0"/>
              <w:right w:val="single" w:color="auto" w:sz="4" w:space="0"/>
            </w:tcBorders>
            <w:vAlign w:val="center"/>
          </w:tcPr>
          <w:p w14:paraId="53737EEE">
            <w:pPr>
              <w:widowControl/>
              <w:jc w:val="center"/>
              <w:rPr>
                <w:rFonts w:ascii="宋体" w:hAnsi="宋体" w:cs="宋体"/>
                <w:kern w:val="0"/>
                <w:szCs w:val="21"/>
              </w:rPr>
            </w:pPr>
            <w:r>
              <w:rPr>
                <w:rFonts w:hint="eastAsia" w:ascii="宋体" w:hAnsi="宋体" w:cs="宋体"/>
                <w:kern w:val="0"/>
                <w:szCs w:val="21"/>
              </w:rPr>
              <w:t>长度</w:t>
            </w:r>
            <w:r>
              <w:rPr>
                <w:rFonts w:hint="eastAsia" w:ascii="宋体" w:hAnsi="宋体" w:cs="宋体"/>
                <w:kern w:val="0"/>
                <w:szCs w:val="21"/>
              </w:rPr>
              <w:br w:type="textWrapping"/>
            </w:r>
            <w:r>
              <w:rPr>
                <w:rFonts w:hint="eastAsia" w:ascii="宋体" w:hAnsi="宋体" w:cs="宋体"/>
                <w:kern w:val="0"/>
                <w:szCs w:val="21"/>
              </w:rPr>
              <w:t>(</w:t>
            </w:r>
            <w:r>
              <w:rPr>
                <w:rFonts w:hint="eastAsia" w:ascii="宋体" w:hAnsi="宋体" w:eastAsia="宋体" w:cs="宋体"/>
                <w:kern w:val="0"/>
                <w:szCs w:val="21"/>
                <w:lang w:val="en-US" w:eastAsia="zh-CN"/>
              </w:rPr>
              <w:t>km</w:t>
            </w:r>
            <w:r>
              <w:rPr>
                <w:rFonts w:hint="eastAsia" w:ascii="宋体" w:hAnsi="宋体" w:cs="宋体"/>
                <w:kern w:val="0"/>
                <w:szCs w:val="21"/>
              </w:rPr>
              <w:t>)</w:t>
            </w:r>
          </w:p>
        </w:tc>
        <w:tc>
          <w:tcPr>
            <w:tcW w:w="5120" w:type="dxa"/>
            <w:tcBorders>
              <w:top w:val="single" w:color="auto" w:sz="4" w:space="0"/>
              <w:left w:val="nil"/>
              <w:bottom w:val="single" w:color="auto" w:sz="4" w:space="0"/>
              <w:right w:val="single" w:color="auto" w:sz="4" w:space="0"/>
            </w:tcBorders>
            <w:vAlign w:val="center"/>
          </w:tcPr>
          <w:p w14:paraId="4385BD07">
            <w:pPr>
              <w:widowControl/>
              <w:jc w:val="center"/>
              <w:rPr>
                <w:rFonts w:ascii="宋体" w:hAnsi="宋体" w:cs="宋体"/>
                <w:kern w:val="0"/>
                <w:szCs w:val="21"/>
              </w:rPr>
            </w:pPr>
            <w:r>
              <w:rPr>
                <w:rFonts w:hint="eastAsia" w:ascii="宋体" w:hAnsi="宋体" w:cs="宋体"/>
                <w:kern w:val="0"/>
                <w:szCs w:val="21"/>
              </w:rPr>
              <w:t>招标内容</w:t>
            </w:r>
          </w:p>
        </w:tc>
        <w:tc>
          <w:tcPr>
            <w:tcW w:w="1266" w:type="dxa"/>
            <w:tcBorders>
              <w:top w:val="single" w:color="auto" w:sz="4" w:space="0"/>
              <w:left w:val="nil"/>
              <w:bottom w:val="single" w:color="auto" w:sz="4" w:space="0"/>
              <w:right w:val="single" w:color="auto" w:sz="4" w:space="0"/>
            </w:tcBorders>
            <w:vAlign w:val="center"/>
          </w:tcPr>
          <w:p w14:paraId="3AC13D57">
            <w:pPr>
              <w:widowControl/>
              <w:jc w:val="center"/>
              <w:rPr>
                <w:rFonts w:ascii="宋体" w:hAnsi="宋体" w:cs="宋体"/>
                <w:kern w:val="0"/>
                <w:szCs w:val="21"/>
              </w:rPr>
            </w:pPr>
            <w:r>
              <w:rPr>
                <w:rFonts w:hint="eastAsia" w:ascii="宋体" w:hAnsi="宋体" w:eastAsia="宋体" w:cs="宋体"/>
                <w:kern w:val="0"/>
                <w:szCs w:val="21"/>
                <w:lang w:eastAsia="zh-CN"/>
              </w:rPr>
              <w:t>最高投标限价</w:t>
            </w:r>
            <w:r>
              <w:rPr>
                <w:rFonts w:hint="eastAsia" w:ascii="宋体" w:hAnsi="宋体" w:cs="宋体"/>
                <w:kern w:val="0"/>
                <w:szCs w:val="21"/>
              </w:rPr>
              <w:t>（元）</w:t>
            </w:r>
          </w:p>
        </w:tc>
      </w:tr>
      <w:tr w14:paraId="095AD1D5">
        <w:tblPrEx>
          <w:tblCellMar>
            <w:top w:w="0" w:type="dxa"/>
            <w:left w:w="108" w:type="dxa"/>
            <w:bottom w:w="0" w:type="dxa"/>
            <w:right w:w="108" w:type="dxa"/>
          </w:tblCellMar>
        </w:tblPrEx>
        <w:trPr>
          <w:trHeight w:val="1220" w:hRule="atLeast"/>
          <w:jc w:val="center"/>
        </w:trPr>
        <w:tc>
          <w:tcPr>
            <w:tcW w:w="0" w:type="auto"/>
            <w:tcBorders>
              <w:top w:val="nil"/>
              <w:left w:val="single" w:color="auto" w:sz="4" w:space="0"/>
              <w:bottom w:val="single" w:color="auto" w:sz="4" w:space="0"/>
              <w:right w:val="single" w:color="auto" w:sz="4" w:space="0"/>
            </w:tcBorders>
            <w:vAlign w:val="center"/>
          </w:tcPr>
          <w:p w14:paraId="57713A85">
            <w:pPr>
              <w:widowControl/>
              <w:jc w:val="center"/>
              <w:rPr>
                <w:rFonts w:ascii="宋体" w:hAnsi="宋体" w:cs="宋体"/>
                <w:kern w:val="0"/>
                <w:szCs w:val="21"/>
              </w:rPr>
            </w:pPr>
            <w:r>
              <w:rPr>
                <w:rFonts w:hint="eastAsia" w:ascii="宋体" w:hAnsi="宋体" w:cs="宋体"/>
                <w:kern w:val="0"/>
                <w:szCs w:val="21"/>
              </w:rPr>
              <w:t>A1</w:t>
            </w:r>
          </w:p>
        </w:tc>
        <w:tc>
          <w:tcPr>
            <w:tcW w:w="0" w:type="auto"/>
            <w:tcBorders>
              <w:top w:val="nil"/>
              <w:left w:val="nil"/>
              <w:bottom w:val="single" w:color="auto" w:sz="4" w:space="0"/>
              <w:right w:val="nil"/>
            </w:tcBorders>
            <w:vAlign w:val="center"/>
          </w:tcPr>
          <w:p w14:paraId="2D0C439D">
            <w:pPr>
              <w:jc w:val="center"/>
              <w:rPr>
                <w:rFonts w:hint="eastAsia" w:eastAsia="宋体"/>
                <w:lang w:val="en-US" w:eastAsia="zh-CN"/>
              </w:rPr>
            </w:pPr>
            <w:r>
              <w:rPr>
                <w:rFonts w:hint="eastAsia" w:ascii="宋体" w:hAnsi="宋体" w:eastAsia="宋体" w:cs="宋体"/>
                <w:kern w:val="0"/>
                <w:szCs w:val="21"/>
                <w:lang w:eastAsia="zh-CN"/>
              </w:rPr>
              <w:t>K49+500-K95+000</w:t>
            </w:r>
          </w:p>
        </w:tc>
        <w:tc>
          <w:tcPr>
            <w:tcW w:w="853" w:type="dxa"/>
            <w:tcBorders>
              <w:top w:val="nil"/>
              <w:left w:val="single" w:color="auto" w:sz="4" w:space="0"/>
              <w:bottom w:val="single" w:color="auto" w:sz="4" w:space="0"/>
              <w:right w:val="single" w:color="auto" w:sz="4" w:space="0"/>
            </w:tcBorders>
            <w:vAlign w:val="center"/>
          </w:tcPr>
          <w:p w14:paraId="6CF1EEAC">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45.5</w:t>
            </w:r>
          </w:p>
        </w:tc>
        <w:tc>
          <w:tcPr>
            <w:tcW w:w="5120" w:type="dxa"/>
            <w:tcBorders>
              <w:top w:val="nil"/>
              <w:left w:val="nil"/>
              <w:bottom w:val="single" w:color="auto" w:sz="4" w:space="0"/>
              <w:right w:val="single" w:color="auto" w:sz="4" w:space="0"/>
            </w:tcBorders>
            <w:vAlign w:val="center"/>
          </w:tcPr>
          <w:p w14:paraId="6A680902">
            <w:pPr>
              <w:jc w:val="left"/>
              <w:rPr>
                <w:rFonts w:hint="default" w:ascii="宋体" w:hAnsi="宋体" w:cs="宋体"/>
                <w:kern w:val="0"/>
                <w:szCs w:val="21"/>
                <w:lang w:val="en-US"/>
              </w:rPr>
            </w:pPr>
            <w:r>
              <w:rPr>
                <w:rFonts w:hint="eastAsia" w:ascii="宋体" w:hAnsi="宋体" w:cs="宋体"/>
                <w:kern w:val="0"/>
                <w:szCs w:val="21"/>
                <w:lang w:val="en-US" w:eastAsia="zh-CN"/>
              </w:rPr>
              <w:t>包含桩号范围内的路基路面、小桥5座、涵洞、交通安全设施、道班用房、附属用房及配套工程、环保绿化等。</w:t>
            </w:r>
          </w:p>
        </w:tc>
        <w:tc>
          <w:tcPr>
            <w:tcW w:w="1266" w:type="dxa"/>
            <w:tcBorders>
              <w:top w:val="nil"/>
              <w:left w:val="nil"/>
              <w:bottom w:val="single" w:color="auto" w:sz="4" w:space="0"/>
              <w:right w:val="single" w:color="auto" w:sz="4" w:space="0"/>
            </w:tcBorders>
            <w:vAlign w:val="center"/>
          </w:tcPr>
          <w:p w14:paraId="79DACAE2">
            <w:pPr>
              <w:widowControl/>
              <w:jc w:val="center"/>
              <w:textAlignment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447,926,103.00</w:t>
            </w:r>
          </w:p>
        </w:tc>
      </w:tr>
      <w:tr w14:paraId="1365C99E">
        <w:tblPrEx>
          <w:tblCellMar>
            <w:top w:w="0" w:type="dxa"/>
            <w:left w:w="108" w:type="dxa"/>
            <w:bottom w:w="0" w:type="dxa"/>
            <w:right w:w="108" w:type="dxa"/>
          </w:tblCellMar>
        </w:tblPrEx>
        <w:trPr>
          <w:trHeight w:val="986" w:hRule="atLeast"/>
          <w:jc w:val="center"/>
        </w:trPr>
        <w:tc>
          <w:tcPr>
            <w:tcW w:w="0" w:type="auto"/>
            <w:tcBorders>
              <w:top w:val="nil"/>
              <w:left w:val="single" w:color="auto" w:sz="4" w:space="0"/>
              <w:bottom w:val="single" w:color="auto" w:sz="4" w:space="0"/>
              <w:right w:val="single" w:color="auto" w:sz="4" w:space="0"/>
            </w:tcBorders>
            <w:vAlign w:val="center"/>
          </w:tcPr>
          <w:p w14:paraId="5584FF11">
            <w:pPr>
              <w:widowControl/>
              <w:jc w:val="center"/>
              <w:rPr>
                <w:rFonts w:ascii="宋体" w:hAnsi="宋体" w:cs="宋体"/>
                <w:kern w:val="0"/>
                <w:szCs w:val="21"/>
              </w:rPr>
            </w:pPr>
            <w:r>
              <w:rPr>
                <w:rFonts w:hint="eastAsia" w:ascii="宋体" w:hAnsi="宋体" w:cs="宋体"/>
                <w:kern w:val="0"/>
                <w:szCs w:val="21"/>
                <w:lang w:val="en-US" w:eastAsia="zh-CN"/>
              </w:rPr>
              <w:t>A2</w:t>
            </w:r>
          </w:p>
        </w:tc>
        <w:tc>
          <w:tcPr>
            <w:tcW w:w="0" w:type="auto"/>
            <w:tcBorders>
              <w:top w:val="nil"/>
              <w:left w:val="nil"/>
              <w:bottom w:val="single" w:color="auto" w:sz="4" w:space="0"/>
              <w:right w:val="nil"/>
            </w:tcBorders>
            <w:vAlign w:val="center"/>
          </w:tcPr>
          <w:p w14:paraId="4A9B4AD4">
            <w:pPr>
              <w:jc w:val="left"/>
              <w:rPr>
                <w:rFonts w:hint="default" w:ascii="宋体" w:hAnsi="宋体" w:cs="宋体"/>
                <w:kern w:val="0"/>
                <w:szCs w:val="21"/>
                <w:lang w:val="en-US" w:eastAsia="zh-CN"/>
              </w:rPr>
            </w:pPr>
            <w:r>
              <w:rPr>
                <w:rFonts w:hint="eastAsia" w:ascii="宋体" w:hAnsi="宋体" w:cs="宋体"/>
                <w:kern w:val="0"/>
                <w:szCs w:val="21"/>
                <w:lang w:val="en-US" w:eastAsia="zh-CN"/>
              </w:rPr>
              <w:t>K95+000-K115+722.382</w:t>
            </w:r>
          </w:p>
          <w:p w14:paraId="2CD44A17">
            <w:pPr>
              <w:jc w:val="left"/>
              <w:rPr>
                <w:rFonts w:hint="default" w:ascii="宋体" w:hAnsi="宋体" w:cs="宋体"/>
                <w:kern w:val="0"/>
                <w:szCs w:val="21"/>
                <w:lang w:val="en-US" w:eastAsia="zh-CN"/>
              </w:rPr>
            </w:pPr>
          </w:p>
        </w:tc>
        <w:tc>
          <w:tcPr>
            <w:tcW w:w="853" w:type="dxa"/>
            <w:tcBorders>
              <w:top w:val="nil"/>
              <w:left w:val="single" w:color="auto" w:sz="4" w:space="0"/>
              <w:bottom w:val="single" w:color="auto" w:sz="4" w:space="0"/>
              <w:right w:val="single" w:color="auto" w:sz="4" w:space="0"/>
            </w:tcBorders>
            <w:vAlign w:val="center"/>
          </w:tcPr>
          <w:p w14:paraId="168C7775">
            <w:pPr>
              <w:jc w:val="left"/>
              <w:rPr>
                <w:rFonts w:hint="default" w:ascii="宋体" w:hAnsi="宋体" w:cs="宋体"/>
                <w:kern w:val="0"/>
                <w:szCs w:val="21"/>
                <w:lang w:val="en-US" w:eastAsia="zh-CN"/>
              </w:rPr>
            </w:pPr>
            <w:r>
              <w:rPr>
                <w:rFonts w:hint="eastAsia" w:ascii="宋体" w:hAnsi="宋体" w:cs="宋体"/>
                <w:kern w:val="0"/>
                <w:szCs w:val="21"/>
                <w:lang w:val="en-US" w:eastAsia="zh-CN"/>
              </w:rPr>
              <w:t>20.722</w:t>
            </w:r>
          </w:p>
        </w:tc>
        <w:tc>
          <w:tcPr>
            <w:tcW w:w="5120" w:type="dxa"/>
            <w:tcBorders>
              <w:top w:val="nil"/>
              <w:left w:val="nil"/>
              <w:bottom w:val="single" w:color="auto" w:sz="4" w:space="0"/>
              <w:right w:val="single" w:color="auto" w:sz="4" w:space="0"/>
            </w:tcBorders>
            <w:vAlign w:val="center"/>
          </w:tcPr>
          <w:p w14:paraId="6BFFC4CD">
            <w:pPr>
              <w:jc w:val="left"/>
              <w:rPr>
                <w:rFonts w:hint="default" w:ascii="宋体" w:hAnsi="宋体" w:cs="宋体"/>
                <w:kern w:val="0"/>
                <w:szCs w:val="21"/>
                <w:lang w:val="en-US" w:eastAsia="zh-CN"/>
              </w:rPr>
            </w:pPr>
            <w:r>
              <w:rPr>
                <w:rFonts w:hint="eastAsia" w:ascii="宋体" w:hAnsi="宋体" w:cs="宋体"/>
                <w:kern w:val="0"/>
                <w:szCs w:val="21"/>
                <w:lang w:val="en-US" w:eastAsia="zh-CN"/>
              </w:rPr>
              <w:t>包含桩号范围内的路基路面、小桥3座、涵洞及交通安全设施、环保绿化等。</w:t>
            </w:r>
          </w:p>
        </w:tc>
        <w:tc>
          <w:tcPr>
            <w:tcW w:w="1266" w:type="dxa"/>
            <w:tcBorders>
              <w:top w:val="nil"/>
              <w:left w:val="nil"/>
              <w:bottom w:val="single" w:color="auto" w:sz="4" w:space="0"/>
              <w:right w:val="single" w:color="auto" w:sz="4" w:space="0"/>
            </w:tcBorders>
            <w:vAlign w:val="center"/>
          </w:tcPr>
          <w:p w14:paraId="5A097A3D">
            <w:pPr>
              <w:jc w:val="left"/>
              <w:rPr>
                <w:rFonts w:hint="default" w:ascii="宋体" w:hAnsi="宋体" w:cs="宋体"/>
                <w:kern w:val="0"/>
                <w:szCs w:val="21"/>
                <w:lang w:val="en-US" w:eastAsia="zh-CN"/>
              </w:rPr>
            </w:pPr>
            <w:r>
              <w:rPr>
                <w:rFonts w:hint="eastAsia" w:ascii="宋体" w:hAnsi="宋体" w:cs="宋体"/>
                <w:kern w:val="0"/>
                <w:szCs w:val="21"/>
                <w:lang w:val="en-US" w:eastAsia="zh-CN"/>
              </w:rPr>
              <w:t>205,437,425.00</w:t>
            </w:r>
          </w:p>
        </w:tc>
      </w:tr>
    </w:tbl>
    <w:p w14:paraId="626AA423">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rPr>
      </w:pPr>
      <w:r>
        <w:rPr>
          <w:rFonts w:hint="default" w:ascii="宋体" w:hAnsi="宋体" w:eastAsia="宋体" w:cs="宋体"/>
          <w:sz w:val="24"/>
          <w:szCs w:val="21"/>
          <w:lang w:val="en-US" w:eastAsia="zh-CN"/>
        </w:rPr>
        <w:t>2.8 招标</w:t>
      </w:r>
      <w:r>
        <w:rPr>
          <w:rFonts w:hint="eastAsia" w:ascii="宋体" w:hAnsi="宋体" w:eastAsia="宋体" w:cs="宋体"/>
          <w:sz w:val="24"/>
          <w:szCs w:val="21"/>
          <w:highlight w:val="none"/>
          <w:lang w:val="en-US" w:eastAsia="zh-CN"/>
        </w:rPr>
        <w:t>最高投标限</w:t>
      </w:r>
      <w:r>
        <w:rPr>
          <w:rFonts w:hint="default" w:ascii="宋体" w:hAnsi="宋体" w:eastAsia="宋体" w:cs="宋体"/>
          <w:sz w:val="24"/>
          <w:szCs w:val="21"/>
          <w:highlight w:val="none"/>
          <w:lang w:val="en-US" w:eastAsia="zh-CN"/>
        </w:rPr>
        <w:t>价：A1标段：</w:t>
      </w:r>
      <w:r>
        <w:rPr>
          <w:rFonts w:hint="eastAsia" w:ascii="宋体" w:hAnsi="宋体" w:eastAsia="宋体" w:cs="宋体"/>
          <w:sz w:val="24"/>
          <w:szCs w:val="21"/>
          <w:highlight w:val="none"/>
          <w:lang w:val="en-US" w:eastAsia="zh-CN"/>
        </w:rPr>
        <w:t>447,926,103.00元</w:t>
      </w:r>
      <w:r>
        <w:rPr>
          <w:rFonts w:hint="default" w:ascii="宋体" w:hAnsi="宋体" w:eastAsia="宋体" w:cs="宋体"/>
          <w:sz w:val="24"/>
          <w:szCs w:val="21"/>
          <w:highlight w:val="none"/>
          <w:lang w:val="en-US" w:eastAsia="zh-CN"/>
        </w:rPr>
        <w:t>；</w:t>
      </w:r>
      <w:r>
        <w:rPr>
          <w:rFonts w:hint="eastAsia" w:ascii="宋体" w:hAnsi="宋体" w:eastAsia="宋体" w:cs="宋体"/>
          <w:sz w:val="24"/>
          <w:szCs w:val="21"/>
          <w:highlight w:val="none"/>
          <w:lang w:val="en-US" w:eastAsia="zh-CN"/>
        </w:rPr>
        <w:t>A2</w:t>
      </w:r>
      <w:r>
        <w:rPr>
          <w:rFonts w:hint="default" w:ascii="宋体" w:hAnsi="宋体" w:eastAsia="宋体" w:cs="宋体"/>
          <w:sz w:val="24"/>
          <w:szCs w:val="21"/>
          <w:highlight w:val="none"/>
          <w:lang w:val="en-US" w:eastAsia="zh-CN"/>
        </w:rPr>
        <w:t>标段：</w:t>
      </w:r>
      <w:r>
        <w:rPr>
          <w:rFonts w:hint="eastAsia" w:ascii="宋体" w:hAnsi="宋体" w:eastAsia="宋体" w:cs="宋体"/>
          <w:sz w:val="24"/>
          <w:szCs w:val="21"/>
          <w:highlight w:val="none"/>
          <w:lang w:val="en-US" w:eastAsia="zh-CN"/>
        </w:rPr>
        <w:t>205,437,425.00元</w:t>
      </w:r>
      <w:r>
        <w:rPr>
          <w:rFonts w:hint="default" w:ascii="宋体" w:hAnsi="宋体" w:eastAsia="宋体" w:cs="宋体"/>
          <w:sz w:val="24"/>
          <w:szCs w:val="21"/>
          <w:highlight w:val="none"/>
          <w:lang w:val="en-US" w:eastAsia="zh-CN"/>
        </w:rPr>
        <w:t>。</w:t>
      </w:r>
      <w:r>
        <w:rPr>
          <w:rFonts w:hint="default" w:ascii="宋体" w:hAnsi="宋体" w:eastAsia="宋体" w:cs="宋体"/>
          <w:sz w:val="24"/>
          <w:szCs w:val="21"/>
          <w:lang w:val="en-US" w:eastAsia="zh-CN"/>
        </w:rPr>
        <w:t> </w:t>
      </w:r>
    </w:p>
    <w:p w14:paraId="66A7A559">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textAlignment w:val="baseline"/>
        <w:rPr>
          <w:rFonts w:hint="default" w:ascii="宋体" w:hAnsi="宋体" w:eastAsia="宋体" w:cs="宋体"/>
          <w:sz w:val="24"/>
          <w:szCs w:val="21"/>
        </w:rPr>
      </w:pPr>
      <w:r>
        <w:rPr>
          <w:rFonts w:hint="default" w:ascii="宋体" w:hAnsi="宋体" w:eastAsia="宋体" w:cs="宋体"/>
          <w:sz w:val="24"/>
          <w:szCs w:val="21"/>
          <w:lang w:val="en-US" w:eastAsia="zh-CN"/>
        </w:rPr>
        <w:t>3. 投标人资格要求 </w:t>
      </w:r>
    </w:p>
    <w:p w14:paraId="5785458D">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rPr>
      </w:pPr>
      <w:r>
        <w:rPr>
          <w:rFonts w:hint="default" w:ascii="宋体" w:hAnsi="宋体" w:eastAsia="宋体" w:cs="宋体"/>
          <w:sz w:val="24"/>
          <w:szCs w:val="21"/>
          <w:lang w:val="en-US" w:eastAsia="zh-CN"/>
        </w:rPr>
        <w:t>3.1本次招标要求投标人须具备国内独立法人资格，持有</w:t>
      </w:r>
      <w:r>
        <w:rPr>
          <w:rFonts w:hint="eastAsia" w:ascii="宋体" w:hAnsi="宋体" w:eastAsia="宋体" w:cs="宋体"/>
          <w:sz w:val="24"/>
          <w:szCs w:val="21"/>
          <w:lang w:val="en-US" w:eastAsia="zh-CN"/>
        </w:rPr>
        <w:t>市场监督管理部门</w:t>
      </w:r>
      <w:r>
        <w:rPr>
          <w:rFonts w:hint="default" w:ascii="宋体" w:hAnsi="宋体" w:eastAsia="宋体" w:cs="宋体"/>
          <w:sz w:val="24"/>
          <w:szCs w:val="21"/>
          <w:lang w:val="en-US" w:eastAsia="zh-CN"/>
        </w:rPr>
        <w:t>核发的企业法人营业执照，具有有效的安全生产许可证，具备下列条件并在人员、设备、资金等方面具有相应的施工能力的施工企业，均可申请投标； </w:t>
      </w:r>
    </w:p>
    <w:p w14:paraId="3738FBBB">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（1）资质要求：</w:t>
      </w:r>
    </w:p>
    <w:p w14:paraId="75D47753">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lang w:val="en-US" w:eastAsia="zh-CN"/>
        </w:rPr>
      </w:pPr>
      <w:r>
        <w:rPr>
          <w:rFonts w:hint="eastAsia" w:ascii="宋体" w:hAnsi="宋体" w:eastAsia="宋体" w:cs="宋体"/>
          <w:sz w:val="24"/>
          <w:szCs w:val="21"/>
          <w:lang w:val="en-US" w:eastAsia="zh-CN"/>
        </w:rPr>
        <w:t>A1标段：投标人须具备建设行政主管部门颁发的公路工程施工总承包三级及以上资质（含三级）和房屋建筑工程施工总承包三级及以上资质（含三级）</w:t>
      </w:r>
      <w:r>
        <w:rPr>
          <w:rFonts w:hint="default" w:ascii="宋体" w:hAnsi="宋体" w:eastAsia="宋体" w:cs="宋体"/>
          <w:color w:val="auto"/>
          <w:sz w:val="24"/>
          <w:szCs w:val="21"/>
          <w:highlight w:val="none"/>
          <w:lang w:val="en-US" w:eastAsia="zh-CN"/>
        </w:rPr>
        <w:t>。</w:t>
      </w:r>
      <w:r>
        <w:rPr>
          <w:rFonts w:hint="default" w:ascii="宋体" w:hAnsi="宋体" w:eastAsia="宋体" w:cs="宋体"/>
          <w:sz w:val="24"/>
          <w:szCs w:val="21"/>
          <w:lang w:val="en-US" w:eastAsia="zh-CN"/>
        </w:rPr>
        <w:t>投标人应进入交通运输部"全国公路建设市场信用信息管理系统（</w:t>
      </w:r>
      <w:r>
        <w:rPr>
          <w:rFonts w:hint="eastAsia" w:ascii="宋体" w:hAnsi="宋体" w:eastAsia="宋体" w:cs="宋体"/>
          <w:sz w:val="24"/>
          <w:szCs w:val="21"/>
          <w:lang w:val="en-US" w:eastAsia="zh-CN"/>
        </w:rPr>
        <w:t>http://hwdms.mot.gov.cn/</w:t>
      </w:r>
      <w:r>
        <w:rPr>
          <w:rFonts w:hint="default" w:ascii="宋体" w:hAnsi="宋体" w:eastAsia="宋体" w:cs="宋体"/>
          <w:sz w:val="24"/>
          <w:szCs w:val="21"/>
          <w:lang w:val="en-US" w:eastAsia="zh-CN"/>
        </w:rPr>
        <w:t>）"中的公路工程施工资质企业名录，且投标人名称和资质与该名录中的相应企业名称和资质完全一致，否则否决其投标。 </w:t>
      </w:r>
    </w:p>
    <w:p w14:paraId="3D786E4C">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lang w:val="en-US" w:eastAsia="zh-CN"/>
        </w:rPr>
      </w:pPr>
      <w:r>
        <w:rPr>
          <w:rFonts w:hint="eastAsia" w:ascii="宋体" w:hAnsi="宋体" w:eastAsia="宋体" w:cs="宋体"/>
          <w:sz w:val="24"/>
          <w:szCs w:val="21"/>
          <w:lang w:val="en-US" w:eastAsia="zh-CN"/>
        </w:rPr>
        <w:t>A2标段：投标人须具备建设行政主管部门颁发的公路工程施工总承包三级及以上资质（含三级）</w:t>
      </w:r>
      <w:r>
        <w:rPr>
          <w:rFonts w:hint="default" w:ascii="宋体" w:hAnsi="宋体" w:eastAsia="宋体" w:cs="宋体"/>
          <w:color w:val="auto"/>
          <w:sz w:val="24"/>
          <w:szCs w:val="21"/>
          <w:highlight w:val="none"/>
          <w:lang w:val="en-US" w:eastAsia="zh-CN"/>
        </w:rPr>
        <w:t>。</w:t>
      </w:r>
      <w:r>
        <w:rPr>
          <w:rFonts w:hint="default" w:ascii="宋体" w:hAnsi="宋体" w:eastAsia="宋体" w:cs="宋体"/>
          <w:sz w:val="24"/>
          <w:szCs w:val="21"/>
          <w:lang w:val="en-US" w:eastAsia="zh-CN"/>
        </w:rPr>
        <w:t>投标人应进入交通运输部"全国公路建设市场信用信息管理系统（</w:t>
      </w:r>
      <w:r>
        <w:rPr>
          <w:rFonts w:hint="eastAsia" w:ascii="宋体" w:hAnsi="宋体" w:eastAsia="宋体" w:cs="宋体"/>
          <w:sz w:val="24"/>
          <w:szCs w:val="21"/>
          <w:lang w:val="en-US" w:eastAsia="zh-CN"/>
        </w:rPr>
        <w:t>http://hwdms.mot.gov.cn/</w:t>
      </w:r>
      <w:r>
        <w:rPr>
          <w:rFonts w:hint="default" w:ascii="宋体" w:hAnsi="宋体" w:eastAsia="宋体" w:cs="宋体"/>
          <w:sz w:val="24"/>
          <w:szCs w:val="21"/>
          <w:lang w:val="en-US" w:eastAsia="zh-CN"/>
        </w:rPr>
        <w:t>）"中的公路工程施工资质企业名录，且投标人名称和资质与该名录中的相应企业名称和资质完全一致，否则否决其投标。 </w:t>
      </w:r>
    </w:p>
    <w:p w14:paraId="634C7C9A">
      <w:pPr>
        <w:spacing w:before="78" w:line="220" w:lineRule="auto"/>
        <w:ind w:left="117" w:firstLine="240" w:firstLineChars="100"/>
        <w:rPr>
          <w:rFonts w:ascii="Arial"/>
          <w:sz w:val="21"/>
        </w:rPr>
      </w:pPr>
      <w:r>
        <w:rPr>
          <w:rFonts w:hint="eastAsia" w:ascii="宋体" w:hAnsi="宋体" w:eastAsia="宋体" w:cs="宋体"/>
          <w:sz w:val="24"/>
          <w:szCs w:val="21"/>
          <w:lang w:val="en-US" w:eastAsia="zh-CN"/>
        </w:rPr>
        <w:t>（2）</w:t>
      </w:r>
      <w:r>
        <w:rPr>
          <w:rFonts w:ascii="宋体" w:hAnsi="宋体" w:eastAsia="宋体" w:cs="宋体"/>
          <w:spacing w:val="14"/>
          <w:sz w:val="24"/>
          <w:szCs w:val="24"/>
        </w:rPr>
        <w:t>投</w:t>
      </w:r>
      <w:r>
        <w:rPr>
          <w:rFonts w:ascii="宋体" w:hAnsi="宋体" w:eastAsia="宋体" w:cs="宋体"/>
          <w:spacing w:val="12"/>
          <w:sz w:val="24"/>
          <w:szCs w:val="24"/>
        </w:rPr>
        <w:t>标</w:t>
      </w:r>
      <w:r>
        <w:rPr>
          <w:rFonts w:ascii="宋体" w:hAnsi="宋体" w:eastAsia="宋体" w:cs="宋体"/>
          <w:spacing w:val="7"/>
          <w:sz w:val="24"/>
          <w:szCs w:val="24"/>
        </w:rPr>
        <w:t>企业近三年(20</w:t>
      </w:r>
      <w:r>
        <w:rPr>
          <w:rFonts w:hint="eastAsia" w:ascii="宋体" w:hAnsi="宋体" w:eastAsia="宋体" w:cs="宋体"/>
          <w:spacing w:val="7"/>
          <w:sz w:val="24"/>
          <w:szCs w:val="24"/>
          <w:lang w:val="en-US" w:eastAsia="zh-CN"/>
        </w:rPr>
        <w:t>22</w:t>
      </w:r>
      <w:r>
        <w:rPr>
          <w:rFonts w:ascii="宋体" w:hAnsi="宋体" w:eastAsia="宋体" w:cs="宋体"/>
          <w:spacing w:val="7"/>
          <w:sz w:val="24"/>
          <w:szCs w:val="24"/>
        </w:rPr>
        <w:t>-20</w:t>
      </w:r>
      <w:r>
        <w:rPr>
          <w:rFonts w:hint="eastAsia" w:ascii="宋体" w:hAnsi="宋体" w:eastAsia="宋体" w:cs="宋体"/>
          <w:spacing w:val="7"/>
          <w:sz w:val="24"/>
          <w:szCs w:val="24"/>
          <w:lang w:val="en-US" w:eastAsia="zh-CN"/>
        </w:rPr>
        <w:t>24</w:t>
      </w:r>
      <w:r>
        <w:rPr>
          <w:rFonts w:ascii="宋体" w:hAnsi="宋体" w:eastAsia="宋体" w:cs="宋体"/>
          <w:spacing w:val="7"/>
          <w:sz w:val="24"/>
          <w:szCs w:val="24"/>
        </w:rPr>
        <w:t>年)的财务审计报告。</w:t>
      </w:r>
    </w:p>
    <w:p w14:paraId="0873A7B0">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lang w:val="en-US" w:eastAsia="zh-CN"/>
        </w:rPr>
      </w:pPr>
      <w:r>
        <w:rPr>
          <w:rFonts w:hint="default" w:ascii="宋体" w:hAnsi="宋体" w:eastAsia="宋体" w:cs="宋体"/>
          <w:sz w:val="24"/>
          <w:szCs w:val="24"/>
          <w:lang w:val="en-US" w:eastAsia="zh-CN"/>
        </w:rPr>
        <w:t>提供近三年(20</w:t>
      </w:r>
      <w:r>
        <w:rPr>
          <w:rFonts w:hint="eastAsia" w:ascii="宋体" w:hAnsi="宋体" w:eastAsia="宋体" w:cs="宋体"/>
          <w:sz w:val="24"/>
          <w:szCs w:val="24"/>
          <w:lang w:val="en-US" w:eastAsia="zh-CN"/>
        </w:rPr>
        <w:t>22</w:t>
      </w:r>
      <w:r>
        <w:rPr>
          <w:rFonts w:hint="default" w:ascii="宋体" w:hAnsi="宋体" w:eastAsia="宋体" w:cs="宋体"/>
          <w:sz w:val="24"/>
          <w:szCs w:val="24"/>
          <w:lang w:val="en-US" w:eastAsia="zh-CN"/>
        </w:rPr>
        <w:t>年</w:t>
      </w:r>
      <w:r>
        <w:rPr>
          <w:rFonts w:hint="eastAsia" w:ascii="宋体" w:hAnsi="宋体" w:eastAsia="宋体" w:cs="宋体"/>
          <w:sz w:val="24"/>
          <w:szCs w:val="24"/>
          <w:lang w:val="en-US" w:eastAsia="zh-CN"/>
        </w:rPr>
        <w:t>0</w:t>
      </w:r>
      <w:r>
        <w:rPr>
          <w:rFonts w:hint="default" w:ascii="宋体" w:hAnsi="宋体" w:eastAsia="宋体" w:cs="宋体"/>
          <w:sz w:val="24"/>
          <w:szCs w:val="24"/>
          <w:lang w:val="en-US" w:eastAsia="zh-CN"/>
        </w:rPr>
        <w:t>1月</w:t>
      </w:r>
      <w:r>
        <w:rPr>
          <w:rFonts w:hint="eastAsia" w:ascii="宋体" w:hAnsi="宋体" w:eastAsia="宋体" w:cs="宋体"/>
          <w:sz w:val="24"/>
          <w:szCs w:val="24"/>
          <w:lang w:val="en-US" w:eastAsia="zh-CN"/>
        </w:rPr>
        <w:t>0</w:t>
      </w:r>
      <w:r>
        <w:rPr>
          <w:rFonts w:hint="default" w:ascii="宋体" w:hAnsi="宋体" w:eastAsia="宋体" w:cs="宋体"/>
          <w:sz w:val="24"/>
          <w:szCs w:val="24"/>
          <w:lang w:val="en-US" w:eastAsia="zh-CN"/>
        </w:rPr>
        <w:t>1日-20</w:t>
      </w:r>
      <w:r>
        <w:rPr>
          <w:rFonts w:hint="eastAsia" w:ascii="宋体" w:hAnsi="宋体" w:eastAsia="宋体" w:cs="宋体"/>
          <w:sz w:val="24"/>
          <w:szCs w:val="24"/>
          <w:lang w:val="en-US" w:eastAsia="zh-CN"/>
        </w:rPr>
        <w:t>24</w:t>
      </w:r>
      <w:r>
        <w:rPr>
          <w:rFonts w:hint="default" w:ascii="宋体" w:hAnsi="宋体" w:eastAsia="宋体" w:cs="宋体"/>
          <w:sz w:val="24"/>
          <w:szCs w:val="24"/>
          <w:lang w:val="en-US" w:eastAsia="zh-CN"/>
        </w:rPr>
        <w:t>年12月31日)每一年的会计师事务所审计的财务审计报告(成立未满三年的企业提供自成立以来每年的审计报告)。</w:t>
      </w:r>
    </w:p>
    <w:p w14:paraId="4A49B8D9">
      <w:pPr>
        <w:keepNext w:val="0"/>
        <w:keepLines w:val="0"/>
        <w:pageBreakBefore w:val="0"/>
        <w:widowControl/>
        <w:kinsoku w:val="0"/>
        <w:wordWrap/>
        <w:overflowPunct/>
        <w:topLinePunct w:val="0"/>
        <w:autoSpaceDE w:val="0"/>
        <w:autoSpaceDN w:val="0"/>
        <w:bidi w:val="0"/>
        <w:adjustRightInd w:val="0"/>
        <w:snapToGrid w:val="0"/>
        <w:spacing w:before="122" w:line="360" w:lineRule="auto"/>
        <w:ind w:firstLine="480" w:firstLineChars="200"/>
        <w:textAlignment w:val="baseline"/>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w:t>
      </w:r>
      <w:r>
        <w:rPr>
          <w:rFonts w:hint="eastAsia" w:ascii="宋体" w:hAnsi="宋体" w:eastAsia="宋体" w:cs="宋体"/>
          <w:sz w:val="24"/>
          <w:szCs w:val="21"/>
          <w:lang w:val="en-US" w:eastAsia="zh-CN"/>
        </w:rPr>
        <w:t>3</w:t>
      </w:r>
      <w:r>
        <w:rPr>
          <w:rFonts w:hint="default" w:ascii="宋体" w:hAnsi="宋体" w:eastAsia="宋体" w:cs="宋体"/>
          <w:sz w:val="24"/>
          <w:szCs w:val="21"/>
          <w:lang w:val="en-US" w:eastAsia="zh-CN"/>
        </w:rPr>
        <w:t>）业绩要求：</w:t>
      </w:r>
    </w:p>
    <w:p w14:paraId="245CB9F6">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投标人在近五年(</w:t>
      </w:r>
      <w:r>
        <w:rPr>
          <w:rFonts w:hint="eastAsia" w:ascii="宋体" w:hAnsi="宋体" w:eastAsia="宋体" w:cs="宋体"/>
          <w:sz w:val="24"/>
          <w:szCs w:val="21"/>
          <w:lang w:val="en-US" w:eastAsia="zh-CN"/>
        </w:rPr>
        <w:t>2020年5月1日~递交投标文件截止时间</w:t>
      </w:r>
      <w:r>
        <w:rPr>
          <w:rFonts w:hint="default" w:ascii="宋体" w:hAnsi="宋体" w:eastAsia="宋体" w:cs="宋体"/>
          <w:sz w:val="24"/>
          <w:szCs w:val="21"/>
          <w:lang w:val="en-US" w:eastAsia="zh-CN"/>
        </w:rPr>
        <w:t>，以实际交工日期为准) 完成且交工验收达到合格标准的项目</w:t>
      </w:r>
      <w:r>
        <w:rPr>
          <w:rFonts w:hint="eastAsia" w:ascii="宋体" w:hAnsi="宋体" w:eastAsia="宋体" w:cs="宋体"/>
          <w:sz w:val="24"/>
          <w:szCs w:val="21"/>
          <w:lang w:val="en-US" w:eastAsia="zh-CN"/>
        </w:rPr>
        <w:t>（新建、改扩建工程不含养护工程）</w:t>
      </w:r>
      <w:r>
        <w:rPr>
          <w:rFonts w:hint="default" w:ascii="宋体" w:hAnsi="宋体" w:eastAsia="宋体" w:cs="宋体"/>
          <w:sz w:val="24"/>
          <w:szCs w:val="21"/>
          <w:lang w:val="en-US" w:eastAsia="zh-CN"/>
        </w:rPr>
        <w:t>，应同时满足下列条件：</w:t>
      </w:r>
    </w:p>
    <w:p w14:paraId="712FD9F6">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lang w:val="en-US" w:eastAsia="zh-CN"/>
        </w:rPr>
      </w:pPr>
      <w:r>
        <w:rPr>
          <w:rFonts w:hint="eastAsia" w:ascii="宋体" w:hAnsi="宋体" w:eastAsia="宋体" w:cs="宋体"/>
          <w:sz w:val="24"/>
          <w:szCs w:val="21"/>
          <w:lang w:val="en-US" w:eastAsia="zh-CN"/>
        </w:rPr>
        <w:t>A1标段</w:t>
      </w:r>
      <w:r>
        <w:rPr>
          <w:rFonts w:hint="default" w:ascii="宋体" w:hAnsi="宋体" w:eastAsia="宋体" w:cs="宋体"/>
          <w:sz w:val="24"/>
          <w:szCs w:val="21"/>
          <w:lang w:val="en-US" w:eastAsia="zh-CN"/>
        </w:rPr>
        <w:t>至少独立完成过1</w:t>
      </w:r>
      <w:r>
        <w:rPr>
          <w:rFonts w:hint="eastAsia" w:ascii="宋体" w:hAnsi="宋体" w:eastAsia="宋体" w:cs="宋体"/>
          <w:sz w:val="24"/>
          <w:szCs w:val="21"/>
          <w:lang w:val="en-US" w:eastAsia="zh-CN"/>
        </w:rPr>
        <w:t>项</w:t>
      </w:r>
      <w:r>
        <w:rPr>
          <w:rFonts w:hint="default" w:ascii="宋体" w:hAnsi="宋体" w:eastAsia="宋体" w:cs="宋体"/>
          <w:sz w:val="24"/>
          <w:szCs w:val="21"/>
          <w:lang w:val="en-US" w:eastAsia="zh-CN"/>
        </w:rPr>
        <w:t>公里数满足</w:t>
      </w:r>
      <w:r>
        <w:rPr>
          <w:rFonts w:hint="eastAsia" w:ascii="宋体" w:hAnsi="宋体" w:eastAsia="宋体" w:cs="宋体"/>
          <w:sz w:val="24"/>
          <w:szCs w:val="21"/>
          <w:lang w:val="en-US" w:eastAsia="zh-CN"/>
        </w:rPr>
        <w:t>不少于40</w:t>
      </w:r>
      <w:r>
        <w:rPr>
          <w:rFonts w:hint="default" w:ascii="宋体" w:hAnsi="宋体" w:eastAsia="宋体" w:cs="宋体"/>
          <w:sz w:val="24"/>
          <w:szCs w:val="21"/>
          <w:lang w:val="en-US" w:eastAsia="zh-CN"/>
        </w:rPr>
        <w:t>公里</w:t>
      </w:r>
      <w:r>
        <w:rPr>
          <w:rFonts w:hint="eastAsia" w:ascii="宋体" w:hAnsi="宋体" w:eastAsia="宋体" w:cs="宋体"/>
          <w:sz w:val="24"/>
          <w:szCs w:val="21"/>
          <w:lang w:val="en-US" w:eastAsia="zh-CN"/>
        </w:rPr>
        <w:t>二</w:t>
      </w:r>
      <w:r>
        <w:rPr>
          <w:rFonts w:hint="default" w:ascii="宋体" w:hAnsi="宋体" w:eastAsia="宋体" w:cs="宋体"/>
          <w:sz w:val="24"/>
          <w:szCs w:val="21"/>
          <w:lang w:val="en-US" w:eastAsia="zh-CN"/>
        </w:rPr>
        <w:t>级及以上等级公路工程施工项目(以标段计)</w:t>
      </w:r>
      <w:r>
        <w:rPr>
          <w:rFonts w:hint="eastAsia" w:ascii="宋体" w:hAnsi="宋体" w:eastAsia="宋体" w:cs="宋体"/>
          <w:sz w:val="24"/>
          <w:szCs w:val="21"/>
          <w:lang w:val="en-US" w:eastAsia="zh-CN"/>
        </w:rPr>
        <w:t>或独立完成累计公里数不少于80公里二</w:t>
      </w:r>
      <w:r>
        <w:rPr>
          <w:rFonts w:hint="default" w:ascii="宋体" w:hAnsi="宋体" w:eastAsia="宋体" w:cs="宋体"/>
          <w:sz w:val="24"/>
          <w:szCs w:val="21"/>
          <w:lang w:val="en-US" w:eastAsia="zh-CN"/>
        </w:rPr>
        <w:t>级及以上等级公路工程施工项目(以标段计)；</w:t>
      </w:r>
    </w:p>
    <w:p w14:paraId="525A8576">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lang w:val="en-US" w:eastAsia="zh-CN"/>
        </w:rPr>
      </w:pPr>
      <w:r>
        <w:rPr>
          <w:rFonts w:hint="eastAsia" w:ascii="宋体" w:hAnsi="宋体" w:eastAsia="宋体" w:cs="宋体"/>
          <w:sz w:val="24"/>
          <w:szCs w:val="21"/>
          <w:lang w:val="en-US" w:eastAsia="zh-CN"/>
        </w:rPr>
        <w:t>A2标段</w:t>
      </w:r>
      <w:r>
        <w:rPr>
          <w:rFonts w:hint="default" w:ascii="宋体" w:hAnsi="宋体" w:eastAsia="宋体" w:cs="宋体"/>
          <w:sz w:val="24"/>
          <w:szCs w:val="21"/>
          <w:lang w:val="en-US" w:eastAsia="zh-CN"/>
        </w:rPr>
        <w:t>至少独立完成过1</w:t>
      </w:r>
      <w:r>
        <w:rPr>
          <w:rFonts w:hint="eastAsia" w:ascii="宋体" w:hAnsi="宋体" w:eastAsia="宋体" w:cs="宋体"/>
          <w:sz w:val="24"/>
          <w:szCs w:val="21"/>
          <w:lang w:val="en-US" w:eastAsia="zh-CN"/>
        </w:rPr>
        <w:t>项</w:t>
      </w:r>
      <w:r>
        <w:rPr>
          <w:rFonts w:hint="default" w:ascii="宋体" w:hAnsi="宋体" w:eastAsia="宋体" w:cs="宋体"/>
          <w:sz w:val="24"/>
          <w:szCs w:val="21"/>
          <w:lang w:val="en-US" w:eastAsia="zh-CN"/>
        </w:rPr>
        <w:t>公里数满足</w:t>
      </w:r>
      <w:r>
        <w:rPr>
          <w:rFonts w:hint="eastAsia" w:ascii="宋体" w:hAnsi="宋体" w:eastAsia="宋体" w:cs="宋体"/>
          <w:sz w:val="24"/>
          <w:szCs w:val="21"/>
          <w:lang w:val="en-US" w:eastAsia="zh-CN"/>
        </w:rPr>
        <w:t>不少于20</w:t>
      </w:r>
      <w:r>
        <w:rPr>
          <w:rFonts w:hint="default" w:ascii="宋体" w:hAnsi="宋体" w:eastAsia="宋体" w:cs="宋体"/>
          <w:sz w:val="24"/>
          <w:szCs w:val="21"/>
          <w:lang w:val="en-US" w:eastAsia="zh-CN"/>
        </w:rPr>
        <w:t>公里</w:t>
      </w:r>
      <w:r>
        <w:rPr>
          <w:rFonts w:hint="eastAsia" w:ascii="宋体" w:hAnsi="宋体" w:eastAsia="宋体" w:cs="宋体"/>
          <w:sz w:val="24"/>
          <w:szCs w:val="21"/>
          <w:lang w:val="en-US" w:eastAsia="zh-CN"/>
        </w:rPr>
        <w:t>二</w:t>
      </w:r>
      <w:r>
        <w:rPr>
          <w:rFonts w:hint="default" w:ascii="宋体" w:hAnsi="宋体" w:eastAsia="宋体" w:cs="宋体"/>
          <w:sz w:val="24"/>
          <w:szCs w:val="21"/>
          <w:lang w:val="en-US" w:eastAsia="zh-CN"/>
        </w:rPr>
        <w:t>级及以上等级公路工程施工项目(以标段计)</w:t>
      </w:r>
      <w:r>
        <w:rPr>
          <w:rFonts w:hint="eastAsia" w:ascii="宋体" w:hAnsi="宋体" w:eastAsia="宋体" w:cs="宋体"/>
          <w:sz w:val="24"/>
          <w:szCs w:val="21"/>
          <w:lang w:val="en-US" w:eastAsia="zh-CN"/>
        </w:rPr>
        <w:t>或独立完成累计公里数不少于40公里二</w:t>
      </w:r>
      <w:r>
        <w:rPr>
          <w:rFonts w:hint="default" w:ascii="宋体" w:hAnsi="宋体" w:eastAsia="宋体" w:cs="宋体"/>
          <w:sz w:val="24"/>
          <w:szCs w:val="21"/>
          <w:lang w:val="en-US" w:eastAsia="zh-CN"/>
        </w:rPr>
        <w:t>级及以上等级公路工程施工项目(以标段计)；</w:t>
      </w:r>
    </w:p>
    <w:p w14:paraId="43DCDB4F">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720" w:firstLineChars="300"/>
        <w:textAlignment w:val="baseline"/>
        <w:rPr>
          <w:rFonts w:hint="default" w:ascii="宋体" w:hAnsi="宋体" w:eastAsia="宋体" w:cs="宋体"/>
          <w:sz w:val="24"/>
          <w:szCs w:val="21"/>
        </w:rPr>
      </w:pPr>
      <w:r>
        <w:rPr>
          <w:rFonts w:hint="default" w:ascii="宋体" w:hAnsi="宋体" w:eastAsia="宋体" w:cs="宋体"/>
          <w:sz w:val="24"/>
          <w:szCs w:val="21"/>
          <w:lang w:val="en-US" w:eastAsia="zh-CN"/>
        </w:rPr>
        <w:t>注：</w:t>
      </w:r>
      <w:r>
        <w:rPr>
          <w:rFonts w:hint="eastAsia" w:ascii="宋体" w:hAnsi="宋体" w:eastAsia="宋体" w:cs="宋体"/>
          <w:sz w:val="24"/>
          <w:szCs w:val="21"/>
          <w:lang w:val="en-US" w:eastAsia="zh-CN"/>
        </w:rPr>
        <w:t>上述业绩</w:t>
      </w:r>
      <w:r>
        <w:rPr>
          <w:rFonts w:hint="default" w:ascii="宋体" w:hAnsi="宋体" w:eastAsia="宋体" w:cs="宋体"/>
          <w:sz w:val="24"/>
          <w:szCs w:val="21"/>
          <w:lang w:val="en-US" w:eastAsia="zh-CN"/>
        </w:rPr>
        <w:t>指的是公路新建、改扩建</w:t>
      </w:r>
      <w:r>
        <w:rPr>
          <w:rFonts w:hint="eastAsia" w:ascii="宋体" w:hAnsi="宋体" w:eastAsia="宋体" w:cs="宋体"/>
          <w:sz w:val="24"/>
          <w:szCs w:val="21"/>
          <w:lang w:val="en-US" w:eastAsia="zh-CN"/>
        </w:rPr>
        <w:t>不含</w:t>
      </w:r>
      <w:r>
        <w:rPr>
          <w:rFonts w:hint="default" w:ascii="宋体" w:hAnsi="宋体" w:eastAsia="宋体" w:cs="宋体"/>
          <w:sz w:val="24"/>
          <w:szCs w:val="21"/>
          <w:lang w:val="en-US" w:eastAsia="zh-CN"/>
        </w:rPr>
        <w:t>养护项目</w:t>
      </w:r>
      <w:r>
        <w:rPr>
          <w:rFonts w:hint="eastAsia" w:ascii="宋体" w:hAnsi="宋体" w:eastAsia="宋体" w:cs="宋体"/>
          <w:sz w:val="24"/>
          <w:szCs w:val="21"/>
          <w:lang w:val="en-US" w:eastAsia="zh-CN"/>
        </w:rPr>
        <w:t>，包含路基及路面，</w:t>
      </w:r>
      <w:r>
        <w:rPr>
          <w:rFonts w:hint="default" w:ascii="宋体" w:hAnsi="宋体" w:eastAsia="宋体" w:cs="宋体"/>
          <w:sz w:val="24"/>
          <w:szCs w:val="21"/>
          <w:lang w:val="en-US" w:eastAsia="zh-CN"/>
        </w:rPr>
        <w:t>施工业绩要求在黑龙江省交通运输厅网站的“黑龙江省公路水路建设市场信用信息 管理系统”或交通运输部网站“全国公路建设市场信用信息管理系统”中能够查询， 如果查询不到该业绩的信息或查询的信息与投标人提供的信息不一致，业绩审查时将不予认定。</w:t>
      </w:r>
    </w:p>
    <w:p w14:paraId="685851DE">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w:t>
      </w:r>
      <w:r>
        <w:rPr>
          <w:rFonts w:hint="eastAsia" w:ascii="宋体" w:hAnsi="宋体" w:eastAsia="宋体" w:cs="宋体"/>
          <w:sz w:val="24"/>
          <w:szCs w:val="21"/>
          <w:lang w:val="en-US" w:eastAsia="zh-CN"/>
        </w:rPr>
        <w:t>4</w:t>
      </w:r>
      <w:r>
        <w:rPr>
          <w:rFonts w:hint="default" w:ascii="宋体" w:hAnsi="宋体" w:eastAsia="宋体" w:cs="宋体"/>
          <w:sz w:val="24"/>
          <w:szCs w:val="21"/>
          <w:lang w:val="en-US" w:eastAsia="zh-CN"/>
        </w:rPr>
        <w:t>）主要人员要求：</w:t>
      </w:r>
    </w:p>
    <w:p w14:paraId="37200900">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720" w:firstLineChars="300"/>
        <w:textAlignment w:val="baseline"/>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1）项目经理资格要求：投标人拟派项目经理必须具有公路工程相关专业</w:t>
      </w:r>
      <w:r>
        <w:rPr>
          <w:rFonts w:hint="eastAsia" w:ascii="宋体" w:hAnsi="宋体" w:eastAsia="宋体" w:cs="宋体"/>
          <w:sz w:val="24"/>
          <w:szCs w:val="21"/>
          <w:lang w:val="en-US" w:eastAsia="zh-CN"/>
        </w:rPr>
        <w:t>中</w:t>
      </w:r>
      <w:r>
        <w:rPr>
          <w:rFonts w:hint="default" w:ascii="宋体" w:hAnsi="宋体" w:eastAsia="宋体" w:cs="宋体"/>
          <w:sz w:val="24"/>
          <w:szCs w:val="21"/>
          <w:lang w:val="en-US" w:eastAsia="zh-CN"/>
        </w:rPr>
        <w:t>级及以上职称（含</w:t>
      </w:r>
      <w:r>
        <w:rPr>
          <w:rFonts w:hint="eastAsia" w:ascii="宋体" w:hAnsi="宋体" w:eastAsia="宋体" w:cs="宋体"/>
          <w:sz w:val="24"/>
          <w:szCs w:val="21"/>
          <w:lang w:val="en-US" w:eastAsia="zh-CN"/>
        </w:rPr>
        <w:t>中</w:t>
      </w:r>
      <w:r>
        <w:rPr>
          <w:rFonts w:hint="default" w:ascii="宋体" w:hAnsi="宋体" w:eastAsia="宋体" w:cs="宋体"/>
          <w:sz w:val="24"/>
          <w:szCs w:val="21"/>
          <w:lang w:val="en-US" w:eastAsia="zh-CN"/>
        </w:rPr>
        <w:t>级）和公路工程专业</w:t>
      </w:r>
      <w:r>
        <w:rPr>
          <w:rFonts w:hint="eastAsia" w:ascii="宋体" w:hAnsi="宋体" w:eastAsia="宋体" w:cs="宋体"/>
          <w:sz w:val="24"/>
          <w:szCs w:val="21"/>
          <w:lang w:val="en-US" w:eastAsia="zh-CN"/>
        </w:rPr>
        <w:t>一</w:t>
      </w:r>
      <w:r>
        <w:rPr>
          <w:rFonts w:hint="default" w:ascii="宋体" w:hAnsi="宋体" w:eastAsia="宋体" w:cs="宋体"/>
          <w:sz w:val="24"/>
          <w:szCs w:val="21"/>
          <w:lang w:val="en-US" w:eastAsia="zh-CN"/>
        </w:rPr>
        <w:t>级注册建造师执业资格</w:t>
      </w:r>
      <w:r>
        <w:rPr>
          <w:rFonts w:hint="eastAsia" w:ascii="宋体" w:hAnsi="宋体" w:eastAsia="宋体" w:cs="宋体"/>
          <w:sz w:val="24"/>
          <w:szCs w:val="21"/>
          <w:lang w:val="en-US" w:eastAsia="zh-CN"/>
        </w:rPr>
        <w:t>，</w:t>
      </w:r>
      <w:r>
        <w:rPr>
          <w:rFonts w:hint="default" w:ascii="宋体" w:hAnsi="宋体" w:eastAsia="宋体" w:cs="宋体"/>
          <w:sz w:val="24"/>
          <w:szCs w:val="21"/>
          <w:lang w:val="en-US" w:eastAsia="zh-CN"/>
        </w:rPr>
        <w:t>同时具备建设或交通主管部门颁发的有效B类《安全生产考核合格证书》(证企相符，且在有效期内），至少担任过1个不少于</w:t>
      </w:r>
      <w:r>
        <w:rPr>
          <w:rFonts w:hint="eastAsia" w:ascii="宋体" w:hAnsi="宋体" w:eastAsia="宋体" w:cs="宋体"/>
          <w:sz w:val="24"/>
          <w:szCs w:val="21"/>
          <w:lang w:val="en-US" w:eastAsia="zh-CN"/>
        </w:rPr>
        <w:t>10</w:t>
      </w:r>
      <w:r>
        <w:rPr>
          <w:rFonts w:hint="default" w:ascii="宋体" w:hAnsi="宋体" w:eastAsia="宋体" w:cs="宋体"/>
          <w:sz w:val="24"/>
          <w:szCs w:val="21"/>
          <w:lang w:val="en-US" w:eastAsia="zh-CN"/>
        </w:rPr>
        <w:t>km</w:t>
      </w:r>
      <w:r>
        <w:rPr>
          <w:rFonts w:hint="eastAsia" w:ascii="宋体" w:hAnsi="宋体" w:eastAsia="宋体" w:cs="宋体"/>
          <w:sz w:val="24"/>
          <w:szCs w:val="21"/>
          <w:lang w:val="en-US" w:eastAsia="zh-CN"/>
        </w:rPr>
        <w:t>二</w:t>
      </w:r>
      <w:r>
        <w:rPr>
          <w:rFonts w:hint="default" w:ascii="宋体" w:hAnsi="宋体" w:eastAsia="宋体" w:cs="宋体"/>
          <w:sz w:val="24"/>
          <w:szCs w:val="21"/>
          <w:lang w:val="en-US" w:eastAsia="zh-CN"/>
        </w:rPr>
        <w:t>级及以上（含</w:t>
      </w:r>
      <w:r>
        <w:rPr>
          <w:rFonts w:hint="eastAsia" w:ascii="宋体" w:hAnsi="宋体" w:eastAsia="宋体" w:cs="宋体"/>
          <w:sz w:val="24"/>
          <w:szCs w:val="21"/>
          <w:lang w:val="en-US" w:eastAsia="zh-CN"/>
        </w:rPr>
        <w:t>二</w:t>
      </w:r>
      <w:r>
        <w:rPr>
          <w:rFonts w:hint="default" w:ascii="宋体" w:hAnsi="宋体" w:eastAsia="宋体" w:cs="宋体"/>
          <w:sz w:val="24"/>
          <w:szCs w:val="21"/>
          <w:lang w:val="en-US" w:eastAsia="zh-CN"/>
        </w:rPr>
        <w:t>级）公路工程施工的项目经理职务</w:t>
      </w:r>
      <w:r>
        <w:rPr>
          <w:rFonts w:hint="eastAsia" w:ascii="宋体" w:hAnsi="宋体" w:eastAsia="宋体" w:cs="宋体"/>
          <w:sz w:val="24"/>
          <w:szCs w:val="21"/>
          <w:lang w:val="en-US" w:eastAsia="zh-CN"/>
        </w:rPr>
        <w:t>（新建、改扩建工程不含养护工程）</w:t>
      </w:r>
      <w:r>
        <w:rPr>
          <w:rFonts w:hint="default" w:ascii="宋体" w:hAnsi="宋体" w:eastAsia="宋体" w:cs="宋体"/>
          <w:sz w:val="24"/>
          <w:szCs w:val="21"/>
          <w:lang w:val="en-US" w:eastAsia="zh-CN"/>
        </w:rPr>
        <w:t>。</w:t>
      </w:r>
    </w:p>
    <w:p w14:paraId="4E103460">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720" w:firstLineChars="300"/>
        <w:textAlignment w:val="baseline"/>
        <w:rPr>
          <w:rFonts w:hint="default" w:ascii="宋体" w:hAnsi="宋体" w:eastAsia="宋体" w:cs="宋体"/>
          <w:sz w:val="24"/>
          <w:szCs w:val="21"/>
        </w:rPr>
      </w:pPr>
      <w:r>
        <w:rPr>
          <w:rFonts w:hint="default" w:ascii="宋体" w:hAnsi="宋体" w:eastAsia="宋体" w:cs="宋体"/>
          <w:sz w:val="24"/>
          <w:szCs w:val="21"/>
          <w:lang w:val="en-US" w:eastAsia="zh-CN"/>
        </w:rPr>
        <w:t>2）项目总工最低要求：具有公路工程相关专业</w:t>
      </w:r>
      <w:r>
        <w:rPr>
          <w:rFonts w:hint="eastAsia" w:ascii="宋体" w:hAnsi="宋体" w:eastAsia="宋体" w:cs="宋体"/>
          <w:sz w:val="24"/>
          <w:szCs w:val="21"/>
          <w:lang w:val="en-US" w:eastAsia="zh-CN"/>
        </w:rPr>
        <w:t>高</w:t>
      </w:r>
      <w:r>
        <w:rPr>
          <w:rFonts w:hint="default" w:ascii="宋体" w:hAnsi="宋体" w:eastAsia="宋体" w:cs="宋体"/>
          <w:sz w:val="24"/>
          <w:szCs w:val="21"/>
          <w:lang w:val="en-US" w:eastAsia="zh-CN"/>
        </w:rPr>
        <w:t>级及以上职称（含</w:t>
      </w:r>
      <w:r>
        <w:rPr>
          <w:rFonts w:hint="eastAsia" w:ascii="宋体" w:hAnsi="宋体" w:eastAsia="宋体" w:cs="宋体"/>
          <w:sz w:val="24"/>
          <w:szCs w:val="21"/>
          <w:lang w:val="en-US" w:eastAsia="zh-CN"/>
        </w:rPr>
        <w:t>高</w:t>
      </w:r>
      <w:r>
        <w:rPr>
          <w:rFonts w:hint="default" w:ascii="宋体" w:hAnsi="宋体" w:eastAsia="宋体" w:cs="宋体"/>
          <w:sz w:val="24"/>
          <w:szCs w:val="21"/>
          <w:lang w:val="en-US" w:eastAsia="zh-CN"/>
        </w:rPr>
        <w:t>级），同时具备建设或交通主管部门颁发的有效B类《安全生产考核合格证书》，至少担任过1个不少于</w:t>
      </w:r>
      <w:r>
        <w:rPr>
          <w:rFonts w:hint="eastAsia" w:ascii="宋体" w:hAnsi="宋体" w:eastAsia="宋体" w:cs="宋体"/>
          <w:sz w:val="24"/>
          <w:szCs w:val="21"/>
          <w:lang w:val="en-US" w:eastAsia="zh-CN"/>
        </w:rPr>
        <w:t>10</w:t>
      </w:r>
      <w:r>
        <w:rPr>
          <w:rFonts w:hint="default" w:ascii="宋体" w:hAnsi="宋体" w:eastAsia="宋体" w:cs="宋体"/>
          <w:sz w:val="24"/>
          <w:szCs w:val="21"/>
          <w:lang w:val="en-US" w:eastAsia="zh-CN"/>
        </w:rPr>
        <w:t>km</w:t>
      </w:r>
      <w:r>
        <w:rPr>
          <w:rFonts w:hint="eastAsia" w:ascii="宋体" w:hAnsi="宋体" w:eastAsia="宋体" w:cs="宋体"/>
          <w:sz w:val="24"/>
          <w:szCs w:val="21"/>
          <w:lang w:val="en-US" w:eastAsia="zh-CN"/>
        </w:rPr>
        <w:t>二</w:t>
      </w:r>
      <w:r>
        <w:rPr>
          <w:rFonts w:hint="default" w:ascii="宋体" w:hAnsi="宋体" w:eastAsia="宋体" w:cs="宋体"/>
          <w:sz w:val="24"/>
          <w:szCs w:val="21"/>
          <w:lang w:val="en-US" w:eastAsia="zh-CN"/>
        </w:rPr>
        <w:t>级及以上（含</w:t>
      </w:r>
      <w:r>
        <w:rPr>
          <w:rFonts w:hint="eastAsia" w:ascii="宋体" w:hAnsi="宋体" w:eastAsia="宋体" w:cs="宋体"/>
          <w:sz w:val="24"/>
          <w:szCs w:val="21"/>
          <w:lang w:val="en-US" w:eastAsia="zh-CN"/>
        </w:rPr>
        <w:t>二</w:t>
      </w:r>
      <w:r>
        <w:rPr>
          <w:rFonts w:hint="default" w:ascii="宋体" w:hAnsi="宋体" w:eastAsia="宋体" w:cs="宋体"/>
          <w:sz w:val="24"/>
          <w:szCs w:val="21"/>
          <w:lang w:val="en-US" w:eastAsia="zh-CN"/>
        </w:rPr>
        <w:t>级）公路工程施工的项目总工职</w:t>
      </w:r>
      <w:r>
        <w:rPr>
          <w:rFonts w:hint="eastAsia" w:ascii="宋体" w:hAnsi="宋体" w:eastAsia="宋体" w:cs="宋体"/>
          <w:sz w:val="24"/>
          <w:szCs w:val="21"/>
          <w:lang w:val="en-US" w:eastAsia="zh-CN"/>
        </w:rPr>
        <w:t>务（新建、改扩建工程不含养护工程）。</w:t>
      </w:r>
    </w:p>
    <w:p w14:paraId="7FC16938">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720" w:firstLineChars="300"/>
        <w:textAlignment w:val="baseline"/>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3）项目经理、项目总工需提供投标人所属社保机构出具的</w:t>
      </w:r>
      <w:r>
        <w:rPr>
          <w:rFonts w:hint="eastAsia" w:ascii="宋体" w:hAnsi="宋体" w:eastAsia="宋体" w:cs="宋体"/>
          <w:sz w:val="24"/>
          <w:szCs w:val="21"/>
          <w:lang w:val="en-US" w:eastAsia="zh-CN"/>
        </w:rPr>
        <w:t>2025年任意连续</w:t>
      </w:r>
      <w:r>
        <w:rPr>
          <w:rFonts w:hint="default" w:ascii="宋体" w:hAnsi="宋体" w:eastAsia="宋体" w:cs="宋体"/>
          <w:sz w:val="24"/>
          <w:szCs w:val="21"/>
          <w:lang w:val="en-US" w:eastAsia="zh-CN"/>
        </w:rPr>
        <w:t>三个月的</w:t>
      </w:r>
      <w:r>
        <w:rPr>
          <w:rFonts w:hint="eastAsia" w:ascii="宋体" w:hAnsi="宋体" w:eastAsia="宋体" w:cs="宋体"/>
          <w:sz w:val="24"/>
          <w:szCs w:val="21"/>
          <w:lang w:val="en-US" w:eastAsia="zh-CN"/>
        </w:rPr>
        <w:t>养老保险缴费证明</w:t>
      </w:r>
      <w:r>
        <w:rPr>
          <w:rFonts w:hint="default" w:ascii="宋体" w:hAnsi="宋体" w:eastAsia="宋体" w:cs="宋体"/>
          <w:sz w:val="24"/>
          <w:szCs w:val="21"/>
          <w:lang w:val="en-US" w:eastAsia="zh-CN"/>
        </w:rPr>
        <w:t>；需提供单位人员身份证及职称证扫描件并提供以上人员本企业为其缴纳2025</w:t>
      </w:r>
      <w:r>
        <w:rPr>
          <w:rFonts w:hint="eastAsia" w:ascii="宋体" w:hAnsi="宋体" w:eastAsia="宋体" w:cs="宋体"/>
          <w:sz w:val="24"/>
          <w:szCs w:val="21"/>
          <w:lang w:val="en-US" w:eastAsia="zh-CN"/>
        </w:rPr>
        <w:t>任意连续</w:t>
      </w:r>
      <w:r>
        <w:rPr>
          <w:rFonts w:hint="default" w:ascii="宋体" w:hAnsi="宋体" w:eastAsia="宋体" w:cs="宋体"/>
          <w:sz w:val="24"/>
          <w:szCs w:val="21"/>
          <w:lang w:val="en-US" w:eastAsia="zh-CN"/>
        </w:rPr>
        <w:t>三个月的</w:t>
      </w:r>
      <w:r>
        <w:rPr>
          <w:rFonts w:hint="eastAsia" w:ascii="宋体" w:hAnsi="宋体" w:eastAsia="宋体" w:cs="宋体"/>
          <w:sz w:val="24"/>
          <w:szCs w:val="21"/>
          <w:lang w:val="en-US" w:eastAsia="zh-CN"/>
        </w:rPr>
        <w:t>养老保险缴费证明</w:t>
      </w:r>
      <w:r>
        <w:rPr>
          <w:rFonts w:hint="default" w:ascii="宋体" w:hAnsi="宋体" w:eastAsia="宋体" w:cs="宋体"/>
          <w:sz w:val="24"/>
          <w:szCs w:val="21"/>
          <w:lang w:val="en-US" w:eastAsia="zh-CN"/>
        </w:rPr>
        <w:t>(国家规定的六类人员除外)，</w:t>
      </w:r>
      <w:r>
        <w:rPr>
          <w:rFonts w:hint="eastAsia" w:ascii="宋体" w:hAnsi="宋体" w:eastAsia="宋体" w:cs="宋体"/>
          <w:sz w:val="24"/>
          <w:szCs w:val="21"/>
          <w:lang w:val="en-US" w:eastAsia="zh-CN"/>
        </w:rPr>
        <w:t>依法不需要缴纳养老保险的</w:t>
      </w:r>
      <w:r>
        <w:rPr>
          <w:rFonts w:hint="default" w:ascii="宋体" w:hAnsi="宋体" w:eastAsia="宋体" w:cs="宋体"/>
          <w:sz w:val="24"/>
          <w:szCs w:val="21"/>
          <w:lang w:val="en-US" w:eastAsia="zh-CN"/>
        </w:rPr>
        <w:t>，应提供相应证明材料，如以上人员为退休返聘人员须提供退休证明材料及返聘协议。</w:t>
      </w:r>
    </w:p>
    <w:p w14:paraId="31732181">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注：</w:t>
      </w:r>
      <w:r>
        <w:rPr>
          <w:rFonts w:hint="eastAsia" w:ascii="宋体" w:hAnsi="宋体" w:eastAsia="宋体" w:cs="宋体"/>
          <w:sz w:val="24"/>
          <w:szCs w:val="21"/>
          <w:lang w:val="en-US" w:eastAsia="zh-CN"/>
        </w:rPr>
        <w:t>上述业绩</w:t>
      </w:r>
      <w:r>
        <w:rPr>
          <w:rFonts w:hint="default" w:ascii="宋体" w:hAnsi="宋体" w:eastAsia="宋体" w:cs="宋体"/>
          <w:sz w:val="24"/>
          <w:szCs w:val="21"/>
          <w:lang w:val="en-US" w:eastAsia="zh-CN"/>
        </w:rPr>
        <w:t>指的是公路新建、改扩建</w:t>
      </w:r>
      <w:r>
        <w:rPr>
          <w:rFonts w:hint="eastAsia" w:ascii="宋体" w:hAnsi="宋体" w:eastAsia="宋体" w:cs="宋体"/>
          <w:sz w:val="24"/>
          <w:szCs w:val="21"/>
          <w:lang w:val="en-US" w:eastAsia="zh-CN"/>
        </w:rPr>
        <w:t>不含</w:t>
      </w:r>
      <w:r>
        <w:rPr>
          <w:rFonts w:hint="default" w:ascii="宋体" w:hAnsi="宋体" w:eastAsia="宋体" w:cs="宋体"/>
          <w:sz w:val="24"/>
          <w:szCs w:val="21"/>
          <w:lang w:val="en-US" w:eastAsia="zh-CN"/>
        </w:rPr>
        <w:t>养护项目</w:t>
      </w:r>
      <w:r>
        <w:rPr>
          <w:rFonts w:hint="eastAsia" w:ascii="宋体" w:hAnsi="宋体" w:eastAsia="宋体" w:cs="宋体"/>
          <w:sz w:val="24"/>
          <w:szCs w:val="21"/>
          <w:lang w:val="en-US" w:eastAsia="zh-CN"/>
        </w:rPr>
        <w:t>。</w:t>
      </w:r>
      <w:r>
        <w:rPr>
          <w:rFonts w:hint="default" w:ascii="宋体" w:hAnsi="宋体" w:eastAsia="宋体" w:cs="宋体"/>
          <w:sz w:val="24"/>
          <w:szCs w:val="21"/>
          <w:lang w:val="en-US" w:eastAsia="zh-CN"/>
        </w:rPr>
        <w:t>公路工程相关专业职称包括公路工程、桥梁工程、公路与桥梁工程、交通土建、隧道（地下结构）工程、交通工程、道桥等专业职称。</w:t>
      </w:r>
    </w:p>
    <w:p w14:paraId="08F866C7">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（5）信誉要求：</w:t>
      </w:r>
    </w:p>
    <w:p w14:paraId="0CDEF801">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720" w:firstLineChars="300"/>
        <w:textAlignment w:val="baseline"/>
        <w:rPr>
          <w:rFonts w:hint="default" w:ascii="宋体" w:hAnsi="宋体" w:eastAsia="宋体" w:cs="宋体"/>
          <w:sz w:val="24"/>
          <w:szCs w:val="21"/>
          <w:highlight w:val="none"/>
          <w:lang w:val="en-US" w:eastAsia="zh-CN"/>
        </w:rPr>
      </w:pPr>
      <w:r>
        <w:rPr>
          <w:rFonts w:hint="default" w:ascii="宋体" w:hAnsi="宋体" w:eastAsia="宋体" w:cs="宋体"/>
          <w:sz w:val="24"/>
          <w:szCs w:val="21"/>
          <w:lang w:val="en-US" w:eastAsia="zh-CN"/>
        </w:rPr>
        <w:t>1）近五年（</w:t>
      </w:r>
      <w:r>
        <w:rPr>
          <w:rFonts w:hint="eastAsia" w:ascii="宋体" w:hAnsi="宋体" w:eastAsia="宋体" w:cs="宋体"/>
          <w:sz w:val="24"/>
          <w:szCs w:val="21"/>
          <w:highlight w:val="none"/>
          <w:lang w:val="en-US" w:eastAsia="zh-CN"/>
        </w:rPr>
        <w:t>2020年至递交投标文件截止日</w:t>
      </w:r>
      <w:r>
        <w:rPr>
          <w:rFonts w:hint="default" w:ascii="宋体" w:hAnsi="宋体" w:eastAsia="宋体" w:cs="宋体"/>
          <w:sz w:val="24"/>
          <w:szCs w:val="21"/>
          <w:highlight w:val="none"/>
          <w:lang w:val="en-US" w:eastAsia="zh-CN"/>
        </w:rPr>
        <w:t>）内，投标人不得拖欠农民工工资。</w:t>
      </w:r>
    </w:p>
    <w:p w14:paraId="4B48069C">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720" w:firstLineChars="300"/>
        <w:textAlignment w:val="baseline"/>
        <w:rPr>
          <w:rFonts w:hint="default" w:ascii="宋体" w:hAnsi="宋体" w:eastAsia="宋体" w:cs="宋体"/>
          <w:sz w:val="24"/>
          <w:szCs w:val="21"/>
          <w:lang w:val="en-US" w:eastAsia="zh-CN"/>
        </w:rPr>
      </w:pPr>
      <w:r>
        <w:rPr>
          <w:rFonts w:hint="default" w:ascii="宋体" w:hAnsi="宋体" w:eastAsia="宋体" w:cs="宋体"/>
          <w:sz w:val="24"/>
          <w:szCs w:val="21"/>
          <w:highlight w:val="none"/>
          <w:lang w:val="en-US" w:eastAsia="zh-CN"/>
        </w:rPr>
        <w:t>2）近五年（</w:t>
      </w:r>
      <w:r>
        <w:rPr>
          <w:rFonts w:hint="eastAsia" w:ascii="宋体" w:hAnsi="宋体" w:eastAsia="宋体" w:cs="宋体"/>
          <w:sz w:val="24"/>
          <w:szCs w:val="21"/>
          <w:highlight w:val="none"/>
          <w:lang w:val="en-US" w:eastAsia="zh-CN"/>
        </w:rPr>
        <w:t>2020年至递交投标文件截止日</w:t>
      </w:r>
      <w:r>
        <w:rPr>
          <w:rFonts w:hint="default" w:ascii="宋体" w:hAnsi="宋体" w:eastAsia="宋体" w:cs="宋体"/>
          <w:sz w:val="24"/>
          <w:szCs w:val="21"/>
          <w:lang w:val="en-US" w:eastAsia="zh-CN"/>
        </w:rPr>
        <w:t>）内，投标人不得有重大质量、安全事故。</w:t>
      </w:r>
    </w:p>
    <w:p w14:paraId="2452C7B2">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720" w:firstLineChars="300"/>
        <w:textAlignment w:val="baseline"/>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3）近五年（</w:t>
      </w:r>
      <w:r>
        <w:rPr>
          <w:rFonts w:hint="eastAsia" w:ascii="宋体" w:hAnsi="宋体" w:eastAsia="宋体" w:cs="宋体"/>
          <w:sz w:val="24"/>
          <w:szCs w:val="21"/>
          <w:lang w:val="en-US" w:eastAsia="zh-CN"/>
        </w:rPr>
        <w:t>2020年至递交投标文件截止日</w:t>
      </w:r>
      <w:r>
        <w:rPr>
          <w:rFonts w:hint="default" w:ascii="宋体" w:hAnsi="宋体" w:eastAsia="宋体" w:cs="宋体"/>
          <w:sz w:val="24"/>
          <w:szCs w:val="21"/>
          <w:lang w:val="en-US" w:eastAsia="zh-CN"/>
        </w:rPr>
        <w:t>）内，投标人不得在合同中违约、被驱逐出现场、亦未曾因任何原因而被废除合同。</w:t>
      </w:r>
    </w:p>
    <w:p w14:paraId="075938B7">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720" w:firstLineChars="300"/>
        <w:textAlignment w:val="baseline"/>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4）近五年（</w:t>
      </w:r>
      <w:r>
        <w:rPr>
          <w:rFonts w:hint="eastAsia" w:ascii="宋体" w:hAnsi="宋体" w:eastAsia="宋体" w:cs="宋体"/>
          <w:sz w:val="24"/>
          <w:szCs w:val="21"/>
          <w:lang w:val="en-US" w:eastAsia="zh-CN"/>
        </w:rPr>
        <w:t>2020年至递交投标文件截止日</w:t>
      </w:r>
      <w:r>
        <w:rPr>
          <w:rFonts w:hint="default" w:ascii="宋体" w:hAnsi="宋体" w:eastAsia="宋体" w:cs="宋体"/>
          <w:sz w:val="24"/>
          <w:szCs w:val="21"/>
          <w:lang w:val="en-US" w:eastAsia="zh-CN"/>
        </w:rPr>
        <w:t>）内，投标人不得存在交通运输部或黑龙江省交通运输厅取消投标资格并处于处罚有效期的情况。</w:t>
      </w:r>
    </w:p>
    <w:p w14:paraId="291A913B">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720" w:firstLineChars="300"/>
        <w:textAlignment w:val="baseline"/>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5）在"信用中国"网站（http://www.creditchina.gov.cn/）中被列入失信被执行人名单的投标人，不得参加投标，并提供网站查询结果的截图。（查询对象：投标企业、法定代表人、拟派项目经理、拟派项目总工）。</w:t>
      </w:r>
    </w:p>
    <w:p w14:paraId="74EA8A95">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720" w:firstLineChars="300"/>
        <w:textAlignment w:val="baseline"/>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6）近三年在“中国裁判文书网”（http://wenshu.court.gov.cn）中存在行贿犯罪行为的投标人，不得参加投标，并提供网站查询结果的截图。（查询对象：投标企业、法定代表人、拟派项目经理、拟派项目总工）</w:t>
      </w:r>
      <w:r>
        <w:rPr>
          <w:rFonts w:hint="default" w:ascii="宋体" w:hAnsi="宋体" w:eastAsia="宋体" w:cs="宋体"/>
          <w:sz w:val="24"/>
          <w:szCs w:val="21"/>
        </w:rPr>
        <w:t>。</w:t>
      </w:r>
    </w:p>
    <w:p w14:paraId="142AD364">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rPr>
      </w:pPr>
      <w:r>
        <w:rPr>
          <w:rFonts w:hint="default" w:ascii="宋体" w:hAnsi="宋体" w:eastAsia="宋体" w:cs="宋体"/>
          <w:sz w:val="24"/>
          <w:szCs w:val="21"/>
          <w:lang w:val="en-US" w:eastAsia="zh-CN"/>
        </w:rPr>
        <w:t xml:space="preserve">3.2 </w:t>
      </w:r>
      <w:r>
        <w:rPr>
          <w:rFonts w:hint="default" w:ascii="宋体" w:hAnsi="宋体" w:eastAsia="宋体" w:cs="宋体"/>
          <w:sz w:val="24"/>
          <w:szCs w:val="21"/>
        </w:rPr>
        <w:t>与招标人存在利害关系可能影响招标公正性的法人、其他组织或者个人，不得参加投标。单位负责人为同一人或者存在控股、管理关系的不同单位，不得在同一合同中参加投标。国务院国有资产监督管理机构直接监管的中央企业均不属于本条规定的“母公司”，其一级子公司可同时参加投标，但同属一个子公司的二级子公司不得同时对同一标段投标。</w:t>
      </w:r>
    </w:p>
    <w:p w14:paraId="074A267F">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3.3投标人在投标文件中如实填报的资质、业绩、主要人员资历和目前在岗情况、信用等级等信息，应当与其在交通运输部“全国公路建设市场信用信息管理系统（http://glxy.mot.gov.cn/BM/）”或“黑龙江省交公路水路建设市场信用信息管理系统(http://sgqy.hljjt.gov.cn/)”上填报并发布的相关信息一致。 </w:t>
      </w:r>
    </w:p>
    <w:p w14:paraId="104EC60D">
      <w:pPr>
        <w:keepNext w:val="0"/>
        <w:keepLines w:val="0"/>
        <w:pageBreakBefore w:val="0"/>
        <w:widowControl/>
        <w:kinsoku w:val="0"/>
        <w:wordWrap/>
        <w:overflowPunct/>
        <w:topLinePunct w:val="0"/>
        <w:autoSpaceDE w:val="0"/>
        <w:autoSpaceDN w:val="0"/>
        <w:bidi w:val="0"/>
        <w:adjustRightInd w:val="0"/>
        <w:snapToGrid w:val="0"/>
        <w:spacing w:before="122" w:line="360" w:lineRule="auto"/>
        <w:ind w:firstLine="480" w:firstLineChars="200"/>
        <w:textAlignment w:val="baseline"/>
        <w:rPr>
          <w:rFonts w:hint="default" w:ascii="宋体" w:hAnsi="宋体" w:eastAsia="宋体" w:cs="宋体"/>
          <w:sz w:val="24"/>
          <w:szCs w:val="21"/>
        </w:rPr>
      </w:pPr>
      <w:r>
        <w:rPr>
          <w:rFonts w:hint="default" w:ascii="宋体" w:hAnsi="宋体" w:eastAsia="宋体" w:cs="宋体"/>
          <w:sz w:val="24"/>
          <w:szCs w:val="21"/>
          <w:lang w:val="en-US" w:eastAsia="zh-CN"/>
        </w:rPr>
        <w:t>3.4本次招标不接受联合体投标。 </w:t>
      </w:r>
    </w:p>
    <w:p w14:paraId="07C9A2D3">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color w:val="auto"/>
          <w:sz w:val="24"/>
          <w:szCs w:val="21"/>
          <w:lang w:val="en-US" w:eastAsia="zh-CN"/>
        </w:rPr>
      </w:pPr>
      <w:r>
        <w:rPr>
          <w:rFonts w:hint="default" w:ascii="宋体" w:hAnsi="宋体" w:eastAsia="宋体" w:cs="宋体"/>
          <w:color w:val="auto"/>
          <w:sz w:val="24"/>
          <w:szCs w:val="21"/>
          <w:lang w:val="en-US" w:eastAsia="zh-CN"/>
        </w:rPr>
        <w:t>3.5本项目每个投标人只允许参加1个施工合同段的投标，具体要求详见招标文件。</w:t>
      </w:r>
    </w:p>
    <w:p w14:paraId="6783053E">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3.6本次招标评标采用“技术评分最低标价法”，投标文件采用双信封形式，对投标人的资格审查采用资格后审的方式。</w:t>
      </w:r>
    </w:p>
    <w:p w14:paraId="06C0CF7B">
      <w:pPr>
        <w:keepNext w:val="0"/>
        <w:keepLines w:val="0"/>
        <w:pageBreakBefore w:val="0"/>
        <w:widowControl/>
        <w:kinsoku w:val="0"/>
        <w:wordWrap/>
        <w:overflowPunct/>
        <w:topLinePunct w:val="0"/>
        <w:autoSpaceDE w:val="0"/>
        <w:autoSpaceDN w:val="0"/>
        <w:bidi w:val="0"/>
        <w:adjustRightInd w:val="0"/>
        <w:snapToGrid w:val="0"/>
        <w:spacing w:before="122" w:line="360" w:lineRule="auto"/>
        <w:textAlignment w:val="baseline"/>
        <w:rPr>
          <w:rFonts w:hint="default" w:ascii="宋体" w:hAnsi="宋体" w:eastAsia="宋体" w:cs="宋体"/>
          <w:sz w:val="24"/>
          <w:szCs w:val="21"/>
        </w:rPr>
      </w:pPr>
      <w:r>
        <w:rPr>
          <w:rFonts w:hint="default" w:ascii="宋体" w:hAnsi="宋体" w:eastAsia="宋体" w:cs="宋体"/>
          <w:sz w:val="24"/>
          <w:szCs w:val="21"/>
          <w:lang w:val="en-US" w:eastAsia="zh-CN"/>
        </w:rPr>
        <w:t>4.招标文件的获取 </w:t>
      </w:r>
    </w:p>
    <w:p w14:paraId="333E4067">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rPr>
      </w:pPr>
      <w:r>
        <w:rPr>
          <w:rFonts w:hint="default" w:ascii="宋体" w:hAnsi="宋体" w:eastAsia="宋体" w:cs="宋体"/>
          <w:sz w:val="24"/>
          <w:szCs w:val="21"/>
          <w:lang w:val="en-US" w:eastAsia="zh-CN"/>
        </w:rPr>
        <w:t>4.1 潜在投标人应先在"黑龙江公共资源交易网"（http://www.hljggzyjyw.org.cn/）进行用户注册、办理数字证书,使用数字证书登录"黑龙江公共资源交易网"上的"交易平台"，下载招标文件。下载时间</w:t>
      </w:r>
      <w:r>
        <w:rPr>
          <w:rFonts w:hint="default" w:ascii="宋体" w:hAnsi="宋体" w:eastAsia="宋体" w:cs="宋体"/>
          <w:sz w:val="24"/>
          <w:szCs w:val="21"/>
          <w:highlight w:val="none"/>
          <w:lang w:val="en-US" w:eastAsia="zh-CN"/>
        </w:rPr>
        <w:t>为</w:t>
      </w:r>
      <w:r>
        <w:rPr>
          <w:rFonts w:hint="eastAsia" w:ascii="宋体" w:hAnsi="宋体" w:eastAsia="宋体" w:cs="宋体"/>
          <w:sz w:val="24"/>
          <w:szCs w:val="21"/>
          <w:highlight w:val="none"/>
          <w:lang w:val="en-US" w:eastAsia="zh-CN"/>
        </w:rPr>
        <w:t>2025年05月29日16时至2025年06月06日16时</w:t>
      </w:r>
      <w:r>
        <w:rPr>
          <w:rFonts w:hint="default" w:ascii="宋体" w:hAnsi="宋体" w:eastAsia="宋体" w:cs="宋体"/>
          <w:sz w:val="24"/>
          <w:szCs w:val="21"/>
          <w:highlight w:val="none"/>
          <w:lang w:val="en-US" w:eastAsia="zh-CN"/>
        </w:rPr>
        <w:t>（北</w:t>
      </w:r>
      <w:r>
        <w:rPr>
          <w:rFonts w:hint="default" w:ascii="宋体" w:hAnsi="宋体" w:eastAsia="宋体" w:cs="宋体"/>
          <w:sz w:val="24"/>
          <w:szCs w:val="21"/>
          <w:lang w:val="en-US" w:eastAsia="zh-CN"/>
        </w:rPr>
        <w:t>京时间，下同）。</w:t>
      </w:r>
    </w:p>
    <w:p w14:paraId="69E88441">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rPr>
      </w:pPr>
      <w:r>
        <w:rPr>
          <w:rFonts w:hint="default" w:ascii="宋体" w:hAnsi="宋体" w:eastAsia="宋体" w:cs="宋体"/>
          <w:sz w:val="24"/>
          <w:szCs w:val="21"/>
          <w:lang w:val="en-US" w:eastAsia="zh-CN"/>
        </w:rPr>
        <w:t>有关手续请查看"黑龙江公共资源交易网"中的《关于黑龙江公共资源交易平台用户注册及办理数字证书的说明》。</w:t>
      </w:r>
    </w:p>
    <w:p w14:paraId="6CA7FFCC">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rPr>
      </w:pPr>
      <w:r>
        <w:rPr>
          <w:rFonts w:hint="default" w:ascii="宋体" w:hAnsi="宋体" w:eastAsia="宋体" w:cs="宋体"/>
          <w:sz w:val="24"/>
          <w:szCs w:val="21"/>
          <w:lang w:val="en-US" w:eastAsia="zh-CN"/>
        </w:rPr>
        <w:t>4.2 没有按照"黑龙江公共资源交易网"的流程要求全部完成的，按放弃投标处理。 </w:t>
      </w:r>
    </w:p>
    <w:p w14:paraId="1BE9CE05">
      <w:pPr>
        <w:keepNext w:val="0"/>
        <w:keepLines w:val="0"/>
        <w:pageBreakBefore w:val="0"/>
        <w:widowControl/>
        <w:kinsoku w:val="0"/>
        <w:wordWrap/>
        <w:overflowPunct/>
        <w:topLinePunct w:val="0"/>
        <w:autoSpaceDE w:val="0"/>
        <w:autoSpaceDN w:val="0"/>
        <w:bidi w:val="0"/>
        <w:adjustRightInd w:val="0"/>
        <w:snapToGrid w:val="0"/>
        <w:spacing w:before="122" w:line="360" w:lineRule="auto"/>
        <w:textAlignment w:val="baseline"/>
        <w:rPr>
          <w:rFonts w:hint="default" w:ascii="宋体" w:hAnsi="宋体" w:eastAsia="宋体" w:cs="宋体"/>
          <w:sz w:val="24"/>
          <w:szCs w:val="21"/>
        </w:rPr>
      </w:pPr>
      <w:r>
        <w:rPr>
          <w:rFonts w:hint="default" w:ascii="宋体" w:hAnsi="宋体" w:eastAsia="宋体" w:cs="宋体"/>
          <w:sz w:val="24"/>
          <w:szCs w:val="21"/>
          <w:lang w:val="en-US" w:eastAsia="zh-CN"/>
        </w:rPr>
        <w:t>5.投标文件的递交及相关事宜 </w:t>
      </w:r>
    </w:p>
    <w:p w14:paraId="75F76C1E">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rPr>
      </w:pPr>
      <w:r>
        <w:rPr>
          <w:rFonts w:hint="default" w:ascii="宋体" w:hAnsi="宋体" w:eastAsia="宋体" w:cs="宋体"/>
          <w:sz w:val="24"/>
          <w:szCs w:val="21"/>
          <w:lang w:val="en-US" w:eastAsia="zh-CN"/>
        </w:rPr>
        <w:t>5.1 招标人不组织踏勘现场，投标人自行踏勘，投标人提问、质疑以及招标人对招标文件澄清均通过网上进行。</w:t>
      </w:r>
    </w:p>
    <w:p w14:paraId="0DCF9108">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5.2 本项目投标采用电子投标文件进行，投标人应在投标文件递交截止时间前完成电子投标文件第一个信封(商务及技术文件)、第二个信封(报价文件)的递交工作。投标文件递交的截止时间为</w:t>
      </w:r>
      <w:r>
        <w:rPr>
          <w:rFonts w:hint="eastAsia" w:ascii="宋体" w:hAnsi="宋体" w:eastAsia="宋体" w:cs="宋体"/>
          <w:sz w:val="24"/>
          <w:szCs w:val="21"/>
          <w:highlight w:val="none"/>
          <w:lang w:val="en-US" w:eastAsia="zh-CN"/>
        </w:rPr>
        <w:t>2025年06月20日</w:t>
      </w:r>
      <w:r>
        <w:rPr>
          <w:rFonts w:hint="default" w:ascii="宋体" w:hAnsi="宋体" w:eastAsia="宋体" w:cs="宋体"/>
          <w:sz w:val="24"/>
          <w:szCs w:val="21"/>
          <w:highlight w:val="none"/>
          <w:lang w:val="en-US" w:eastAsia="zh-CN"/>
        </w:rPr>
        <w:t>0</w:t>
      </w:r>
      <w:r>
        <w:rPr>
          <w:rFonts w:hint="eastAsia" w:ascii="宋体" w:hAnsi="宋体" w:eastAsia="宋体" w:cs="宋体"/>
          <w:sz w:val="24"/>
          <w:szCs w:val="21"/>
          <w:highlight w:val="none"/>
          <w:lang w:val="en-US" w:eastAsia="zh-CN"/>
        </w:rPr>
        <w:t>9</w:t>
      </w:r>
      <w:r>
        <w:rPr>
          <w:rFonts w:hint="default" w:ascii="宋体" w:hAnsi="宋体" w:eastAsia="宋体" w:cs="宋体"/>
          <w:sz w:val="24"/>
          <w:szCs w:val="21"/>
          <w:highlight w:val="none"/>
          <w:lang w:val="en-US" w:eastAsia="zh-CN"/>
        </w:rPr>
        <w:t>时00分(即开标时间前) ，</w:t>
      </w:r>
      <w:r>
        <w:rPr>
          <w:rFonts w:hint="default" w:ascii="宋体" w:hAnsi="宋体" w:eastAsia="宋体" w:cs="宋体"/>
          <w:sz w:val="24"/>
          <w:szCs w:val="21"/>
          <w:lang w:val="en-US" w:eastAsia="zh-CN"/>
        </w:rPr>
        <w:t>投标人应于投标截止时间前安排线上开标人员进行线上开标及解密投标文件，未按时参加线上开标及解密文件的投标人，投标被否决。</w:t>
      </w:r>
    </w:p>
    <w:p w14:paraId="766D8E1B">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重要说明：本项目投标采用电子投标，投标人应在投标文件递交截止时间前完成电子投标文 件的递交工作。投标人在交易平台投标文件第一信封商务和技术文件时，切勿出现有关报价 内容，由于投标人自身原因导致投标报价在第一信封泄露，投标人自行承担责任。如需填报 价请用“/”代替。</w:t>
      </w:r>
    </w:p>
    <w:p w14:paraId="778BF535">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lang w:val="en-US" w:eastAsia="zh-CN"/>
        </w:rPr>
      </w:pPr>
      <w:r>
        <w:rPr>
          <w:rFonts w:hint="eastAsia" w:ascii="宋体" w:hAnsi="宋体" w:eastAsia="宋体" w:cs="宋体"/>
          <w:sz w:val="24"/>
          <w:szCs w:val="21"/>
          <w:lang w:val="en-US" w:eastAsia="zh-CN"/>
        </w:rPr>
        <w:t>5.3</w:t>
      </w:r>
      <w:r>
        <w:rPr>
          <w:rFonts w:hint="default" w:ascii="宋体" w:hAnsi="宋体" w:eastAsia="宋体" w:cs="宋体"/>
          <w:sz w:val="24"/>
          <w:szCs w:val="21"/>
          <w:lang w:val="en-US" w:eastAsia="zh-CN"/>
        </w:rPr>
        <w:t>投标人应提交投标保证金，投标保证金的金额：</w:t>
      </w:r>
      <w:r>
        <w:rPr>
          <w:rFonts w:hint="eastAsia" w:ascii="宋体" w:hAnsi="宋体" w:eastAsia="宋体" w:cs="宋体"/>
          <w:sz w:val="24"/>
          <w:szCs w:val="21"/>
          <w:lang w:val="en-US" w:eastAsia="zh-CN"/>
        </w:rPr>
        <w:t>A1</w:t>
      </w:r>
      <w:r>
        <w:rPr>
          <w:rFonts w:hint="default" w:ascii="宋体" w:hAnsi="宋体" w:eastAsia="宋体" w:cs="宋体"/>
          <w:sz w:val="24"/>
          <w:szCs w:val="21"/>
          <w:lang w:val="en-US" w:eastAsia="zh-CN"/>
        </w:rPr>
        <w:t>标段</w:t>
      </w:r>
      <w:r>
        <w:rPr>
          <w:rFonts w:hint="eastAsia" w:ascii="宋体" w:hAnsi="宋体" w:eastAsia="宋体" w:cs="宋体"/>
          <w:sz w:val="24"/>
          <w:szCs w:val="21"/>
          <w:lang w:val="en-US" w:eastAsia="zh-CN"/>
        </w:rPr>
        <w:t>：40</w:t>
      </w:r>
      <w:r>
        <w:rPr>
          <w:rFonts w:hint="default" w:ascii="宋体" w:hAnsi="宋体" w:eastAsia="宋体" w:cs="宋体"/>
          <w:sz w:val="24"/>
          <w:szCs w:val="21"/>
          <w:lang w:val="en-US" w:eastAsia="zh-CN"/>
        </w:rPr>
        <w:t>万元人民币</w:t>
      </w:r>
      <w:r>
        <w:rPr>
          <w:rFonts w:hint="eastAsia" w:ascii="宋体" w:hAnsi="宋体" w:eastAsia="宋体" w:cs="宋体"/>
          <w:sz w:val="24"/>
          <w:szCs w:val="21"/>
          <w:lang w:val="en-US" w:eastAsia="zh-CN"/>
        </w:rPr>
        <w:t>，A2标段：20万元人民币，</w:t>
      </w:r>
      <w:r>
        <w:rPr>
          <w:rFonts w:hint="default" w:ascii="宋体" w:hAnsi="宋体" w:eastAsia="宋体" w:cs="宋体"/>
          <w:sz w:val="24"/>
          <w:szCs w:val="21"/>
          <w:lang w:val="en-US" w:eastAsia="zh-CN"/>
        </w:rPr>
        <w:t>投标保证金应采用电汇或电子保函形式：①采用电汇形式递交投标保证金的，投标保证金应在递交投标文件截止时间之前24小时由投标人基本存款账户汇出，汇入与黑龙江省公共资源交易平台对接的银行。如因投标人未在规定的截止时间前递交投标保证金，投标人自行承担相应责任。②采用电子保函方式递交投标保证金的，投标人应按黑龙江省公共资源交易网的相关规定执行。</w:t>
      </w:r>
    </w:p>
    <w:p w14:paraId="4D642718">
      <w:pPr>
        <w:pStyle w:val="2"/>
        <w:rPr>
          <w:rFonts w:hint="default" w:ascii="宋体" w:hAnsi="宋体" w:eastAsia="宋体" w:cs="宋体"/>
          <w:snapToGrid w:val="0"/>
          <w:color w:val="000000"/>
          <w:kern w:val="0"/>
          <w:sz w:val="24"/>
          <w:szCs w:val="21"/>
          <w:lang w:val="en-US" w:eastAsia="zh-CN"/>
        </w:rPr>
      </w:pPr>
      <w:r>
        <w:rPr>
          <w:rFonts w:hint="default" w:ascii="宋体" w:hAnsi="宋体" w:eastAsia="宋体" w:cs="宋体"/>
          <w:snapToGrid w:val="0"/>
          <w:color w:val="000000"/>
          <w:kern w:val="0"/>
          <w:sz w:val="24"/>
          <w:szCs w:val="21"/>
          <w:lang w:val="en-US" w:eastAsia="zh-CN"/>
        </w:rPr>
        <w:t>6.发布公告的媒介</w:t>
      </w:r>
    </w:p>
    <w:p w14:paraId="06701EC0">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napToGrid w:val="0"/>
          <w:color w:val="000000"/>
          <w:kern w:val="0"/>
          <w:sz w:val="24"/>
          <w:szCs w:val="21"/>
          <w:lang w:val="en-US" w:eastAsia="zh-CN"/>
        </w:rPr>
      </w:pPr>
      <w:r>
        <w:rPr>
          <w:rFonts w:hint="default" w:ascii="宋体" w:hAnsi="宋体" w:eastAsia="宋体" w:cs="宋体"/>
          <w:snapToGrid w:val="0"/>
          <w:color w:val="000000"/>
          <w:kern w:val="0"/>
          <w:sz w:val="24"/>
          <w:szCs w:val="21"/>
          <w:lang w:val="en-US" w:eastAsia="zh-CN"/>
        </w:rPr>
        <w:t>本次招标公告同时在黑龙江省公共资源交易网(https://ggzyjyw.hlj.gov.cn/)、黑龙江省交通运输厅网站(http://www.hljjt.gov.cn)上发布。</w:t>
      </w:r>
    </w:p>
    <w:p w14:paraId="4B53846B">
      <w:pPr>
        <w:pStyle w:val="8"/>
        <w:ind w:left="0" w:leftChars="0" w:firstLine="0" w:firstLineChars="0"/>
        <w:rPr>
          <w:rFonts w:hint="default" w:ascii="宋体" w:hAnsi="宋体" w:eastAsia="宋体" w:cs="宋体"/>
          <w:snapToGrid w:val="0"/>
          <w:color w:val="000000"/>
          <w:kern w:val="0"/>
          <w:sz w:val="24"/>
          <w:szCs w:val="21"/>
          <w:lang w:val="en-US" w:eastAsia="zh-CN"/>
        </w:rPr>
      </w:pPr>
      <w:r>
        <w:rPr>
          <w:rFonts w:hint="eastAsia" w:ascii="宋体" w:hAnsi="宋体" w:eastAsia="宋体" w:cs="宋体"/>
          <w:snapToGrid w:val="0"/>
          <w:color w:val="000000"/>
          <w:kern w:val="0"/>
          <w:sz w:val="24"/>
          <w:szCs w:val="21"/>
          <w:lang w:val="en-US" w:eastAsia="zh-CN"/>
        </w:rPr>
        <w:t>7</w:t>
      </w:r>
      <w:r>
        <w:rPr>
          <w:rFonts w:hint="default" w:ascii="宋体" w:hAnsi="宋体" w:eastAsia="宋体" w:cs="宋体"/>
          <w:snapToGrid w:val="0"/>
          <w:color w:val="000000"/>
          <w:kern w:val="0"/>
          <w:sz w:val="24"/>
          <w:szCs w:val="21"/>
          <w:lang w:val="en-US" w:eastAsia="zh-CN"/>
        </w:rPr>
        <w:t>．中标候选人公示</w:t>
      </w:r>
    </w:p>
    <w:p w14:paraId="7226C146">
      <w:pPr>
        <w:pStyle w:val="8"/>
        <w:rPr>
          <w:rFonts w:hint="default" w:ascii="宋体" w:hAnsi="宋体" w:eastAsia="宋体" w:cs="宋体"/>
          <w:snapToGrid w:val="0"/>
          <w:color w:val="000000"/>
          <w:kern w:val="0"/>
          <w:sz w:val="24"/>
          <w:szCs w:val="21"/>
          <w:lang w:val="en-US" w:eastAsia="zh-CN"/>
        </w:rPr>
      </w:pPr>
    </w:p>
    <w:p w14:paraId="179922D9">
      <w:pPr>
        <w:pStyle w:val="8"/>
        <w:keepNext w:val="0"/>
        <w:keepLines w:val="0"/>
        <w:pageBreakBefore w:val="0"/>
        <w:widowControl/>
        <w:kinsoku/>
        <w:wordWrap w:val="0"/>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napToGrid w:val="0"/>
          <w:color w:val="000000"/>
          <w:kern w:val="0"/>
          <w:sz w:val="24"/>
          <w:szCs w:val="21"/>
          <w:lang w:val="en-US" w:eastAsia="zh-CN"/>
        </w:rPr>
      </w:pPr>
      <w:r>
        <w:rPr>
          <w:rFonts w:hint="default" w:ascii="宋体" w:hAnsi="宋体" w:eastAsia="宋体" w:cs="宋体"/>
          <w:snapToGrid w:val="0"/>
          <w:color w:val="000000"/>
          <w:kern w:val="0"/>
          <w:sz w:val="24"/>
          <w:szCs w:val="21"/>
          <w:lang w:val="en-US" w:eastAsia="zh-CN"/>
        </w:rPr>
        <w:t>本项目同时在黑龙江省公共资源交易网(https://ggzyjyw.hlj.gov.cn/)、黑龙江省交通运输厅网站(http://www.hljjt.gov.cn)网站上公示中标候选人，公示期为3日，公示内容包括：</w:t>
      </w:r>
    </w:p>
    <w:p w14:paraId="14B9DBFF">
      <w:pPr>
        <w:pStyle w:val="8"/>
        <w:rPr>
          <w:rFonts w:hint="default" w:ascii="宋体" w:hAnsi="宋体" w:eastAsia="宋体" w:cs="宋体"/>
          <w:snapToGrid w:val="0"/>
          <w:color w:val="000000"/>
          <w:kern w:val="0"/>
          <w:sz w:val="24"/>
          <w:szCs w:val="21"/>
          <w:lang w:val="en-US" w:eastAsia="zh-CN"/>
        </w:rPr>
      </w:pPr>
    </w:p>
    <w:p w14:paraId="59D6B3CF">
      <w:pPr>
        <w:pStyle w:val="8"/>
        <w:ind w:left="0" w:leftChars="0" w:firstLine="0" w:firstLineChars="0"/>
        <w:rPr>
          <w:rFonts w:hint="default" w:ascii="宋体" w:hAnsi="宋体" w:eastAsia="宋体" w:cs="宋体"/>
          <w:snapToGrid w:val="0"/>
          <w:color w:val="000000"/>
          <w:kern w:val="0"/>
          <w:sz w:val="24"/>
          <w:szCs w:val="21"/>
          <w:lang w:val="en-US" w:eastAsia="zh-CN"/>
        </w:rPr>
      </w:pPr>
      <w:r>
        <w:rPr>
          <w:rFonts w:hint="default" w:ascii="宋体" w:hAnsi="宋体" w:eastAsia="宋体" w:cs="宋体"/>
          <w:snapToGrid w:val="0"/>
          <w:color w:val="000000"/>
          <w:kern w:val="0"/>
          <w:sz w:val="24"/>
          <w:szCs w:val="21"/>
          <w:lang w:val="en-US" w:eastAsia="zh-CN"/>
        </w:rPr>
        <w:t>（1）中标候选人排序、名称、投标报价、质量要求、安全目标、工期；</w:t>
      </w:r>
    </w:p>
    <w:p w14:paraId="1B968C9D">
      <w:pPr>
        <w:pStyle w:val="8"/>
        <w:rPr>
          <w:rFonts w:hint="default" w:ascii="宋体" w:hAnsi="宋体" w:eastAsia="宋体" w:cs="宋体"/>
          <w:snapToGrid w:val="0"/>
          <w:color w:val="000000"/>
          <w:kern w:val="0"/>
          <w:sz w:val="24"/>
          <w:szCs w:val="21"/>
          <w:lang w:val="en-US" w:eastAsia="zh-CN"/>
        </w:rPr>
      </w:pPr>
    </w:p>
    <w:p w14:paraId="71396218">
      <w:pPr>
        <w:pStyle w:val="8"/>
        <w:ind w:left="0" w:leftChars="0" w:firstLine="0" w:firstLineChars="0"/>
        <w:rPr>
          <w:rFonts w:hint="default" w:ascii="宋体" w:hAnsi="宋体" w:eastAsia="宋体" w:cs="宋体"/>
          <w:snapToGrid w:val="0"/>
          <w:color w:val="000000"/>
          <w:kern w:val="0"/>
          <w:sz w:val="24"/>
          <w:szCs w:val="21"/>
          <w:lang w:val="en-US" w:eastAsia="zh-CN"/>
        </w:rPr>
      </w:pPr>
      <w:r>
        <w:rPr>
          <w:rFonts w:hint="default" w:ascii="宋体" w:hAnsi="宋体" w:eastAsia="宋体" w:cs="宋体"/>
          <w:snapToGrid w:val="0"/>
          <w:color w:val="000000"/>
          <w:kern w:val="0"/>
          <w:sz w:val="24"/>
          <w:szCs w:val="21"/>
          <w:lang w:val="en-US" w:eastAsia="zh-CN"/>
        </w:rPr>
        <w:t>（2）中标候选人在投标文件中承诺的项目经理和项目总工姓名、相关证书名称和编号；</w:t>
      </w:r>
    </w:p>
    <w:p w14:paraId="025E47F8">
      <w:pPr>
        <w:pStyle w:val="8"/>
        <w:rPr>
          <w:rFonts w:hint="default" w:ascii="宋体" w:hAnsi="宋体" w:eastAsia="宋体" w:cs="宋体"/>
          <w:snapToGrid w:val="0"/>
          <w:color w:val="000000"/>
          <w:kern w:val="0"/>
          <w:sz w:val="24"/>
          <w:szCs w:val="21"/>
          <w:lang w:val="en-US" w:eastAsia="zh-CN"/>
        </w:rPr>
      </w:pPr>
    </w:p>
    <w:p w14:paraId="5FB6E1F6">
      <w:pPr>
        <w:pStyle w:val="8"/>
        <w:ind w:left="0" w:leftChars="0" w:firstLine="0" w:firstLineChars="0"/>
        <w:rPr>
          <w:rFonts w:hint="default" w:ascii="宋体" w:hAnsi="宋体" w:eastAsia="宋体" w:cs="宋体"/>
          <w:snapToGrid w:val="0"/>
          <w:color w:val="000000"/>
          <w:kern w:val="0"/>
          <w:sz w:val="24"/>
          <w:szCs w:val="21"/>
          <w:lang w:val="en-US" w:eastAsia="zh-CN"/>
        </w:rPr>
      </w:pPr>
      <w:r>
        <w:rPr>
          <w:rFonts w:hint="default" w:ascii="宋体" w:hAnsi="宋体" w:eastAsia="宋体" w:cs="宋体"/>
          <w:snapToGrid w:val="0"/>
          <w:color w:val="000000"/>
          <w:kern w:val="0"/>
          <w:sz w:val="24"/>
          <w:szCs w:val="21"/>
          <w:lang w:val="en-US" w:eastAsia="zh-CN"/>
        </w:rPr>
        <w:t>（3）被否决投标的投标人名称、否决依据和原因；</w:t>
      </w:r>
    </w:p>
    <w:p w14:paraId="74B6E2F1">
      <w:pPr>
        <w:pStyle w:val="8"/>
        <w:rPr>
          <w:rFonts w:hint="default" w:ascii="宋体" w:hAnsi="宋体" w:eastAsia="宋体" w:cs="宋体"/>
          <w:snapToGrid w:val="0"/>
          <w:color w:val="000000"/>
          <w:kern w:val="0"/>
          <w:sz w:val="24"/>
          <w:szCs w:val="21"/>
          <w:lang w:val="en-US" w:eastAsia="zh-CN"/>
        </w:rPr>
      </w:pPr>
    </w:p>
    <w:p w14:paraId="5432E9C3">
      <w:pPr>
        <w:pStyle w:val="8"/>
        <w:ind w:left="0" w:leftChars="0" w:firstLine="0" w:firstLineChars="0"/>
        <w:rPr>
          <w:rFonts w:hint="default" w:ascii="宋体" w:hAnsi="宋体" w:eastAsia="宋体" w:cs="宋体"/>
          <w:snapToGrid w:val="0"/>
          <w:color w:val="000000"/>
          <w:kern w:val="0"/>
          <w:sz w:val="24"/>
          <w:szCs w:val="21"/>
          <w:lang w:val="en-US" w:eastAsia="zh-CN"/>
        </w:rPr>
      </w:pPr>
      <w:r>
        <w:rPr>
          <w:rFonts w:hint="default" w:ascii="宋体" w:hAnsi="宋体" w:eastAsia="宋体" w:cs="宋体"/>
          <w:snapToGrid w:val="0"/>
          <w:color w:val="000000"/>
          <w:kern w:val="0"/>
          <w:sz w:val="24"/>
          <w:szCs w:val="21"/>
          <w:lang w:val="en-US" w:eastAsia="zh-CN"/>
        </w:rPr>
        <w:t>（4）提出异议的渠道和方式。</w:t>
      </w:r>
    </w:p>
    <w:p w14:paraId="2357A50B">
      <w:pPr>
        <w:pStyle w:val="8"/>
        <w:rPr>
          <w:rFonts w:hint="default"/>
          <w:lang w:val="en-US" w:eastAsia="zh-CN"/>
        </w:rPr>
      </w:pPr>
    </w:p>
    <w:p w14:paraId="44ECD63C">
      <w:pPr>
        <w:keepNext w:val="0"/>
        <w:keepLines w:val="0"/>
        <w:pageBreakBefore w:val="0"/>
        <w:widowControl/>
        <w:kinsoku w:val="0"/>
        <w:wordWrap/>
        <w:overflowPunct/>
        <w:topLinePunct w:val="0"/>
        <w:autoSpaceDE w:val="0"/>
        <w:autoSpaceDN w:val="0"/>
        <w:bidi w:val="0"/>
        <w:adjustRightInd w:val="0"/>
        <w:snapToGrid w:val="0"/>
        <w:spacing w:before="122" w:line="360" w:lineRule="auto"/>
        <w:textAlignment w:val="baseline"/>
        <w:rPr>
          <w:rFonts w:hint="default" w:ascii="宋体" w:hAnsi="宋体" w:eastAsia="宋体" w:cs="宋体"/>
          <w:sz w:val="24"/>
          <w:szCs w:val="21"/>
        </w:rPr>
      </w:pPr>
      <w:r>
        <w:rPr>
          <w:rFonts w:hint="eastAsia" w:ascii="宋体" w:hAnsi="宋体" w:eastAsia="宋体" w:cs="宋体"/>
          <w:sz w:val="24"/>
          <w:szCs w:val="21"/>
          <w:lang w:val="en-US" w:eastAsia="zh-CN"/>
        </w:rPr>
        <w:t>8</w:t>
      </w:r>
      <w:r>
        <w:rPr>
          <w:rFonts w:hint="default" w:ascii="宋体" w:hAnsi="宋体" w:eastAsia="宋体" w:cs="宋体"/>
          <w:sz w:val="24"/>
          <w:szCs w:val="21"/>
          <w:lang w:val="en-US" w:eastAsia="zh-CN"/>
        </w:rPr>
        <w:t>.联系方式 </w:t>
      </w:r>
    </w:p>
    <w:p w14:paraId="3173F0C7">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lang w:val="en-US"/>
        </w:rPr>
      </w:pPr>
      <w:r>
        <w:rPr>
          <w:rFonts w:hint="default" w:ascii="宋体" w:hAnsi="宋体" w:eastAsia="宋体" w:cs="宋体"/>
          <w:sz w:val="24"/>
          <w:szCs w:val="21"/>
          <w:lang w:val="en-US" w:eastAsia="zh-CN"/>
        </w:rPr>
        <w:t>监督单位：</w:t>
      </w:r>
      <w:r>
        <w:rPr>
          <w:rFonts w:hint="eastAsia" w:ascii="宋体" w:hAnsi="宋体" w:eastAsia="宋体" w:cs="宋体"/>
          <w:sz w:val="24"/>
          <w:szCs w:val="21"/>
          <w:lang w:val="en-US" w:eastAsia="zh-CN"/>
        </w:rPr>
        <w:t>佳木斯市交通运输局</w:t>
      </w:r>
    </w:p>
    <w:p w14:paraId="58FD552D">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电    话：0454-6770008</w:t>
      </w:r>
    </w:p>
    <w:p w14:paraId="2BCA5336">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eastAsia" w:ascii="宋体" w:hAnsi="宋体" w:eastAsia="宋体" w:cs="宋体"/>
          <w:sz w:val="24"/>
          <w:szCs w:val="21"/>
          <w:lang w:val="en-US" w:eastAsia="zh-CN"/>
        </w:rPr>
      </w:pPr>
      <w:r>
        <w:rPr>
          <w:rFonts w:hint="default" w:ascii="宋体" w:hAnsi="宋体" w:eastAsia="宋体" w:cs="宋体"/>
          <w:sz w:val="24"/>
          <w:szCs w:val="21"/>
          <w:lang w:val="en-US" w:eastAsia="zh-CN"/>
        </w:rPr>
        <w:t>招 标 人：</w:t>
      </w:r>
      <w:r>
        <w:rPr>
          <w:rFonts w:hint="eastAsia" w:ascii="宋体" w:hAnsi="宋体" w:eastAsia="宋体" w:cs="宋体"/>
          <w:sz w:val="24"/>
          <w:szCs w:val="21"/>
          <w:lang w:val="en-US" w:eastAsia="zh-CN"/>
        </w:rPr>
        <w:t>国道抚远至饶河公路别拉洪至四合段改扩建工程建设指挥部</w:t>
      </w:r>
    </w:p>
    <w:p w14:paraId="73E77BED">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地址：佳木斯市抚远市平安街179号</w:t>
      </w:r>
    </w:p>
    <w:p w14:paraId="7B1974D7">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lang w:val="en-US" w:eastAsia="zh-CN"/>
        </w:rPr>
      </w:pPr>
      <w:r>
        <w:rPr>
          <w:rFonts w:hint="eastAsia" w:ascii="宋体" w:hAnsi="宋体" w:eastAsia="宋体" w:cs="宋体"/>
          <w:sz w:val="24"/>
          <w:szCs w:val="21"/>
          <w:lang w:val="en-US" w:eastAsia="zh-CN"/>
        </w:rPr>
        <w:t>邮政编码：156500</w:t>
      </w:r>
    </w:p>
    <w:p w14:paraId="31AD9249">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lang w:val="en-US"/>
        </w:rPr>
      </w:pPr>
      <w:r>
        <w:rPr>
          <w:rFonts w:hint="default" w:ascii="宋体" w:hAnsi="宋体" w:eastAsia="宋体" w:cs="宋体"/>
          <w:sz w:val="24"/>
          <w:szCs w:val="21"/>
          <w:lang w:val="en-US" w:eastAsia="zh-CN"/>
        </w:rPr>
        <w:t>联 系 人：刘先生</w:t>
      </w:r>
    </w:p>
    <w:p w14:paraId="08807A72">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lang w:val="en-US"/>
        </w:rPr>
      </w:pPr>
      <w:r>
        <w:rPr>
          <w:rFonts w:hint="default" w:ascii="宋体" w:hAnsi="宋体" w:eastAsia="宋体" w:cs="宋体"/>
          <w:sz w:val="24"/>
          <w:szCs w:val="21"/>
          <w:lang w:val="en-US" w:eastAsia="zh-CN"/>
        </w:rPr>
        <w:t>电    话：0454-2132412</w:t>
      </w:r>
    </w:p>
    <w:p w14:paraId="14D3C981">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eastAsia" w:ascii="宋体" w:hAnsi="宋体" w:eastAsia="宋体" w:cs="宋体"/>
          <w:sz w:val="24"/>
          <w:szCs w:val="21"/>
          <w:lang w:val="en-US" w:eastAsia="zh-CN"/>
        </w:rPr>
      </w:pPr>
      <w:r>
        <w:rPr>
          <w:rFonts w:hint="default" w:ascii="宋体" w:hAnsi="宋体" w:eastAsia="宋体" w:cs="宋体"/>
          <w:sz w:val="24"/>
          <w:szCs w:val="21"/>
          <w:lang w:val="en-US" w:eastAsia="zh-CN"/>
        </w:rPr>
        <w:t>招标代理机构：</w:t>
      </w:r>
      <w:r>
        <w:rPr>
          <w:rFonts w:hint="eastAsia" w:ascii="宋体" w:hAnsi="宋体" w:eastAsia="宋体" w:cs="宋体"/>
          <w:sz w:val="24"/>
          <w:szCs w:val="21"/>
          <w:lang w:val="en-US" w:eastAsia="zh-CN"/>
        </w:rPr>
        <w:t>黑龙江锦亿工程项目管理有限公司</w:t>
      </w:r>
    </w:p>
    <w:p w14:paraId="21188D2D">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地址：哈尔滨市南岗区爱达尊御Loft14楼1416室</w:t>
      </w:r>
    </w:p>
    <w:p w14:paraId="7C4F3395">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邮编：151000</w:t>
      </w:r>
    </w:p>
    <w:p w14:paraId="44532614">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rPr>
      </w:pPr>
      <w:r>
        <w:rPr>
          <w:rFonts w:hint="default" w:ascii="宋体" w:hAnsi="宋体" w:eastAsia="宋体" w:cs="宋体"/>
          <w:sz w:val="24"/>
          <w:szCs w:val="21"/>
          <w:lang w:val="en-US" w:eastAsia="zh-CN"/>
        </w:rPr>
        <w:t>联 系 人：</w:t>
      </w:r>
      <w:r>
        <w:rPr>
          <w:rFonts w:hint="eastAsia" w:ascii="宋体" w:hAnsi="宋体" w:eastAsia="宋体" w:cs="宋体"/>
          <w:sz w:val="24"/>
          <w:szCs w:val="21"/>
          <w:lang w:val="en-US" w:eastAsia="zh-CN"/>
        </w:rPr>
        <w:t>李女士</w:t>
      </w:r>
    </w:p>
    <w:p w14:paraId="086BEF38">
      <w:pPr>
        <w:keepNext w:val="0"/>
        <w:keepLines w:val="0"/>
        <w:pageBreakBefore w:val="0"/>
        <w:widowControl/>
        <w:kinsoku w:val="0"/>
        <w:wordWrap/>
        <w:overflowPunct/>
        <w:topLinePunct w:val="0"/>
        <w:autoSpaceDE w:val="0"/>
        <w:autoSpaceDN w:val="0"/>
        <w:bidi w:val="0"/>
        <w:adjustRightInd w:val="0"/>
        <w:snapToGrid w:val="0"/>
        <w:spacing w:before="122" w:line="360" w:lineRule="auto"/>
        <w:ind w:left="23" w:firstLine="480" w:firstLineChars="200"/>
        <w:textAlignment w:val="baseline"/>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 xml:space="preserve">电   </w:t>
      </w:r>
      <w:r>
        <w:rPr>
          <w:rFonts w:hint="default" w:ascii="宋体" w:hAnsi="宋体" w:eastAsia="宋体" w:cs="宋体"/>
          <w:sz w:val="24"/>
          <w:szCs w:val="21"/>
          <w:highlight w:val="none"/>
          <w:lang w:val="en-US" w:eastAsia="zh-CN"/>
        </w:rPr>
        <w:t xml:space="preserve"> 话：</w:t>
      </w:r>
      <w:r>
        <w:rPr>
          <w:rFonts w:hint="eastAsia" w:ascii="宋体" w:hAnsi="宋体" w:eastAsia="宋体" w:cs="宋体"/>
          <w:sz w:val="24"/>
          <w:szCs w:val="21"/>
          <w:highlight w:val="none"/>
          <w:lang w:val="en-US" w:eastAsia="zh-CN"/>
        </w:rPr>
        <w:t>15331941988</w:t>
      </w:r>
    </w:p>
    <w:p w14:paraId="6BBDD62B">
      <w:r>
        <w:br w:type="page"/>
      </w:r>
    </w:p>
    <w:p w14:paraId="714B1A81">
      <w:pPr>
        <w:pageBreakBefore w:val="0"/>
        <w:widowControl/>
        <w:numPr>
          <w:ilvl w:val="0"/>
          <w:numId w:val="3"/>
        </w:numPr>
        <w:kinsoku w:val="0"/>
        <w:wordWrap/>
        <w:overflowPunct/>
        <w:topLinePunct w:val="0"/>
        <w:autoSpaceDE w:val="0"/>
        <w:autoSpaceDN w:val="0"/>
        <w:bidi w:val="0"/>
        <w:adjustRightInd w:val="0"/>
        <w:snapToGrid w:val="0"/>
        <w:spacing w:before="101" w:line="120" w:lineRule="auto"/>
        <w:ind w:left="1860"/>
        <w:textAlignment w:val="baseline"/>
        <w:rPr>
          <w:rFonts w:ascii="宋体" w:hAnsi="宋体" w:eastAsia="宋体" w:cs="宋体"/>
          <w:spacing w:val="19"/>
          <w:position w:val="33"/>
          <w:sz w:val="31"/>
          <w:szCs w:val="31"/>
          <w14:textOutline w14:w="5724" w14:cap="flat" w14:cmpd="sng">
            <w14:solidFill>
              <w14:srgbClr w14:val="000000"/>
            </w14:solidFill>
            <w14:prstDash w14:val="solid"/>
            <w14:miter w14:val="0"/>
          </w14:textOutline>
        </w:rPr>
      </w:pPr>
      <w:r>
        <w:rPr>
          <w:rFonts w:ascii="宋体" w:hAnsi="宋体" w:eastAsia="宋体" w:cs="宋体"/>
          <w:spacing w:val="20"/>
          <w:position w:val="33"/>
          <w:sz w:val="31"/>
          <w:szCs w:val="31"/>
          <w14:textOutline w14:w="5724" w14:cap="flat" w14:cmpd="sng">
            <w14:solidFill>
              <w14:srgbClr w14:val="000000"/>
            </w14:solidFill>
            <w14:prstDash w14:val="solid"/>
            <w14:miter w14:val="0"/>
          </w14:textOutline>
        </w:rPr>
        <w:t>评标办法(技术评分最低标价法</w:t>
      </w:r>
      <w:r>
        <w:rPr>
          <w:rFonts w:ascii="宋体" w:hAnsi="宋体" w:eastAsia="宋体" w:cs="宋体"/>
          <w:spacing w:val="19"/>
          <w:position w:val="33"/>
          <w:sz w:val="31"/>
          <w:szCs w:val="31"/>
          <w14:textOutline w14:w="5724" w14:cap="flat" w14:cmpd="sng">
            <w14:solidFill>
              <w14:srgbClr w14:val="000000"/>
            </w14:solidFill>
            <w14:prstDash w14:val="solid"/>
            <w14:miter w14:val="0"/>
          </w14:textOutline>
        </w:rPr>
        <w:t>)</w:t>
      </w:r>
    </w:p>
    <w:p w14:paraId="4A9431BE">
      <w:pPr>
        <w:rPr>
          <w:rFonts w:hint="default"/>
          <w:b/>
          <w:bCs/>
          <w:sz w:val="36"/>
          <w:szCs w:val="36"/>
          <w:lang w:val="en-US" w:eastAsia="zh-CN"/>
        </w:rPr>
      </w:pPr>
      <w:r>
        <w:rPr>
          <w:rFonts w:hint="eastAsia" w:ascii="宋体" w:hAnsi="宋体" w:cs="宋体"/>
          <w:b/>
          <w:bCs/>
          <w:snapToGrid w:val="0"/>
          <w:color w:val="auto"/>
          <w:kern w:val="0"/>
          <w:sz w:val="40"/>
          <w:szCs w:val="36"/>
          <w:highlight w:val="none"/>
          <w:lang w:val="en-US" w:eastAsia="zh-CN" w:bidi="zh-CN"/>
        </w:rPr>
        <w:t>评标办法</w:t>
      </w:r>
    </w:p>
    <w:tbl>
      <w:tblPr>
        <w:tblStyle w:val="10"/>
        <w:tblW w:w="89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9"/>
        <w:gridCol w:w="1248"/>
        <w:gridCol w:w="1693"/>
        <w:gridCol w:w="4989"/>
      </w:tblGrid>
      <w:tr w14:paraId="581AD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blHeader/>
        </w:trPr>
        <w:tc>
          <w:tcPr>
            <w:tcW w:w="2257" w:type="dxa"/>
            <w:gridSpan w:val="2"/>
            <w:tcBorders>
              <w:right w:val="single" w:color="000000" w:sz="6" w:space="0"/>
            </w:tcBorders>
          </w:tcPr>
          <w:p w14:paraId="1249291C">
            <w:pPr>
              <w:pStyle w:val="9"/>
              <w:spacing w:before="109" w:line="250" w:lineRule="exact"/>
              <w:ind w:left="796" w:right="788"/>
              <w:rPr>
                <w:b/>
                <w:color w:val="auto"/>
                <w:sz w:val="21"/>
                <w:szCs w:val="21"/>
                <w:highlight w:val="none"/>
                <w:lang w:eastAsia="en-US"/>
              </w:rPr>
            </w:pPr>
            <w:r>
              <w:rPr>
                <w:b/>
                <w:color w:val="auto"/>
                <w:sz w:val="21"/>
                <w:szCs w:val="21"/>
                <w:highlight w:val="none"/>
                <w:lang w:eastAsia="en-US"/>
              </w:rPr>
              <w:t>条款号</w:t>
            </w:r>
          </w:p>
        </w:tc>
        <w:tc>
          <w:tcPr>
            <w:tcW w:w="6682" w:type="dxa"/>
            <w:gridSpan w:val="2"/>
            <w:tcBorders>
              <w:left w:val="single" w:color="000000" w:sz="6" w:space="0"/>
            </w:tcBorders>
          </w:tcPr>
          <w:p w14:paraId="259D47D0">
            <w:pPr>
              <w:pStyle w:val="9"/>
              <w:spacing w:before="109" w:line="250" w:lineRule="exact"/>
              <w:ind w:left="2335" w:right="2340"/>
              <w:rPr>
                <w:b/>
                <w:color w:val="auto"/>
                <w:sz w:val="21"/>
                <w:szCs w:val="21"/>
                <w:highlight w:val="none"/>
                <w:lang w:eastAsia="en-US"/>
              </w:rPr>
            </w:pPr>
            <w:r>
              <w:rPr>
                <w:b/>
                <w:color w:val="auto"/>
                <w:sz w:val="21"/>
                <w:szCs w:val="21"/>
                <w:highlight w:val="none"/>
                <w:lang w:eastAsia="en-US"/>
              </w:rPr>
              <w:t>评审因素与评审标准</w:t>
            </w:r>
          </w:p>
        </w:tc>
      </w:tr>
      <w:tr w14:paraId="27E17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1009" w:type="dxa"/>
            <w:vAlign w:val="center"/>
          </w:tcPr>
          <w:p w14:paraId="24AA3D9F">
            <w:pPr>
              <w:pStyle w:val="9"/>
              <w:spacing w:before="187"/>
              <w:rPr>
                <w:color w:val="auto"/>
                <w:sz w:val="21"/>
                <w:szCs w:val="21"/>
                <w:highlight w:val="none"/>
                <w:lang w:eastAsia="en-US"/>
              </w:rPr>
            </w:pPr>
            <w:r>
              <w:rPr>
                <w:color w:val="auto"/>
                <w:sz w:val="21"/>
                <w:szCs w:val="21"/>
                <w:highlight w:val="none"/>
                <w:lang w:eastAsia="en-US"/>
              </w:rPr>
              <w:t>1</w:t>
            </w:r>
          </w:p>
        </w:tc>
        <w:tc>
          <w:tcPr>
            <w:tcW w:w="1248" w:type="dxa"/>
            <w:tcBorders>
              <w:right w:val="single" w:color="000000" w:sz="6" w:space="0"/>
            </w:tcBorders>
            <w:vAlign w:val="center"/>
          </w:tcPr>
          <w:p w14:paraId="119BD2B1">
            <w:pPr>
              <w:pStyle w:val="9"/>
              <w:rPr>
                <w:color w:val="auto"/>
                <w:sz w:val="21"/>
                <w:szCs w:val="21"/>
                <w:highlight w:val="none"/>
                <w:lang w:eastAsia="en-US"/>
              </w:rPr>
            </w:pPr>
            <w:r>
              <w:rPr>
                <w:color w:val="auto"/>
                <w:sz w:val="21"/>
                <w:szCs w:val="21"/>
                <w:highlight w:val="none"/>
                <w:lang w:eastAsia="en-US"/>
              </w:rPr>
              <w:t>评标方法</w:t>
            </w:r>
          </w:p>
        </w:tc>
        <w:tc>
          <w:tcPr>
            <w:tcW w:w="6682" w:type="dxa"/>
            <w:gridSpan w:val="2"/>
            <w:tcBorders>
              <w:left w:val="single" w:color="000000" w:sz="6" w:space="0"/>
            </w:tcBorders>
          </w:tcPr>
          <w:p w14:paraId="26555649">
            <w:pPr>
              <w:pStyle w:val="9"/>
              <w:spacing w:line="360" w:lineRule="atLeast"/>
              <w:ind w:right="93"/>
              <w:jc w:val="left"/>
              <w:rPr>
                <w:color w:val="auto"/>
                <w:szCs w:val="21"/>
                <w:highlight w:val="none"/>
                <w:lang w:val="en-US" w:eastAsia="en-US"/>
              </w:rPr>
            </w:pPr>
            <w:r>
              <w:rPr>
                <w:rFonts w:hint="eastAsia"/>
                <w:color w:val="auto"/>
                <w:szCs w:val="21"/>
                <w:highlight w:val="none"/>
                <w:lang w:val="en-US" w:eastAsia="en-US"/>
              </w:rPr>
              <w:t>本条细化为：</w:t>
            </w:r>
          </w:p>
          <w:p w14:paraId="74704C02">
            <w:pPr>
              <w:pStyle w:val="9"/>
              <w:spacing w:line="360" w:lineRule="atLeast"/>
              <w:ind w:left="108" w:right="93" w:firstLine="420"/>
              <w:jc w:val="left"/>
              <w:rPr>
                <w:rFonts w:hint="eastAsia"/>
                <w:color w:val="auto"/>
                <w:sz w:val="21"/>
                <w:szCs w:val="21"/>
                <w:highlight w:val="none"/>
                <w:lang w:eastAsia="en-US"/>
              </w:rPr>
            </w:pPr>
            <w:r>
              <w:rPr>
                <w:rFonts w:hint="eastAsia"/>
                <w:color w:val="auto"/>
                <w:sz w:val="21"/>
                <w:szCs w:val="21"/>
                <w:highlight w:val="none"/>
                <w:lang w:eastAsia="en-US"/>
              </w:rPr>
              <w:t>本次评标采用技术评分最低标价法。通过投标文件第一个信封（商务及技术文件）评审的投标人数量：3名。</w:t>
            </w:r>
          </w:p>
          <w:p w14:paraId="1563C2F2">
            <w:pPr>
              <w:pStyle w:val="9"/>
              <w:spacing w:line="360" w:lineRule="atLeast"/>
              <w:ind w:left="108" w:right="93" w:firstLine="420"/>
              <w:jc w:val="left"/>
              <w:rPr>
                <w:rFonts w:hint="eastAsia"/>
                <w:color w:val="auto"/>
                <w:sz w:val="21"/>
                <w:szCs w:val="21"/>
                <w:highlight w:val="none"/>
                <w:lang w:eastAsia="en-US"/>
              </w:rPr>
            </w:pPr>
            <w:r>
              <w:rPr>
                <w:rFonts w:hint="eastAsia"/>
                <w:color w:val="auto"/>
                <w:sz w:val="21"/>
                <w:szCs w:val="21"/>
                <w:highlight w:val="none"/>
                <w:lang w:eastAsia="en-US"/>
              </w:rPr>
              <w:t>第一个信封综合得分相等时，评标委员会依次按照以下优先顺序确定进行二信封评审名单：</w:t>
            </w:r>
          </w:p>
          <w:p w14:paraId="232859F0">
            <w:pPr>
              <w:pStyle w:val="9"/>
              <w:spacing w:line="360" w:lineRule="atLeast"/>
              <w:ind w:left="108" w:right="93" w:firstLine="420"/>
              <w:jc w:val="left"/>
              <w:rPr>
                <w:rFonts w:hint="eastAsia"/>
                <w:color w:val="auto"/>
                <w:sz w:val="21"/>
                <w:szCs w:val="21"/>
                <w:highlight w:val="none"/>
                <w:lang w:eastAsia="en-US"/>
              </w:rPr>
            </w:pPr>
            <w:r>
              <w:rPr>
                <w:rFonts w:hint="eastAsia"/>
                <w:color w:val="auto"/>
                <w:sz w:val="21"/>
                <w:szCs w:val="21"/>
                <w:highlight w:val="none"/>
                <w:lang w:eastAsia="en-US"/>
              </w:rPr>
              <w:t>（1）被招标项目所在地省级交通运输主管部门评为较高信用等级的投标人优先；</w:t>
            </w:r>
          </w:p>
          <w:p w14:paraId="2C81AAC2">
            <w:pPr>
              <w:pStyle w:val="9"/>
              <w:spacing w:line="360" w:lineRule="atLeast"/>
              <w:ind w:left="108" w:right="93" w:firstLine="420"/>
              <w:jc w:val="left"/>
              <w:rPr>
                <w:rFonts w:hint="eastAsia"/>
                <w:color w:val="auto"/>
                <w:sz w:val="21"/>
                <w:szCs w:val="21"/>
                <w:highlight w:val="none"/>
                <w:lang w:eastAsia="en-US"/>
              </w:rPr>
            </w:pPr>
            <w:r>
              <w:rPr>
                <w:rFonts w:hint="eastAsia"/>
                <w:color w:val="auto"/>
                <w:sz w:val="21"/>
                <w:szCs w:val="21"/>
                <w:highlight w:val="none"/>
                <w:lang w:eastAsia="en-US"/>
              </w:rPr>
              <w:t>（2）投标人施工组织设计得分高的优先。</w:t>
            </w:r>
          </w:p>
          <w:p w14:paraId="728D821B">
            <w:pPr>
              <w:pStyle w:val="9"/>
              <w:spacing w:line="360" w:lineRule="atLeast"/>
              <w:ind w:left="108" w:right="93" w:firstLine="420"/>
              <w:jc w:val="left"/>
              <w:rPr>
                <w:rFonts w:hint="eastAsia"/>
                <w:color w:val="auto"/>
                <w:sz w:val="21"/>
                <w:szCs w:val="21"/>
                <w:highlight w:val="none"/>
                <w:lang w:eastAsia="en-US"/>
              </w:rPr>
            </w:pPr>
            <w:r>
              <w:rPr>
                <w:rFonts w:hint="eastAsia"/>
                <w:color w:val="auto"/>
                <w:sz w:val="21"/>
                <w:szCs w:val="21"/>
                <w:highlight w:val="none"/>
                <w:lang w:eastAsia="en-US"/>
              </w:rPr>
              <w:t>第二个信封评标价相等时，评标委员会依次按照以下优先顺序推荐中标候选人：</w:t>
            </w:r>
          </w:p>
          <w:p w14:paraId="26467B8F">
            <w:pPr>
              <w:pStyle w:val="9"/>
              <w:spacing w:line="360" w:lineRule="atLeast"/>
              <w:ind w:left="108" w:right="93" w:firstLine="420"/>
              <w:jc w:val="left"/>
              <w:rPr>
                <w:rFonts w:hint="eastAsia"/>
                <w:color w:val="auto"/>
                <w:sz w:val="21"/>
                <w:szCs w:val="21"/>
                <w:highlight w:val="none"/>
                <w:lang w:eastAsia="en-US"/>
              </w:rPr>
            </w:pPr>
            <w:r>
              <w:rPr>
                <w:rFonts w:hint="eastAsia"/>
                <w:color w:val="auto"/>
                <w:sz w:val="21"/>
                <w:szCs w:val="21"/>
                <w:highlight w:val="none"/>
                <w:lang w:eastAsia="en-US"/>
              </w:rPr>
              <w:t>（3）被招标项目所在地省级交通运输主管部门评为较高信用等级的投标人优先；</w:t>
            </w:r>
          </w:p>
          <w:p w14:paraId="4152B427">
            <w:pPr>
              <w:pStyle w:val="9"/>
              <w:spacing w:line="360" w:lineRule="atLeast"/>
              <w:ind w:left="108" w:right="93" w:firstLine="420"/>
              <w:jc w:val="left"/>
              <w:rPr>
                <w:color w:val="auto"/>
                <w:sz w:val="21"/>
                <w:szCs w:val="21"/>
                <w:highlight w:val="none"/>
                <w:lang w:eastAsia="en-US"/>
              </w:rPr>
            </w:pPr>
            <w:r>
              <w:rPr>
                <w:rFonts w:hint="eastAsia"/>
                <w:color w:val="auto"/>
                <w:sz w:val="21"/>
                <w:szCs w:val="21"/>
                <w:highlight w:val="none"/>
                <w:lang w:eastAsia="en-US"/>
              </w:rPr>
              <w:t>（4）商务和技术得分较高的投标人优先。）</w:t>
            </w:r>
          </w:p>
        </w:tc>
      </w:tr>
      <w:tr w14:paraId="20CC8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4" w:hRule="atLeast"/>
        </w:trPr>
        <w:tc>
          <w:tcPr>
            <w:tcW w:w="1009" w:type="dxa"/>
            <w:vAlign w:val="center"/>
          </w:tcPr>
          <w:p w14:paraId="536AD064">
            <w:pPr>
              <w:pStyle w:val="9"/>
              <w:spacing w:before="151"/>
              <w:rPr>
                <w:color w:val="auto"/>
                <w:sz w:val="21"/>
                <w:szCs w:val="21"/>
                <w:highlight w:val="none"/>
                <w:lang w:eastAsia="en-US"/>
              </w:rPr>
            </w:pPr>
            <w:r>
              <w:rPr>
                <w:color w:val="auto"/>
                <w:sz w:val="21"/>
                <w:szCs w:val="21"/>
                <w:highlight w:val="none"/>
                <w:lang w:eastAsia="en-US"/>
              </w:rPr>
              <w:t>2.1.1</w:t>
            </w:r>
          </w:p>
          <w:p w14:paraId="212A37BB">
            <w:pPr>
              <w:pStyle w:val="9"/>
              <w:spacing w:before="159"/>
              <w:rPr>
                <w:color w:val="auto"/>
                <w:sz w:val="21"/>
                <w:szCs w:val="21"/>
                <w:highlight w:val="none"/>
                <w:lang w:eastAsia="en-US"/>
              </w:rPr>
            </w:pPr>
            <w:r>
              <w:rPr>
                <w:color w:val="auto"/>
                <w:sz w:val="21"/>
                <w:szCs w:val="21"/>
                <w:highlight w:val="none"/>
                <w:lang w:eastAsia="en-US"/>
              </w:rPr>
              <w:t>2.1.3</w:t>
            </w:r>
          </w:p>
        </w:tc>
        <w:tc>
          <w:tcPr>
            <w:tcW w:w="1248" w:type="dxa"/>
            <w:tcBorders>
              <w:right w:val="single" w:color="000000" w:sz="6" w:space="0"/>
            </w:tcBorders>
            <w:vAlign w:val="center"/>
          </w:tcPr>
          <w:p w14:paraId="662ADD8C">
            <w:pPr>
              <w:pStyle w:val="9"/>
              <w:spacing w:line="357" w:lineRule="auto"/>
              <w:ind w:right="127"/>
              <w:rPr>
                <w:color w:val="auto"/>
                <w:sz w:val="21"/>
                <w:szCs w:val="21"/>
                <w:highlight w:val="none"/>
                <w:lang w:eastAsia="en-US"/>
              </w:rPr>
            </w:pPr>
            <w:r>
              <w:rPr>
                <w:color w:val="auto"/>
                <w:sz w:val="21"/>
                <w:szCs w:val="21"/>
                <w:highlight w:val="none"/>
                <w:lang w:eastAsia="en-US"/>
              </w:rPr>
              <w:t>形式评审</w:t>
            </w:r>
          </w:p>
          <w:p w14:paraId="39A5383E">
            <w:pPr>
              <w:pStyle w:val="9"/>
              <w:spacing w:line="357" w:lineRule="auto"/>
              <w:ind w:right="127"/>
              <w:rPr>
                <w:color w:val="auto"/>
                <w:sz w:val="21"/>
                <w:szCs w:val="21"/>
                <w:highlight w:val="none"/>
                <w:lang w:eastAsia="en-US"/>
              </w:rPr>
            </w:pPr>
            <w:r>
              <w:rPr>
                <w:color w:val="auto"/>
                <w:sz w:val="21"/>
                <w:szCs w:val="21"/>
                <w:highlight w:val="none"/>
                <w:lang w:eastAsia="en-US"/>
              </w:rPr>
              <w:t>与响应性</w:t>
            </w:r>
          </w:p>
          <w:p w14:paraId="28625F2C">
            <w:pPr>
              <w:pStyle w:val="9"/>
              <w:spacing w:line="357" w:lineRule="auto"/>
              <w:ind w:right="127"/>
              <w:rPr>
                <w:color w:val="auto"/>
                <w:sz w:val="21"/>
                <w:szCs w:val="21"/>
                <w:highlight w:val="none"/>
                <w:lang w:eastAsia="en-US"/>
              </w:rPr>
            </w:pPr>
            <w:r>
              <w:rPr>
                <w:color w:val="auto"/>
                <w:sz w:val="21"/>
                <w:szCs w:val="21"/>
                <w:highlight w:val="none"/>
                <w:lang w:eastAsia="en-US"/>
              </w:rPr>
              <w:t>评审标准</w:t>
            </w:r>
          </w:p>
        </w:tc>
        <w:tc>
          <w:tcPr>
            <w:tcW w:w="6682" w:type="dxa"/>
            <w:gridSpan w:val="2"/>
            <w:tcBorders>
              <w:left w:val="single" w:color="000000" w:sz="6" w:space="0"/>
            </w:tcBorders>
          </w:tcPr>
          <w:p w14:paraId="34AD7B4D">
            <w:pPr>
              <w:pStyle w:val="9"/>
              <w:spacing w:line="360" w:lineRule="atLeast"/>
              <w:ind w:left="108" w:right="93" w:firstLine="420"/>
              <w:jc w:val="left"/>
              <w:rPr>
                <w:b/>
                <w:color w:val="auto"/>
                <w:sz w:val="21"/>
                <w:szCs w:val="21"/>
                <w:highlight w:val="none"/>
                <w:lang w:eastAsia="en-US"/>
              </w:rPr>
            </w:pPr>
            <w:r>
              <w:rPr>
                <w:b/>
                <w:color w:val="auto"/>
                <w:sz w:val="21"/>
                <w:szCs w:val="21"/>
                <w:highlight w:val="none"/>
                <w:lang w:eastAsia="en-US"/>
              </w:rPr>
              <w:t>第一个信封（商务及技术文件）评审标准：</w:t>
            </w:r>
          </w:p>
          <w:p w14:paraId="0B039CCD">
            <w:pPr>
              <w:pStyle w:val="9"/>
              <w:spacing w:line="360" w:lineRule="atLeast"/>
              <w:ind w:left="108" w:right="93" w:firstLine="420"/>
              <w:jc w:val="left"/>
              <w:rPr>
                <w:color w:val="auto"/>
                <w:sz w:val="21"/>
                <w:szCs w:val="21"/>
                <w:highlight w:val="none"/>
                <w:lang w:eastAsia="en-US"/>
              </w:rPr>
            </w:pPr>
            <w:r>
              <w:rPr>
                <w:color w:val="auto"/>
                <w:sz w:val="21"/>
                <w:szCs w:val="21"/>
                <w:highlight w:val="none"/>
                <w:lang w:eastAsia="en-US"/>
              </w:rPr>
              <w:t>（1）投标文件按照招标文件规定的格式、内容填写，字迹清晰可辨：</w:t>
            </w:r>
          </w:p>
          <w:p w14:paraId="6FAEFDA7">
            <w:pPr>
              <w:pStyle w:val="9"/>
              <w:spacing w:line="360" w:lineRule="atLeast"/>
              <w:ind w:left="108" w:right="93" w:firstLine="420"/>
              <w:jc w:val="left"/>
              <w:rPr>
                <w:color w:val="auto"/>
                <w:sz w:val="21"/>
                <w:szCs w:val="21"/>
                <w:highlight w:val="none"/>
                <w:lang w:eastAsia="en-US"/>
              </w:rPr>
            </w:pPr>
            <w:r>
              <w:rPr>
                <w:color w:val="auto"/>
                <w:sz w:val="21"/>
                <w:szCs w:val="21"/>
                <w:highlight w:val="none"/>
                <w:lang w:eastAsia="en-US"/>
              </w:rPr>
              <w:t>a.投标函按招标文件规定填报了项目名称、标段号、补遗书编号（如有）、工期、工程质量要求及安全目标；</w:t>
            </w:r>
          </w:p>
          <w:p w14:paraId="3B0165C4">
            <w:pPr>
              <w:pStyle w:val="9"/>
              <w:spacing w:line="360" w:lineRule="atLeast"/>
              <w:ind w:left="108" w:right="93" w:firstLine="420"/>
              <w:jc w:val="left"/>
              <w:rPr>
                <w:color w:val="auto"/>
                <w:sz w:val="21"/>
                <w:szCs w:val="21"/>
                <w:highlight w:val="none"/>
                <w:lang w:eastAsia="en-US"/>
              </w:rPr>
            </w:pPr>
            <w:r>
              <w:rPr>
                <w:color w:val="auto"/>
                <w:sz w:val="21"/>
                <w:szCs w:val="21"/>
                <w:highlight w:val="none"/>
                <w:lang w:eastAsia="en-US"/>
              </w:rPr>
              <w:t>b.投标函附录的所有数据均符合招标文件规定；</w:t>
            </w:r>
          </w:p>
          <w:p w14:paraId="06E571A6">
            <w:pPr>
              <w:pStyle w:val="9"/>
              <w:spacing w:line="360" w:lineRule="atLeast"/>
              <w:ind w:left="108" w:right="93" w:firstLine="420"/>
              <w:jc w:val="left"/>
              <w:rPr>
                <w:color w:val="auto"/>
                <w:sz w:val="21"/>
                <w:szCs w:val="21"/>
                <w:highlight w:val="none"/>
                <w:lang w:eastAsia="en-US"/>
              </w:rPr>
            </w:pPr>
            <w:r>
              <w:rPr>
                <w:rFonts w:hint="eastAsia"/>
                <w:color w:val="auto"/>
                <w:sz w:val="21"/>
                <w:szCs w:val="21"/>
                <w:highlight w:val="none"/>
                <w:lang w:eastAsia="en-US"/>
              </w:rPr>
              <w:t>c.承诺函内容与招标文件规定一致，未进行修改和删减；</w:t>
            </w:r>
          </w:p>
          <w:p w14:paraId="6C8A0069">
            <w:pPr>
              <w:pStyle w:val="9"/>
              <w:spacing w:line="360" w:lineRule="atLeast"/>
              <w:ind w:left="108" w:right="93" w:firstLine="420"/>
              <w:jc w:val="left"/>
              <w:rPr>
                <w:color w:val="auto"/>
                <w:sz w:val="21"/>
                <w:szCs w:val="21"/>
                <w:highlight w:val="none"/>
                <w:lang w:eastAsia="en-US"/>
              </w:rPr>
            </w:pPr>
            <w:r>
              <w:rPr>
                <w:rFonts w:hint="eastAsia"/>
                <w:color w:val="auto"/>
                <w:sz w:val="21"/>
                <w:szCs w:val="21"/>
                <w:highlight w:val="none"/>
                <w:lang w:eastAsia="en-US"/>
              </w:rPr>
              <w:t>d.</w:t>
            </w:r>
            <w:r>
              <w:rPr>
                <w:color w:val="auto"/>
                <w:sz w:val="21"/>
                <w:szCs w:val="21"/>
                <w:highlight w:val="none"/>
                <w:lang w:eastAsia="en-US"/>
              </w:rPr>
              <w:t>投标文件组成齐全完整，内容均按规定填写。</w:t>
            </w:r>
          </w:p>
          <w:p w14:paraId="46774E0D">
            <w:pPr>
              <w:pStyle w:val="9"/>
              <w:spacing w:line="360" w:lineRule="atLeast"/>
              <w:ind w:left="108" w:right="93" w:firstLine="420"/>
              <w:jc w:val="left"/>
              <w:rPr>
                <w:color w:val="auto"/>
                <w:sz w:val="21"/>
                <w:szCs w:val="21"/>
                <w:highlight w:val="none"/>
                <w:lang w:eastAsia="en-US"/>
              </w:rPr>
            </w:pPr>
            <w:r>
              <w:rPr>
                <w:color w:val="auto"/>
                <w:sz w:val="21"/>
                <w:szCs w:val="21"/>
                <w:highlight w:val="none"/>
                <w:lang w:eastAsia="en-US"/>
              </w:rPr>
              <w:t>（2）投标文件上法定代表人或其委托代理人的签字、投标人的单位章盖章齐全，符合招标文件规定。</w:t>
            </w:r>
          </w:p>
          <w:p w14:paraId="0736CB50">
            <w:pPr>
              <w:pStyle w:val="9"/>
              <w:spacing w:line="360" w:lineRule="atLeast"/>
              <w:ind w:left="108" w:right="93" w:firstLine="420"/>
              <w:jc w:val="left"/>
              <w:rPr>
                <w:color w:val="auto"/>
                <w:sz w:val="21"/>
                <w:szCs w:val="21"/>
                <w:highlight w:val="none"/>
                <w:lang w:eastAsia="en-US"/>
              </w:rPr>
            </w:pPr>
            <w:r>
              <w:rPr>
                <w:color w:val="auto"/>
                <w:sz w:val="21"/>
                <w:szCs w:val="21"/>
                <w:highlight w:val="none"/>
                <w:lang w:eastAsia="en-US"/>
              </w:rPr>
              <w:t>（</w:t>
            </w:r>
            <w:r>
              <w:rPr>
                <w:rFonts w:hint="eastAsia"/>
                <w:color w:val="auto"/>
                <w:sz w:val="21"/>
                <w:szCs w:val="21"/>
                <w:highlight w:val="none"/>
                <w:lang w:eastAsia="en-US"/>
              </w:rPr>
              <w:t>3</w:t>
            </w:r>
            <w:r>
              <w:rPr>
                <w:color w:val="auto"/>
                <w:sz w:val="21"/>
                <w:szCs w:val="21"/>
                <w:highlight w:val="none"/>
                <w:lang w:eastAsia="en-US"/>
              </w:rPr>
              <w:t>）投标人按照招标文件的规定提供了投标保证金：</w:t>
            </w:r>
          </w:p>
          <w:p w14:paraId="70536D56">
            <w:pPr>
              <w:pStyle w:val="9"/>
              <w:spacing w:line="360" w:lineRule="atLeast"/>
              <w:ind w:left="108" w:right="93" w:firstLine="420"/>
              <w:jc w:val="left"/>
              <w:rPr>
                <w:color w:val="auto"/>
                <w:sz w:val="21"/>
                <w:szCs w:val="21"/>
                <w:highlight w:val="none"/>
                <w:lang w:eastAsia="en-US"/>
              </w:rPr>
            </w:pPr>
            <w:r>
              <w:rPr>
                <w:color w:val="auto"/>
                <w:sz w:val="21"/>
                <w:szCs w:val="21"/>
                <w:highlight w:val="none"/>
                <w:lang w:eastAsia="en-US"/>
              </w:rPr>
              <w:t>a.投标保证金金额符合招标文件规定的金额，且投标保证金有效期不少于投标有效期；</w:t>
            </w:r>
          </w:p>
          <w:p w14:paraId="318C0B93">
            <w:pPr>
              <w:pStyle w:val="9"/>
              <w:spacing w:line="360" w:lineRule="atLeast"/>
              <w:ind w:left="108" w:right="93" w:firstLine="420"/>
              <w:jc w:val="left"/>
              <w:rPr>
                <w:color w:val="auto"/>
                <w:sz w:val="21"/>
                <w:szCs w:val="21"/>
                <w:highlight w:val="none"/>
                <w:lang w:eastAsia="en-US"/>
              </w:rPr>
            </w:pPr>
            <w:r>
              <w:rPr>
                <w:rFonts w:hint="eastAsia"/>
                <w:color w:val="auto"/>
                <w:sz w:val="21"/>
                <w:szCs w:val="21"/>
                <w:highlight w:val="none"/>
                <w:lang w:eastAsia="en-US"/>
              </w:rPr>
              <w:t>b.投标人应在投标保证金递交截止时间之前，将投标保证金由投标人的基本账户转入“交易平台”提供账户。</w:t>
            </w:r>
          </w:p>
          <w:p w14:paraId="6CAFB736">
            <w:pPr>
              <w:pStyle w:val="9"/>
              <w:spacing w:line="360" w:lineRule="atLeast"/>
              <w:ind w:left="108" w:right="93" w:firstLine="420"/>
              <w:jc w:val="left"/>
              <w:rPr>
                <w:color w:val="auto"/>
                <w:sz w:val="21"/>
                <w:szCs w:val="21"/>
                <w:highlight w:val="none"/>
                <w:lang w:eastAsia="en-US"/>
              </w:rPr>
            </w:pPr>
            <w:r>
              <w:rPr>
                <w:color w:val="auto"/>
                <w:sz w:val="21"/>
                <w:szCs w:val="21"/>
                <w:highlight w:val="none"/>
                <w:lang w:eastAsia="en-US"/>
              </w:rPr>
              <w:t>（4）投标人法定代表人授权委托代理人签署投标文件的，须提交授权委托书，且授权人和被授权人均在授权委托书上签名，未使用印章、签名章或其他电子制版签名代替。</w:t>
            </w:r>
          </w:p>
          <w:p w14:paraId="13156167">
            <w:pPr>
              <w:pStyle w:val="9"/>
              <w:spacing w:line="360" w:lineRule="atLeast"/>
              <w:ind w:left="108" w:right="93" w:firstLine="420"/>
              <w:jc w:val="left"/>
              <w:rPr>
                <w:color w:val="auto"/>
                <w:sz w:val="21"/>
                <w:szCs w:val="21"/>
                <w:highlight w:val="none"/>
                <w:lang w:eastAsia="en-US"/>
              </w:rPr>
            </w:pPr>
            <w:r>
              <w:rPr>
                <w:color w:val="auto"/>
                <w:sz w:val="21"/>
                <w:szCs w:val="21"/>
                <w:highlight w:val="none"/>
                <w:lang w:eastAsia="en-US"/>
              </w:rPr>
              <w:t>（5）投标人法定代表人亲自签署投标文件的，提供了法定代表人身份证明，且法定代表人在法定代表人身份证明上签名，未使用印章、签名章或其他电子制版签名代替。</w:t>
            </w:r>
          </w:p>
          <w:p w14:paraId="3CB6063C">
            <w:pPr>
              <w:pStyle w:val="9"/>
              <w:spacing w:line="360" w:lineRule="atLeast"/>
              <w:ind w:left="108" w:right="93" w:firstLine="420"/>
              <w:jc w:val="left"/>
              <w:rPr>
                <w:rFonts w:hint="eastAsia" w:eastAsia="宋体"/>
                <w:color w:val="auto"/>
                <w:sz w:val="21"/>
                <w:szCs w:val="21"/>
                <w:highlight w:val="none"/>
                <w:lang w:eastAsia="zh-CN"/>
              </w:rPr>
            </w:pPr>
            <w:r>
              <w:rPr>
                <w:color w:val="auto"/>
                <w:sz w:val="21"/>
                <w:szCs w:val="21"/>
                <w:highlight w:val="none"/>
                <w:lang w:eastAsia="en-US"/>
              </w:rPr>
              <w:t>（6）投标人如有分包计划，符合招标文件第二章“投标人须知” 第 1.11 款规定，且按招标文件第九章“投标文件格式”的要求填写了“拟分包项目情况表”。</w:t>
            </w:r>
            <w:r>
              <w:rPr>
                <w:rFonts w:hint="eastAsia"/>
                <w:color w:val="auto"/>
                <w:sz w:val="21"/>
                <w:szCs w:val="21"/>
                <w:highlight w:val="none"/>
                <w:lang w:eastAsia="zh-CN"/>
              </w:rPr>
              <w:t>（本项目不适用）</w:t>
            </w:r>
          </w:p>
          <w:p w14:paraId="443B554A">
            <w:pPr>
              <w:pStyle w:val="9"/>
              <w:spacing w:line="360" w:lineRule="atLeast"/>
              <w:ind w:left="108" w:right="93" w:firstLine="384"/>
              <w:jc w:val="left"/>
              <w:rPr>
                <w:color w:val="auto"/>
                <w:sz w:val="21"/>
                <w:szCs w:val="21"/>
                <w:highlight w:val="none"/>
                <w:lang w:eastAsia="en-US"/>
              </w:rPr>
            </w:pPr>
            <w:r>
              <w:rPr>
                <w:color w:val="auto"/>
                <w:sz w:val="21"/>
                <w:szCs w:val="21"/>
                <w:highlight w:val="none"/>
                <w:lang w:eastAsia="en-US"/>
              </w:rPr>
              <w:t>（7）同一投标人未提交两个以上不同的投标文件，但招标文件要求提交备选投标的除外。</w:t>
            </w:r>
          </w:p>
          <w:p w14:paraId="75EEEF3C">
            <w:pPr>
              <w:pStyle w:val="9"/>
              <w:spacing w:line="360" w:lineRule="atLeast"/>
              <w:ind w:left="108" w:right="93" w:firstLine="384"/>
              <w:jc w:val="left"/>
              <w:rPr>
                <w:color w:val="auto"/>
                <w:sz w:val="21"/>
                <w:szCs w:val="21"/>
                <w:highlight w:val="none"/>
                <w:lang w:eastAsia="en-US"/>
              </w:rPr>
            </w:pPr>
            <w:r>
              <w:rPr>
                <w:color w:val="auto"/>
                <w:sz w:val="21"/>
                <w:szCs w:val="21"/>
                <w:highlight w:val="none"/>
                <w:lang w:eastAsia="en-US"/>
              </w:rPr>
              <w:t>（8）投标文件中未出现有关投标报价的内容。</w:t>
            </w:r>
          </w:p>
          <w:p w14:paraId="2F0986C7">
            <w:pPr>
              <w:pStyle w:val="9"/>
              <w:spacing w:line="360" w:lineRule="atLeast"/>
              <w:ind w:left="108" w:right="93" w:firstLine="384"/>
              <w:jc w:val="left"/>
              <w:rPr>
                <w:color w:val="auto"/>
                <w:sz w:val="21"/>
                <w:szCs w:val="21"/>
                <w:highlight w:val="none"/>
                <w:lang w:eastAsia="en-US"/>
              </w:rPr>
            </w:pPr>
            <w:r>
              <w:rPr>
                <w:color w:val="auto"/>
                <w:sz w:val="21"/>
                <w:szCs w:val="21"/>
                <w:highlight w:val="none"/>
                <w:lang w:eastAsia="en-US"/>
              </w:rPr>
              <w:t>（</w:t>
            </w:r>
            <w:r>
              <w:rPr>
                <w:rFonts w:hint="eastAsia"/>
                <w:color w:val="auto"/>
                <w:sz w:val="21"/>
                <w:szCs w:val="21"/>
                <w:highlight w:val="none"/>
                <w:lang w:val="en-US" w:eastAsia="zh-CN"/>
              </w:rPr>
              <w:t>9</w:t>
            </w:r>
            <w:r>
              <w:rPr>
                <w:color w:val="auto"/>
                <w:sz w:val="21"/>
                <w:szCs w:val="21"/>
                <w:highlight w:val="none"/>
                <w:lang w:eastAsia="en-US"/>
              </w:rPr>
              <w:t>）</w:t>
            </w:r>
            <w:r>
              <w:rPr>
                <w:rFonts w:hint="eastAsia"/>
                <w:color w:val="auto"/>
                <w:sz w:val="21"/>
                <w:szCs w:val="21"/>
                <w:highlight w:val="none"/>
                <w:lang w:eastAsia="en-US"/>
              </w:rPr>
              <w:t>投标人的投标内容符合本项目招标文件所明确的招标范围的相关内容。</w:t>
            </w:r>
          </w:p>
          <w:p w14:paraId="5F0F534B">
            <w:pPr>
              <w:pStyle w:val="9"/>
              <w:spacing w:line="360" w:lineRule="atLeast"/>
              <w:ind w:left="108" w:right="93" w:firstLine="384"/>
              <w:jc w:val="left"/>
              <w:rPr>
                <w:color w:val="auto"/>
                <w:sz w:val="21"/>
                <w:szCs w:val="21"/>
                <w:highlight w:val="none"/>
                <w:lang w:eastAsia="en-US"/>
              </w:rPr>
            </w:pPr>
            <w:r>
              <w:rPr>
                <w:color w:val="auto"/>
                <w:sz w:val="21"/>
                <w:szCs w:val="21"/>
                <w:highlight w:val="none"/>
                <w:lang w:eastAsia="en-US"/>
              </w:rPr>
              <w:t>（1</w:t>
            </w:r>
            <w:r>
              <w:rPr>
                <w:rFonts w:hint="eastAsia"/>
                <w:color w:val="auto"/>
                <w:sz w:val="21"/>
                <w:szCs w:val="21"/>
                <w:highlight w:val="none"/>
                <w:lang w:val="en-US" w:eastAsia="zh-CN"/>
              </w:rPr>
              <w:t>0</w:t>
            </w:r>
            <w:r>
              <w:rPr>
                <w:color w:val="auto"/>
                <w:sz w:val="21"/>
                <w:szCs w:val="21"/>
                <w:highlight w:val="none"/>
                <w:lang w:eastAsia="en-US"/>
              </w:rPr>
              <w:t>）</w:t>
            </w:r>
            <w:r>
              <w:rPr>
                <w:rFonts w:hint="eastAsia"/>
                <w:color w:val="auto"/>
                <w:sz w:val="21"/>
                <w:szCs w:val="21"/>
                <w:highlight w:val="none"/>
                <w:lang w:eastAsia="en-US"/>
              </w:rPr>
              <w:t>投标人的投标有效期符合招标文件的规定。</w:t>
            </w:r>
          </w:p>
          <w:p w14:paraId="604DF533">
            <w:pPr>
              <w:pStyle w:val="9"/>
              <w:spacing w:line="360" w:lineRule="atLeast"/>
              <w:ind w:left="108" w:right="93" w:firstLine="384"/>
              <w:jc w:val="left"/>
              <w:rPr>
                <w:color w:val="auto"/>
                <w:sz w:val="21"/>
                <w:szCs w:val="21"/>
                <w:highlight w:val="none"/>
                <w:lang w:eastAsia="en-US"/>
              </w:rPr>
            </w:pPr>
            <w:r>
              <w:rPr>
                <w:color w:val="auto"/>
                <w:sz w:val="21"/>
                <w:szCs w:val="21"/>
                <w:highlight w:val="none"/>
                <w:lang w:eastAsia="en-US"/>
              </w:rPr>
              <w:t>（1</w:t>
            </w:r>
            <w:r>
              <w:rPr>
                <w:rFonts w:hint="eastAsia"/>
                <w:color w:val="auto"/>
                <w:sz w:val="21"/>
                <w:szCs w:val="21"/>
                <w:highlight w:val="none"/>
                <w:lang w:val="en-US" w:eastAsia="zh-CN"/>
              </w:rPr>
              <w:t>1</w:t>
            </w:r>
            <w:r>
              <w:rPr>
                <w:color w:val="auto"/>
                <w:sz w:val="21"/>
                <w:szCs w:val="21"/>
                <w:highlight w:val="none"/>
                <w:lang w:eastAsia="en-US"/>
              </w:rPr>
              <w:t>）投标文件载明的招标项目完成期限未超过招标文件规定的时限。</w:t>
            </w:r>
          </w:p>
          <w:p w14:paraId="239E28DA">
            <w:pPr>
              <w:pStyle w:val="9"/>
              <w:spacing w:line="360" w:lineRule="atLeast"/>
              <w:ind w:left="108" w:right="93" w:firstLine="384"/>
              <w:jc w:val="left"/>
              <w:rPr>
                <w:color w:val="auto"/>
                <w:sz w:val="21"/>
                <w:szCs w:val="21"/>
                <w:highlight w:val="none"/>
                <w:lang w:eastAsia="en-US"/>
              </w:rPr>
            </w:pPr>
            <w:r>
              <w:rPr>
                <w:color w:val="auto"/>
                <w:sz w:val="21"/>
                <w:szCs w:val="21"/>
                <w:highlight w:val="none"/>
                <w:lang w:eastAsia="en-US"/>
              </w:rPr>
              <w:t>（1</w:t>
            </w:r>
            <w:r>
              <w:rPr>
                <w:rFonts w:hint="eastAsia"/>
                <w:color w:val="auto"/>
                <w:sz w:val="21"/>
                <w:szCs w:val="21"/>
                <w:highlight w:val="none"/>
                <w:lang w:val="en-US" w:eastAsia="zh-CN"/>
              </w:rPr>
              <w:t>2</w:t>
            </w:r>
            <w:r>
              <w:rPr>
                <w:color w:val="auto"/>
                <w:sz w:val="21"/>
                <w:szCs w:val="21"/>
                <w:highlight w:val="none"/>
                <w:lang w:eastAsia="en-US"/>
              </w:rPr>
              <w:t>）投标文件对招标文件的实质性要求和条件作出响应。</w:t>
            </w:r>
          </w:p>
          <w:p w14:paraId="7FAFAE69">
            <w:pPr>
              <w:pStyle w:val="9"/>
              <w:spacing w:line="360" w:lineRule="atLeast"/>
              <w:ind w:left="108" w:right="93" w:firstLine="384"/>
              <w:jc w:val="left"/>
              <w:rPr>
                <w:color w:val="auto"/>
                <w:sz w:val="21"/>
                <w:szCs w:val="21"/>
                <w:highlight w:val="none"/>
                <w:lang w:eastAsia="en-US"/>
              </w:rPr>
            </w:pPr>
            <w:r>
              <w:rPr>
                <w:color w:val="auto"/>
                <w:sz w:val="21"/>
                <w:szCs w:val="21"/>
                <w:highlight w:val="none"/>
                <w:lang w:eastAsia="en-US"/>
              </w:rPr>
              <w:t>（1</w:t>
            </w:r>
            <w:r>
              <w:rPr>
                <w:rFonts w:hint="eastAsia"/>
                <w:color w:val="auto"/>
                <w:sz w:val="21"/>
                <w:szCs w:val="21"/>
                <w:highlight w:val="none"/>
                <w:lang w:val="en-US" w:eastAsia="zh-CN"/>
              </w:rPr>
              <w:t>3</w:t>
            </w:r>
            <w:r>
              <w:rPr>
                <w:color w:val="auto"/>
                <w:sz w:val="21"/>
                <w:szCs w:val="21"/>
                <w:highlight w:val="none"/>
                <w:lang w:eastAsia="en-US"/>
              </w:rPr>
              <w:t>）</w:t>
            </w:r>
            <w:r>
              <w:rPr>
                <w:rFonts w:hint="eastAsia"/>
                <w:color w:val="auto"/>
                <w:sz w:val="21"/>
                <w:szCs w:val="21"/>
                <w:highlight w:val="none"/>
                <w:lang w:eastAsia="en-US"/>
              </w:rPr>
              <w:t>投标文件未附有招标人不能接受的条件。</w:t>
            </w:r>
          </w:p>
          <w:p w14:paraId="011479A9">
            <w:pPr>
              <w:pStyle w:val="9"/>
              <w:spacing w:line="360" w:lineRule="atLeast"/>
              <w:ind w:left="108" w:right="93" w:firstLine="384"/>
              <w:jc w:val="left"/>
              <w:rPr>
                <w:color w:val="auto"/>
                <w:sz w:val="21"/>
                <w:szCs w:val="21"/>
                <w:highlight w:val="none"/>
                <w:lang w:eastAsia="en-US"/>
              </w:rPr>
            </w:pPr>
            <w:r>
              <w:rPr>
                <w:color w:val="auto"/>
                <w:sz w:val="21"/>
                <w:szCs w:val="21"/>
                <w:highlight w:val="none"/>
                <w:lang w:eastAsia="en-US"/>
              </w:rPr>
              <w:t>（1</w:t>
            </w:r>
            <w:r>
              <w:rPr>
                <w:rFonts w:hint="eastAsia"/>
                <w:color w:val="auto"/>
                <w:sz w:val="21"/>
                <w:szCs w:val="21"/>
                <w:highlight w:val="none"/>
                <w:lang w:val="en-US" w:eastAsia="zh-CN"/>
              </w:rPr>
              <w:t>4</w:t>
            </w:r>
            <w:r>
              <w:rPr>
                <w:color w:val="auto"/>
                <w:sz w:val="21"/>
                <w:szCs w:val="21"/>
                <w:highlight w:val="none"/>
                <w:lang w:eastAsia="en-US"/>
              </w:rPr>
              <w:t>）权利义务符合招标文件规定：</w:t>
            </w:r>
          </w:p>
          <w:p w14:paraId="0DB8839E">
            <w:pPr>
              <w:pStyle w:val="9"/>
              <w:spacing w:line="360" w:lineRule="atLeast"/>
              <w:ind w:left="108" w:right="93" w:firstLine="384"/>
              <w:jc w:val="left"/>
              <w:rPr>
                <w:color w:val="auto"/>
                <w:sz w:val="21"/>
                <w:szCs w:val="21"/>
                <w:highlight w:val="none"/>
                <w:lang w:eastAsia="en-US"/>
              </w:rPr>
            </w:pPr>
            <w:r>
              <w:rPr>
                <w:color w:val="auto"/>
                <w:sz w:val="21"/>
                <w:szCs w:val="21"/>
                <w:highlight w:val="none"/>
                <w:lang w:eastAsia="en-US"/>
              </w:rPr>
              <w:t>a.投标人应接受招标文件规定的风险划分原则，未提出新的风险划分办法；</w:t>
            </w:r>
          </w:p>
          <w:p w14:paraId="189492CC">
            <w:pPr>
              <w:pStyle w:val="9"/>
              <w:spacing w:line="360" w:lineRule="atLeast"/>
              <w:ind w:left="108" w:right="93" w:firstLine="384"/>
              <w:jc w:val="left"/>
              <w:rPr>
                <w:color w:val="auto"/>
                <w:sz w:val="21"/>
                <w:szCs w:val="21"/>
                <w:highlight w:val="none"/>
                <w:lang w:eastAsia="en-US"/>
              </w:rPr>
            </w:pPr>
            <w:r>
              <w:rPr>
                <w:color w:val="auto"/>
                <w:sz w:val="21"/>
                <w:szCs w:val="21"/>
                <w:highlight w:val="none"/>
                <w:lang w:eastAsia="en-US"/>
              </w:rPr>
              <w:t>b.投标人未增加发包人的责任范围，或减少投标人义务；</w:t>
            </w:r>
          </w:p>
          <w:p w14:paraId="4BFE75EB">
            <w:pPr>
              <w:pStyle w:val="9"/>
              <w:spacing w:line="360" w:lineRule="atLeast"/>
              <w:ind w:left="108" w:right="93" w:firstLine="384"/>
              <w:jc w:val="left"/>
              <w:rPr>
                <w:color w:val="auto"/>
                <w:sz w:val="21"/>
                <w:szCs w:val="21"/>
                <w:highlight w:val="none"/>
                <w:lang w:eastAsia="en-US"/>
              </w:rPr>
            </w:pPr>
            <w:r>
              <w:rPr>
                <w:color w:val="auto"/>
                <w:sz w:val="21"/>
                <w:szCs w:val="21"/>
                <w:highlight w:val="none"/>
                <w:lang w:eastAsia="en-US"/>
              </w:rPr>
              <w:t>c.投标人未提出不同的工程验收、计量、支付办法；</w:t>
            </w:r>
          </w:p>
          <w:p w14:paraId="216579EC">
            <w:pPr>
              <w:pStyle w:val="9"/>
              <w:spacing w:line="360" w:lineRule="atLeast"/>
              <w:ind w:left="108" w:right="93" w:firstLine="384"/>
              <w:jc w:val="left"/>
              <w:rPr>
                <w:color w:val="auto"/>
                <w:sz w:val="21"/>
                <w:szCs w:val="21"/>
                <w:highlight w:val="none"/>
                <w:lang w:eastAsia="en-US"/>
              </w:rPr>
            </w:pPr>
            <w:r>
              <w:rPr>
                <w:color w:val="auto"/>
                <w:sz w:val="21"/>
                <w:szCs w:val="21"/>
                <w:highlight w:val="none"/>
                <w:lang w:eastAsia="en-US"/>
              </w:rPr>
              <w:t>d.投标人对合同纠纷、事故处理办法未提出异议；</w:t>
            </w:r>
          </w:p>
          <w:p w14:paraId="45BA3E9D">
            <w:pPr>
              <w:pStyle w:val="9"/>
              <w:spacing w:line="360" w:lineRule="atLeast"/>
              <w:ind w:left="108" w:right="93" w:firstLine="384"/>
              <w:jc w:val="left"/>
              <w:rPr>
                <w:color w:val="auto"/>
                <w:sz w:val="21"/>
                <w:szCs w:val="21"/>
                <w:highlight w:val="none"/>
                <w:lang w:eastAsia="en-US"/>
              </w:rPr>
            </w:pPr>
            <w:r>
              <w:rPr>
                <w:color w:val="auto"/>
                <w:sz w:val="21"/>
                <w:szCs w:val="21"/>
                <w:highlight w:val="none"/>
                <w:lang w:eastAsia="en-US"/>
              </w:rPr>
              <w:t>e.投标人在投标活动中无欺诈行为；</w:t>
            </w:r>
          </w:p>
          <w:p w14:paraId="4395981D">
            <w:pPr>
              <w:pStyle w:val="9"/>
              <w:spacing w:line="360" w:lineRule="atLeast"/>
              <w:ind w:left="108" w:right="93" w:firstLine="384"/>
              <w:jc w:val="left"/>
              <w:rPr>
                <w:color w:val="auto"/>
                <w:sz w:val="21"/>
                <w:szCs w:val="21"/>
                <w:highlight w:val="none"/>
                <w:lang w:eastAsia="en-US"/>
              </w:rPr>
            </w:pPr>
            <w:r>
              <w:rPr>
                <w:color w:val="auto"/>
                <w:sz w:val="21"/>
                <w:szCs w:val="21"/>
                <w:highlight w:val="none"/>
                <w:lang w:eastAsia="en-US"/>
              </w:rPr>
              <w:t>f.投标人未对合同条款有重要保留。</w:t>
            </w:r>
          </w:p>
          <w:p w14:paraId="4BE57B11">
            <w:pPr>
              <w:pStyle w:val="9"/>
              <w:spacing w:line="360" w:lineRule="atLeast"/>
              <w:ind w:left="108" w:right="93" w:firstLine="384"/>
              <w:jc w:val="left"/>
              <w:rPr>
                <w:color w:val="auto"/>
                <w:sz w:val="21"/>
                <w:szCs w:val="21"/>
                <w:highlight w:val="none"/>
                <w:lang w:eastAsia="en-US"/>
              </w:rPr>
            </w:pPr>
            <w:r>
              <w:rPr>
                <w:rFonts w:hint="eastAsia"/>
                <w:color w:val="auto"/>
                <w:sz w:val="21"/>
                <w:szCs w:val="21"/>
                <w:highlight w:val="none"/>
                <w:lang w:eastAsia="en-US"/>
              </w:rPr>
              <w:t>（1</w:t>
            </w:r>
            <w:r>
              <w:rPr>
                <w:rFonts w:hint="eastAsia"/>
                <w:color w:val="auto"/>
                <w:sz w:val="21"/>
                <w:szCs w:val="21"/>
                <w:highlight w:val="none"/>
                <w:lang w:val="en-US" w:eastAsia="zh-CN"/>
              </w:rPr>
              <w:t>5</w:t>
            </w:r>
            <w:r>
              <w:rPr>
                <w:rFonts w:hint="eastAsia"/>
                <w:color w:val="auto"/>
                <w:sz w:val="21"/>
                <w:szCs w:val="21"/>
                <w:highlight w:val="none"/>
                <w:lang w:eastAsia="en-US"/>
              </w:rPr>
              <w:t>）不存在违反法律、法规的其他情形。</w:t>
            </w:r>
          </w:p>
        </w:tc>
      </w:tr>
      <w:tr w14:paraId="153A4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009" w:type="dxa"/>
            <w:vAlign w:val="center"/>
          </w:tcPr>
          <w:p w14:paraId="790AF971">
            <w:pPr>
              <w:pStyle w:val="9"/>
              <w:rPr>
                <w:color w:val="auto"/>
                <w:sz w:val="21"/>
                <w:szCs w:val="21"/>
                <w:highlight w:val="none"/>
                <w:lang w:eastAsia="en-US"/>
              </w:rPr>
            </w:pPr>
            <w:r>
              <w:rPr>
                <w:color w:val="auto"/>
                <w:sz w:val="21"/>
                <w:szCs w:val="21"/>
                <w:highlight w:val="none"/>
                <w:lang w:eastAsia="en-US"/>
              </w:rPr>
              <w:t>2.1.1</w:t>
            </w:r>
          </w:p>
          <w:p w14:paraId="2308B696">
            <w:pPr>
              <w:pStyle w:val="9"/>
              <w:spacing w:before="138"/>
              <w:rPr>
                <w:color w:val="auto"/>
                <w:sz w:val="21"/>
                <w:szCs w:val="21"/>
                <w:highlight w:val="none"/>
                <w:lang w:eastAsia="en-US"/>
              </w:rPr>
            </w:pPr>
            <w:r>
              <w:rPr>
                <w:color w:val="auto"/>
                <w:sz w:val="21"/>
                <w:szCs w:val="21"/>
                <w:highlight w:val="none"/>
                <w:lang w:eastAsia="en-US"/>
              </w:rPr>
              <w:t>2.1.3</w:t>
            </w:r>
          </w:p>
        </w:tc>
        <w:tc>
          <w:tcPr>
            <w:tcW w:w="1248" w:type="dxa"/>
            <w:tcBorders>
              <w:right w:val="single" w:color="000000" w:sz="6" w:space="0"/>
            </w:tcBorders>
            <w:vAlign w:val="center"/>
          </w:tcPr>
          <w:p w14:paraId="37EE0993">
            <w:pPr>
              <w:pStyle w:val="9"/>
              <w:spacing w:line="338" w:lineRule="auto"/>
              <w:ind w:left="112" w:right="99"/>
              <w:rPr>
                <w:color w:val="auto"/>
                <w:sz w:val="21"/>
                <w:szCs w:val="21"/>
                <w:highlight w:val="none"/>
                <w:lang w:eastAsia="en-US"/>
              </w:rPr>
            </w:pPr>
            <w:r>
              <w:rPr>
                <w:color w:val="auto"/>
                <w:sz w:val="21"/>
                <w:szCs w:val="21"/>
                <w:highlight w:val="none"/>
                <w:lang w:eastAsia="en-US"/>
              </w:rPr>
              <w:t>形式评审</w:t>
            </w:r>
          </w:p>
          <w:p w14:paraId="55241E52">
            <w:pPr>
              <w:pStyle w:val="9"/>
              <w:spacing w:line="338" w:lineRule="auto"/>
              <w:ind w:left="112" w:right="99"/>
              <w:rPr>
                <w:color w:val="auto"/>
                <w:sz w:val="21"/>
                <w:szCs w:val="21"/>
                <w:highlight w:val="none"/>
                <w:lang w:eastAsia="en-US"/>
              </w:rPr>
            </w:pPr>
            <w:r>
              <w:rPr>
                <w:color w:val="auto"/>
                <w:sz w:val="21"/>
                <w:szCs w:val="21"/>
                <w:highlight w:val="none"/>
                <w:lang w:eastAsia="en-US"/>
              </w:rPr>
              <w:t>与响应性</w:t>
            </w:r>
          </w:p>
          <w:p w14:paraId="424C4826">
            <w:pPr>
              <w:pStyle w:val="9"/>
              <w:spacing w:line="338" w:lineRule="auto"/>
              <w:ind w:left="112" w:right="99"/>
              <w:rPr>
                <w:color w:val="auto"/>
                <w:sz w:val="21"/>
                <w:szCs w:val="21"/>
                <w:highlight w:val="none"/>
                <w:lang w:eastAsia="en-US"/>
              </w:rPr>
            </w:pPr>
            <w:r>
              <w:rPr>
                <w:color w:val="auto"/>
                <w:sz w:val="21"/>
                <w:szCs w:val="21"/>
                <w:highlight w:val="none"/>
                <w:lang w:eastAsia="en-US"/>
              </w:rPr>
              <w:t>评审标准</w:t>
            </w:r>
          </w:p>
        </w:tc>
        <w:tc>
          <w:tcPr>
            <w:tcW w:w="6682" w:type="dxa"/>
            <w:gridSpan w:val="2"/>
            <w:tcBorders>
              <w:left w:val="single" w:color="000000" w:sz="6" w:space="0"/>
            </w:tcBorders>
          </w:tcPr>
          <w:p w14:paraId="5A63ABF8">
            <w:pPr>
              <w:pStyle w:val="9"/>
              <w:spacing w:line="360" w:lineRule="atLeast"/>
              <w:ind w:left="108" w:right="93" w:firstLine="420"/>
              <w:jc w:val="left"/>
              <w:rPr>
                <w:b/>
                <w:color w:val="auto"/>
                <w:sz w:val="21"/>
                <w:szCs w:val="21"/>
                <w:highlight w:val="none"/>
                <w:lang w:eastAsia="en-US"/>
              </w:rPr>
            </w:pPr>
            <w:r>
              <w:rPr>
                <w:b/>
                <w:color w:val="auto"/>
                <w:sz w:val="21"/>
                <w:szCs w:val="21"/>
                <w:highlight w:val="none"/>
                <w:lang w:eastAsia="en-US"/>
              </w:rPr>
              <w:t>第二个信封（报价文件）评审标准：</w:t>
            </w:r>
          </w:p>
          <w:p w14:paraId="1EC8351F">
            <w:pPr>
              <w:pStyle w:val="9"/>
              <w:spacing w:line="360" w:lineRule="atLeast"/>
              <w:ind w:left="108" w:right="93" w:firstLine="420"/>
              <w:jc w:val="left"/>
              <w:rPr>
                <w:color w:val="auto"/>
                <w:sz w:val="21"/>
                <w:szCs w:val="21"/>
                <w:highlight w:val="none"/>
                <w:lang w:eastAsia="en-US"/>
              </w:rPr>
            </w:pPr>
            <w:r>
              <w:rPr>
                <w:color w:val="auto"/>
                <w:sz w:val="21"/>
                <w:szCs w:val="21"/>
                <w:highlight w:val="none"/>
                <w:lang w:eastAsia="en-US"/>
              </w:rPr>
              <w:t>（1）投标文件按照招标文件规定的格式、内容填写，字迹清晰可辨：</w:t>
            </w:r>
          </w:p>
          <w:p w14:paraId="75EEF0C8">
            <w:pPr>
              <w:pStyle w:val="9"/>
              <w:spacing w:line="360" w:lineRule="atLeast"/>
              <w:ind w:left="108" w:right="93" w:firstLine="420"/>
              <w:jc w:val="left"/>
              <w:rPr>
                <w:color w:val="auto"/>
                <w:sz w:val="21"/>
                <w:szCs w:val="21"/>
                <w:highlight w:val="none"/>
                <w:lang w:eastAsia="en-US"/>
              </w:rPr>
            </w:pPr>
            <w:r>
              <w:rPr>
                <w:color w:val="auto"/>
                <w:sz w:val="21"/>
                <w:szCs w:val="21"/>
                <w:highlight w:val="none"/>
                <w:lang w:eastAsia="en-US"/>
              </w:rPr>
              <w:t>a.投标函按招标文件规定填报了项目名称、标段号、补遗书编号（如有）、投标价（包括大写金额和小写金额）；</w:t>
            </w:r>
          </w:p>
          <w:p w14:paraId="6621BCE0">
            <w:pPr>
              <w:pStyle w:val="9"/>
              <w:spacing w:line="360" w:lineRule="atLeast"/>
              <w:ind w:left="108" w:right="93" w:firstLine="420"/>
              <w:jc w:val="left"/>
              <w:rPr>
                <w:color w:val="auto"/>
                <w:sz w:val="21"/>
                <w:szCs w:val="21"/>
                <w:highlight w:val="none"/>
                <w:lang w:eastAsia="en-US"/>
              </w:rPr>
            </w:pPr>
            <w:r>
              <w:rPr>
                <w:color w:val="auto"/>
                <w:sz w:val="21"/>
                <w:szCs w:val="21"/>
                <w:highlight w:val="none"/>
                <w:lang w:eastAsia="en-US"/>
              </w:rPr>
              <w:t>b.已标价工程量清单说明文字与招标文件规定一致，未进行实质性修改和删减；</w:t>
            </w:r>
          </w:p>
          <w:p w14:paraId="03A009CD">
            <w:pPr>
              <w:pStyle w:val="9"/>
              <w:spacing w:line="360" w:lineRule="atLeast"/>
              <w:ind w:left="108" w:right="93" w:firstLine="420"/>
              <w:jc w:val="left"/>
              <w:rPr>
                <w:color w:val="auto"/>
                <w:sz w:val="21"/>
                <w:szCs w:val="21"/>
                <w:highlight w:val="none"/>
                <w:lang w:eastAsia="en-US"/>
              </w:rPr>
            </w:pPr>
            <w:r>
              <w:rPr>
                <w:color w:val="auto"/>
                <w:sz w:val="21"/>
                <w:szCs w:val="21"/>
                <w:highlight w:val="none"/>
                <w:lang w:eastAsia="en-US"/>
              </w:rPr>
              <w:t>c.投标文件组成齐全完整，内容均按规定填写。</w:t>
            </w:r>
          </w:p>
          <w:p w14:paraId="56CFEE1B">
            <w:pPr>
              <w:pStyle w:val="9"/>
              <w:spacing w:line="360" w:lineRule="atLeast"/>
              <w:ind w:left="108" w:right="93" w:firstLine="420"/>
              <w:jc w:val="left"/>
              <w:rPr>
                <w:color w:val="auto"/>
                <w:sz w:val="21"/>
                <w:szCs w:val="21"/>
                <w:highlight w:val="none"/>
                <w:lang w:eastAsia="en-US"/>
              </w:rPr>
            </w:pPr>
            <w:r>
              <w:rPr>
                <w:color w:val="auto"/>
                <w:sz w:val="21"/>
                <w:szCs w:val="21"/>
                <w:highlight w:val="none"/>
                <w:lang w:eastAsia="en-US"/>
              </w:rPr>
              <w:t>（</w:t>
            </w:r>
            <w:r>
              <w:rPr>
                <w:rFonts w:hint="eastAsia"/>
                <w:color w:val="auto"/>
                <w:sz w:val="21"/>
                <w:szCs w:val="21"/>
                <w:highlight w:val="none"/>
                <w:lang w:val="en-US" w:eastAsia="zh-CN"/>
              </w:rPr>
              <w:t>2</w:t>
            </w:r>
            <w:r>
              <w:rPr>
                <w:color w:val="auto"/>
                <w:sz w:val="21"/>
                <w:szCs w:val="21"/>
                <w:highlight w:val="none"/>
                <w:lang w:eastAsia="en-US"/>
              </w:rPr>
              <w:t>）投标文件上法定代表人或其委托代理人的签字、投标人的单位章盖章齐全，符合招标文件规定。</w:t>
            </w:r>
          </w:p>
          <w:p w14:paraId="5488A097">
            <w:pPr>
              <w:pStyle w:val="9"/>
              <w:spacing w:line="360" w:lineRule="atLeast"/>
              <w:ind w:left="108" w:right="93" w:firstLine="420"/>
              <w:jc w:val="left"/>
              <w:rPr>
                <w:color w:val="auto"/>
                <w:sz w:val="21"/>
                <w:szCs w:val="21"/>
                <w:highlight w:val="none"/>
                <w:lang w:eastAsia="en-US"/>
              </w:rPr>
            </w:pPr>
            <w:r>
              <w:rPr>
                <w:color w:val="auto"/>
                <w:sz w:val="21"/>
                <w:szCs w:val="21"/>
                <w:highlight w:val="none"/>
                <w:lang w:eastAsia="en-US"/>
              </w:rPr>
              <w:t>（</w:t>
            </w:r>
            <w:r>
              <w:rPr>
                <w:rFonts w:hint="eastAsia"/>
                <w:color w:val="auto"/>
                <w:sz w:val="21"/>
                <w:szCs w:val="21"/>
                <w:highlight w:val="none"/>
                <w:lang w:val="en-US" w:eastAsia="zh-CN"/>
              </w:rPr>
              <w:t>3</w:t>
            </w:r>
            <w:r>
              <w:rPr>
                <w:color w:val="auto"/>
                <w:sz w:val="21"/>
                <w:szCs w:val="21"/>
                <w:highlight w:val="none"/>
                <w:lang w:eastAsia="en-US"/>
              </w:rPr>
              <w:t>）投标报价中的报价未超过招标文件设定的最高投标限价。</w:t>
            </w:r>
          </w:p>
          <w:p w14:paraId="3B6EA2AE">
            <w:pPr>
              <w:pStyle w:val="9"/>
              <w:spacing w:line="360" w:lineRule="atLeast"/>
              <w:ind w:left="108" w:right="93" w:firstLine="420"/>
              <w:jc w:val="left"/>
              <w:rPr>
                <w:color w:val="auto"/>
                <w:sz w:val="21"/>
                <w:szCs w:val="21"/>
                <w:highlight w:val="none"/>
                <w:lang w:eastAsia="en-US"/>
              </w:rPr>
            </w:pPr>
            <w:r>
              <w:rPr>
                <w:color w:val="auto"/>
                <w:sz w:val="21"/>
                <w:szCs w:val="21"/>
                <w:highlight w:val="none"/>
                <w:lang w:eastAsia="en-US"/>
              </w:rPr>
              <w:t>（</w:t>
            </w:r>
            <w:r>
              <w:rPr>
                <w:rFonts w:hint="eastAsia"/>
                <w:color w:val="auto"/>
                <w:sz w:val="21"/>
                <w:szCs w:val="21"/>
                <w:highlight w:val="none"/>
                <w:lang w:val="en-US" w:eastAsia="zh-CN"/>
              </w:rPr>
              <w:t>4</w:t>
            </w:r>
            <w:r>
              <w:rPr>
                <w:color w:val="auto"/>
                <w:sz w:val="21"/>
                <w:szCs w:val="21"/>
                <w:highlight w:val="none"/>
                <w:lang w:eastAsia="en-US"/>
              </w:rPr>
              <w:t>）投标报价中报价的大写金额能够确定具体数值。</w:t>
            </w:r>
          </w:p>
          <w:p w14:paraId="5B2A4923">
            <w:pPr>
              <w:pStyle w:val="9"/>
              <w:spacing w:line="360" w:lineRule="atLeast"/>
              <w:ind w:left="108" w:right="93" w:firstLine="420"/>
              <w:jc w:val="left"/>
              <w:rPr>
                <w:color w:val="auto"/>
                <w:sz w:val="21"/>
                <w:szCs w:val="21"/>
                <w:highlight w:val="none"/>
                <w:lang w:eastAsia="en-US"/>
              </w:rPr>
            </w:pPr>
            <w:r>
              <w:rPr>
                <w:color w:val="auto"/>
                <w:sz w:val="21"/>
                <w:szCs w:val="21"/>
                <w:highlight w:val="none"/>
                <w:lang w:eastAsia="en-US"/>
              </w:rPr>
              <w:t>（</w:t>
            </w:r>
            <w:r>
              <w:rPr>
                <w:rFonts w:hint="eastAsia"/>
                <w:color w:val="auto"/>
                <w:sz w:val="21"/>
                <w:szCs w:val="21"/>
                <w:highlight w:val="none"/>
                <w:lang w:val="en-US" w:eastAsia="zh-CN"/>
              </w:rPr>
              <w:t>5</w:t>
            </w:r>
            <w:r>
              <w:rPr>
                <w:color w:val="auto"/>
                <w:sz w:val="21"/>
                <w:szCs w:val="21"/>
                <w:highlight w:val="none"/>
                <w:lang w:eastAsia="en-US"/>
              </w:rPr>
              <w:t>）同一投标人未提交两个以上不同的投标报价。</w:t>
            </w:r>
          </w:p>
          <w:p w14:paraId="5E152A03">
            <w:pPr>
              <w:pStyle w:val="9"/>
              <w:spacing w:line="360" w:lineRule="atLeast"/>
              <w:ind w:left="108" w:right="93" w:firstLine="420"/>
              <w:jc w:val="left"/>
              <w:rPr>
                <w:color w:val="auto"/>
                <w:sz w:val="21"/>
                <w:szCs w:val="21"/>
                <w:highlight w:val="none"/>
                <w:lang w:eastAsia="en-US"/>
              </w:rPr>
            </w:pPr>
            <w:r>
              <w:rPr>
                <w:color w:val="auto"/>
                <w:sz w:val="21"/>
                <w:szCs w:val="21"/>
                <w:highlight w:val="none"/>
                <w:lang w:eastAsia="en-US"/>
              </w:rPr>
              <w:t>（</w:t>
            </w:r>
            <w:r>
              <w:rPr>
                <w:rFonts w:hint="eastAsia"/>
                <w:color w:val="auto"/>
                <w:sz w:val="21"/>
                <w:szCs w:val="21"/>
                <w:highlight w:val="none"/>
                <w:lang w:val="en-US" w:eastAsia="zh-CN"/>
              </w:rPr>
              <w:t>6</w:t>
            </w:r>
            <w:r>
              <w:rPr>
                <w:color w:val="auto"/>
                <w:sz w:val="21"/>
                <w:szCs w:val="21"/>
                <w:highlight w:val="none"/>
                <w:lang w:eastAsia="en-US"/>
              </w:rPr>
              <w:t>）</w:t>
            </w:r>
            <w:r>
              <w:rPr>
                <w:rFonts w:hint="eastAsia"/>
                <w:color w:val="auto"/>
                <w:sz w:val="21"/>
                <w:szCs w:val="21"/>
                <w:highlight w:val="none"/>
                <w:lang w:eastAsia="en-US"/>
              </w:rPr>
              <w:t>报价文件符合</w:t>
            </w:r>
            <w:r>
              <w:rPr>
                <w:color w:val="auto"/>
                <w:sz w:val="21"/>
                <w:szCs w:val="21"/>
                <w:highlight w:val="none"/>
                <w:lang w:eastAsia="en-US"/>
              </w:rPr>
              <w:t>招标文件第二章“投标人须知”第 3.2.6 项要求</w:t>
            </w:r>
            <w:r>
              <w:rPr>
                <w:rFonts w:hint="eastAsia"/>
                <w:color w:val="auto"/>
                <w:sz w:val="21"/>
                <w:szCs w:val="21"/>
                <w:highlight w:val="none"/>
                <w:lang w:eastAsia="en-US"/>
              </w:rPr>
              <w:t>，未提交调价函</w:t>
            </w:r>
            <w:r>
              <w:rPr>
                <w:color w:val="auto"/>
                <w:sz w:val="21"/>
                <w:szCs w:val="21"/>
                <w:highlight w:val="none"/>
                <w:lang w:eastAsia="en-US"/>
              </w:rPr>
              <w:t>。</w:t>
            </w:r>
          </w:p>
          <w:p w14:paraId="1E7462C4">
            <w:pPr>
              <w:pStyle w:val="9"/>
              <w:spacing w:line="360" w:lineRule="atLeast"/>
              <w:ind w:left="108" w:right="93" w:firstLine="420"/>
              <w:jc w:val="left"/>
              <w:rPr>
                <w:color w:val="auto"/>
                <w:sz w:val="21"/>
                <w:szCs w:val="21"/>
                <w:highlight w:val="none"/>
                <w:lang w:eastAsia="en-US"/>
              </w:rPr>
            </w:pPr>
            <w:r>
              <w:rPr>
                <w:color w:val="auto"/>
                <w:sz w:val="21"/>
                <w:szCs w:val="21"/>
                <w:highlight w:val="none"/>
                <w:lang w:eastAsia="en-US"/>
              </w:rPr>
              <w:t>（</w:t>
            </w:r>
            <w:r>
              <w:rPr>
                <w:rFonts w:hint="eastAsia"/>
                <w:color w:val="auto"/>
                <w:sz w:val="21"/>
                <w:szCs w:val="21"/>
                <w:highlight w:val="none"/>
                <w:lang w:val="en-US" w:eastAsia="zh-CN"/>
              </w:rPr>
              <w:t>7</w:t>
            </w:r>
            <w:r>
              <w:rPr>
                <w:color w:val="auto"/>
                <w:sz w:val="21"/>
                <w:szCs w:val="21"/>
                <w:highlight w:val="none"/>
                <w:lang w:eastAsia="en-US"/>
              </w:rPr>
              <w:t>）投标人若填写工程量清单，填写完毕的工程量清单未对工程量清单电子文件中的数据、格式和运算定义进行修改；工程量清单中的投标报价和投标函大写金额报价一致。</w:t>
            </w:r>
          </w:p>
        </w:tc>
      </w:tr>
      <w:tr w14:paraId="08997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009" w:type="dxa"/>
            <w:vAlign w:val="center"/>
          </w:tcPr>
          <w:p w14:paraId="2B630E75">
            <w:pPr>
              <w:pStyle w:val="9"/>
              <w:spacing w:before="177"/>
              <w:ind w:left="282"/>
              <w:jc w:val="both"/>
              <w:rPr>
                <w:color w:val="auto"/>
                <w:sz w:val="21"/>
                <w:szCs w:val="21"/>
                <w:highlight w:val="none"/>
                <w:lang w:eastAsia="en-US"/>
              </w:rPr>
            </w:pPr>
            <w:r>
              <w:rPr>
                <w:color w:val="auto"/>
                <w:sz w:val="21"/>
                <w:szCs w:val="21"/>
                <w:highlight w:val="none"/>
                <w:lang w:eastAsia="en-US"/>
              </w:rPr>
              <w:t>2.1.2</w:t>
            </w:r>
          </w:p>
        </w:tc>
        <w:tc>
          <w:tcPr>
            <w:tcW w:w="1248" w:type="dxa"/>
            <w:tcBorders>
              <w:right w:val="single" w:color="000000" w:sz="6" w:space="0"/>
            </w:tcBorders>
            <w:vAlign w:val="center"/>
          </w:tcPr>
          <w:p w14:paraId="302D3F73">
            <w:pPr>
              <w:pStyle w:val="9"/>
              <w:spacing w:line="338" w:lineRule="auto"/>
              <w:rPr>
                <w:color w:val="auto"/>
                <w:sz w:val="21"/>
                <w:szCs w:val="21"/>
                <w:highlight w:val="none"/>
                <w:lang w:eastAsia="en-US"/>
              </w:rPr>
            </w:pPr>
            <w:r>
              <w:rPr>
                <w:color w:val="auto"/>
                <w:sz w:val="21"/>
                <w:szCs w:val="21"/>
                <w:highlight w:val="none"/>
                <w:lang w:eastAsia="en-US"/>
              </w:rPr>
              <w:t>资格评审</w:t>
            </w:r>
          </w:p>
          <w:p w14:paraId="676D3A22">
            <w:pPr>
              <w:pStyle w:val="9"/>
              <w:spacing w:line="338" w:lineRule="auto"/>
              <w:rPr>
                <w:color w:val="auto"/>
                <w:sz w:val="21"/>
                <w:szCs w:val="21"/>
                <w:highlight w:val="none"/>
                <w:lang w:eastAsia="en-US"/>
              </w:rPr>
            </w:pPr>
            <w:r>
              <w:rPr>
                <w:color w:val="auto"/>
                <w:sz w:val="21"/>
                <w:szCs w:val="21"/>
                <w:highlight w:val="none"/>
                <w:lang w:eastAsia="en-US"/>
              </w:rPr>
              <w:t>标准</w:t>
            </w:r>
            <w:r>
              <w:rPr>
                <w:rFonts w:hint="eastAsia" w:ascii="宋体" w:hAnsi="宋体" w:cs="宋体"/>
                <w:color w:val="auto"/>
                <w:sz w:val="21"/>
                <w:szCs w:val="21"/>
                <w:highlight w:val="none"/>
                <w:lang w:eastAsia="en-US"/>
              </w:rPr>
              <w:t>（第一个信封）</w:t>
            </w:r>
          </w:p>
        </w:tc>
        <w:tc>
          <w:tcPr>
            <w:tcW w:w="6682" w:type="dxa"/>
            <w:gridSpan w:val="2"/>
            <w:tcBorders>
              <w:left w:val="single" w:color="000000" w:sz="6" w:space="0"/>
            </w:tcBorders>
          </w:tcPr>
          <w:p w14:paraId="13AB29A0">
            <w:pPr>
              <w:pStyle w:val="9"/>
              <w:spacing w:line="360" w:lineRule="atLeast"/>
              <w:ind w:left="108" w:right="93" w:firstLine="420"/>
              <w:jc w:val="left"/>
              <w:rPr>
                <w:color w:val="auto"/>
                <w:sz w:val="21"/>
                <w:szCs w:val="21"/>
                <w:highlight w:val="none"/>
                <w:lang w:eastAsia="en-US"/>
              </w:rPr>
            </w:pPr>
            <w:r>
              <w:rPr>
                <w:color w:val="auto"/>
                <w:sz w:val="21"/>
                <w:szCs w:val="21"/>
                <w:highlight w:val="none"/>
                <w:lang w:eastAsia="en-US"/>
              </w:rPr>
              <w:t>（1）投标人具备有效的营业执照、资质证书、安全生产许可证和基本账户开户许可证。</w:t>
            </w:r>
          </w:p>
          <w:p w14:paraId="439F001A">
            <w:pPr>
              <w:pStyle w:val="9"/>
              <w:spacing w:line="360" w:lineRule="atLeast"/>
              <w:ind w:left="108" w:right="93" w:firstLine="420"/>
              <w:jc w:val="left"/>
              <w:rPr>
                <w:color w:val="auto"/>
                <w:sz w:val="21"/>
                <w:szCs w:val="21"/>
                <w:highlight w:val="none"/>
                <w:lang w:eastAsia="en-US"/>
              </w:rPr>
            </w:pPr>
            <w:r>
              <w:rPr>
                <w:color w:val="auto"/>
                <w:sz w:val="21"/>
                <w:szCs w:val="21"/>
                <w:highlight w:val="none"/>
                <w:lang w:eastAsia="en-US"/>
              </w:rPr>
              <w:t>（2）投标人的资质等级符合招标文件</w:t>
            </w:r>
            <w:r>
              <w:rPr>
                <w:rFonts w:hint="eastAsia"/>
                <w:color w:val="auto"/>
                <w:sz w:val="21"/>
                <w:szCs w:val="21"/>
                <w:highlight w:val="none"/>
                <w:lang w:eastAsia="en-US"/>
              </w:rPr>
              <w:t>第二章</w:t>
            </w:r>
            <w:r>
              <w:rPr>
                <w:color w:val="auto"/>
                <w:sz w:val="21"/>
                <w:szCs w:val="21"/>
                <w:highlight w:val="none"/>
                <w:lang w:eastAsia="en-US"/>
              </w:rPr>
              <w:t>“投标人须知”第 1.4.</w:t>
            </w:r>
            <w:r>
              <w:rPr>
                <w:rFonts w:hint="eastAsia"/>
                <w:color w:val="auto"/>
                <w:sz w:val="21"/>
                <w:szCs w:val="21"/>
                <w:highlight w:val="none"/>
                <w:lang w:eastAsia="en-US"/>
              </w:rPr>
              <w:t>1</w:t>
            </w:r>
            <w:r>
              <w:rPr>
                <w:color w:val="auto"/>
                <w:sz w:val="21"/>
                <w:szCs w:val="21"/>
                <w:highlight w:val="none"/>
                <w:lang w:eastAsia="en-US"/>
              </w:rPr>
              <w:t xml:space="preserve"> 项规定。</w:t>
            </w:r>
          </w:p>
          <w:p w14:paraId="5D1893E8">
            <w:pPr>
              <w:pStyle w:val="9"/>
              <w:spacing w:line="360" w:lineRule="atLeast"/>
              <w:ind w:left="108" w:right="93" w:firstLine="420"/>
              <w:jc w:val="left"/>
              <w:rPr>
                <w:color w:val="auto"/>
                <w:sz w:val="21"/>
                <w:szCs w:val="21"/>
                <w:highlight w:val="none"/>
                <w:lang w:eastAsia="en-US"/>
              </w:rPr>
            </w:pPr>
            <w:r>
              <w:rPr>
                <w:color w:val="auto"/>
                <w:sz w:val="21"/>
                <w:szCs w:val="21"/>
                <w:highlight w:val="none"/>
                <w:lang w:eastAsia="en-US"/>
              </w:rPr>
              <w:t>（3）投标人的财务状况符合招标文件</w:t>
            </w:r>
            <w:r>
              <w:rPr>
                <w:rFonts w:hint="eastAsia"/>
                <w:color w:val="auto"/>
                <w:sz w:val="21"/>
                <w:szCs w:val="21"/>
                <w:highlight w:val="none"/>
                <w:lang w:eastAsia="en-US"/>
              </w:rPr>
              <w:t>第二章</w:t>
            </w:r>
            <w:r>
              <w:rPr>
                <w:color w:val="auto"/>
                <w:sz w:val="21"/>
                <w:szCs w:val="21"/>
                <w:highlight w:val="none"/>
                <w:lang w:eastAsia="en-US"/>
              </w:rPr>
              <w:t>“投标人须知”第 1.4.</w:t>
            </w:r>
            <w:r>
              <w:rPr>
                <w:rFonts w:hint="eastAsia"/>
                <w:color w:val="auto"/>
                <w:sz w:val="21"/>
                <w:szCs w:val="21"/>
                <w:highlight w:val="none"/>
                <w:lang w:eastAsia="en-US"/>
              </w:rPr>
              <w:t>1</w:t>
            </w:r>
            <w:r>
              <w:rPr>
                <w:color w:val="auto"/>
                <w:sz w:val="21"/>
                <w:szCs w:val="21"/>
                <w:highlight w:val="none"/>
                <w:lang w:eastAsia="en-US"/>
              </w:rPr>
              <w:t xml:space="preserve"> 项规定。</w:t>
            </w:r>
          </w:p>
          <w:p w14:paraId="0E3F93FE">
            <w:pPr>
              <w:pStyle w:val="9"/>
              <w:spacing w:line="360" w:lineRule="atLeast"/>
              <w:ind w:left="108" w:right="93" w:firstLine="420"/>
              <w:jc w:val="left"/>
              <w:rPr>
                <w:color w:val="auto"/>
                <w:sz w:val="21"/>
                <w:szCs w:val="21"/>
                <w:highlight w:val="none"/>
                <w:lang w:eastAsia="en-US"/>
              </w:rPr>
            </w:pPr>
            <w:r>
              <w:rPr>
                <w:color w:val="auto"/>
                <w:sz w:val="21"/>
                <w:szCs w:val="21"/>
                <w:highlight w:val="none"/>
                <w:lang w:eastAsia="en-US"/>
              </w:rPr>
              <w:t>（4）投标人的类似项目业绩符合招标文件</w:t>
            </w:r>
            <w:r>
              <w:rPr>
                <w:rFonts w:hint="eastAsia"/>
                <w:color w:val="auto"/>
                <w:sz w:val="21"/>
                <w:szCs w:val="21"/>
                <w:highlight w:val="none"/>
                <w:lang w:eastAsia="en-US"/>
              </w:rPr>
              <w:t>第二章</w:t>
            </w:r>
            <w:r>
              <w:rPr>
                <w:color w:val="auto"/>
                <w:sz w:val="21"/>
                <w:szCs w:val="21"/>
                <w:highlight w:val="none"/>
                <w:lang w:eastAsia="en-US"/>
              </w:rPr>
              <w:t>“投标人须知”第 1.4.</w:t>
            </w:r>
            <w:r>
              <w:rPr>
                <w:rFonts w:hint="eastAsia"/>
                <w:color w:val="auto"/>
                <w:sz w:val="21"/>
                <w:szCs w:val="21"/>
                <w:highlight w:val="none"/>
                <w:lang w:eastAsia="en-US"/>
              </w:rPr>
              <w:t>1</w:t>
            </w:r>
            <w:r>
              <w:rPr>
                <w:color w:val="auto"/>
                <w:sz w:val="21"/>
                <w:szCs w:val="21"/>
                <w:highlight w:val="none"/>
                <w:lang w:eastAsia="en-US"/>
              </w:rPr>
              <w:t xml:space="preserve"> 项规定。</w:t>
            </w:r>
          </w:p>
          <w:p w14:paraId="02A25793">
            <w:pPr>
              <w:pStyle w:val="9"/>
              <w:spacing w:line="360" w:lineRule="atLeast"/>
              <w:ind w:left="108" w:right="93" w:firstLine="420"/>
              <w:jc w:val="left"/>
              <w:rPr>
                <w:color w:val="auto"/>
                <w:sz w:val="21"/>
                <w:szCs w:val="21"/>
                <w:highlight w:val="none"/>
                <w:lang w:eastAsia="en-US"/>
              </w:rPr>
            </w:pPr>
            <w:r>
              <w:rPr>
                <w:color w:val="auto"/>
                <w:sz w:val="21"/>
                <w:szCs w:val="21"/>
                <w:highlight w:val="none"/>
                <w:lang w:eastAsia="en-US"/>
              </w:rPr>
              <w:t>（5）投标人的信誉符合招标文件</w:t>
            </w:r>
            <w:r>
              <w:rPr>
                <w:rFonts w:hint="eastAsia"/>
                <w:color w:val="auto"/>
                <w:sz w:val="21"/>
                <w:szCs w:val="21"/>
                <w:highlight w:val="none"/>
                <w:lang w:eastAsia="en-US"/>
              </w:rPr>
              <w:t>第二章</w:t>
            </w:r>
            <w:r>
              <w:rPr>
                <w:color w:val="auto"/>
                <w:sz w:val="21"/>
                <w:szCs w:val="21"/>
                <w:highlight w:val="none"/>
                <w:lang w:eastAsia="en-US"/>
              </w:rPr>
              <w:t>“投标人须知”第 1.4.</w:t>
            </w:r>
            <w:r>
              <w:rPr>
                <w:rFonts w:hint="eastAsia"/>
                <w:color w:val="auto"/>
                <w:sz w:val="21"/>
                <w:szCs w:val="21"/>
                <w:highlight w:val="none"/>
                <w:lang w:eastAsia="en-US"/>
              </w:rPr>
              <w:t>1</w:t>
            </w:r>
            <w:r>
              <w:rPr>
                <w:color w:val="auto"/>
                <w:sz w:val="21"/>
                <w:szCs w:val="21"/>
                <w:highlight w:val="none"/>
                <w:lang w:eastAsia="en-US"/>
              </w:rPr>
              <w:t xml:space="preserve"> 项规定。</w:t>
            </w:r>
          </w:p>
          <w:p w14:paraId="51B3860A">
            <w:pPr>
              <w:pStyle w:val="9"/>
              <w:spacing w:line="360" w:lineRule="atLeast"/>
              <w:ind w:left="108" w:right="93" w:firstLine="420"/>
              <w:jc w:val="left"/>
              <w:rPr>
                <w:color w:val="auto"/>
                <w:sz w:val="21"/>
                <w:szCs w:val="21"/>
                <w:highlight w:val="none"/>
                <w:lang w:eastAsia="en-US"/>
              </w:rPr>
            </w:pPr>
            <w:r>
              <w:rPr>
                <w:color w:val="auto"/>
                <w:sz w:val="21"/>
                <w:szCs w:val="21"/>
                <w:highlight w:val="none"/>
                <w:lang w:eastAsia="en-US"/>
              </w:rPr>
              <w:t>（6）投标人的项目经理和项目总工资格、在岗情况符合招标文件</w:t>
            </w:r>
            <w:r>
              <w:rPr>
                <w:rFonts w:hint="eastAsia"/>
                <w:color w:val="auto"/>
                <w:sz w:val="21"/>
                <w:szCs w:val="21"/>
                <w:highlight w:val="none"/>
                <w:lang w:eastAsia="en-US"/>
              </w:rPr>
              <w:t>第二章</w:t>
            </w:r>
            <w:r>
              <w:rPr>
                <w:color w:val="auto"/>
                <w:sz w:val="21"/>
                <w:szCs w:val="21"/>
                <w:highlight w:val="none"/>
                <w:lang w:eastAsia="en-US"/>
              </w:rPr>
              <w:t>“投标人须知”第 1.4.</w:t>
            </w:r>
            <w:r>
              <w:rPr>
                <w:rFonts w:hint="eastAsia"/>
                <w:color w:val="auto"/>
                <w:sz w:val="21"/>
                <w:szCs w:val="21"/>
                <w:highlight w:val="none"/>
                <w:lang w:eastAsia="en-US"/>
              </w:rPr>
              <w:t>1</w:t>
            </w:r>
            <w:r>
              <w:rPr>
                <w:color w:val="auto"/>
                <w:sz w:val="21"/>
                <w:szCs w:val="21"/>
                <w:highlight w:val="none"/>
                <w:lang w:eastAsia="en-US"/>
              </w:rPr>
              <w:t xml:space="preserve"> 项规定。</w:t>
            </w:r>
          </w:p>
          <w:p w14:paraId="1797D1EB">
            <w:pPr>
              <w:pStyle w:val="9"/>
              <w:spacing w:line="360" w:lineRule="atLeast"/>
              <w:ind w:left="108" w:right="93" w:firstLine="420"/>
              <w:jc w:val="left"/>
              <w:rPr>
                <w:color w:val="auto"/>
                <w:sz w:val="21"/>
                <w:szCs w:val="21"/>
                <w:highlight w:val="none"/>
                <w:lang w:eastAsia="en-US"/>
              </w:rPr>
            </w:pPr>
            <w:r>
              <w:rPr>
                <w:color w:val="auto"/>
                <w:sz w:val="21"/>
                <w:szCs w:val="21"/>
                <w:highlight w:val="none"/>
                <w:lang w:eastAsia="en-US"/>
              </w:rPr>
              <w:t>（7）投标人的其他要求符合招标文件</w:t>
            </w:r>
            <w:r>
              <w:rPr>
                <w:rFonts w:hint="eastAsia"/>
                <w:color w:val="auto"/>
                <w:sz w:val="21"/>
                <w:szCs w:val="21"/>
                <w:highlight w:val="none"/>
                <w:lang w:eastAsia="en-US"/>
              </w:rPr>
              <w:t>第二章</w:t>
            </w:r>
            <w:r>
              <w:rPr>
                <w:color w:val="auto"/>
                <w:sz w:val="21"/>
                <w:szCs w:val="21"/>
                <w:highlight w:val="none"/>
                <w:lang w:eastAsia="en-US"/>
              </w:rPr>
              <w:t>“投标人须知”第 1.4.</w:t>
            </w:r>
            <w:r>
              <w:rPr>
                <w:rFonts w:hint="eastAsia"/>
                <w:color w:val="auto"/>
                <w:sz w:val="21"/>
                <w:szCs w:val="21"/>
                <w:highlight w:val="none"/>
                <w:lang w:eastAsia="en-US"/>
              </w:rPr>
              <w:t>1</w:t>
            </w:r>
            <w:r>
              <w:rPr>
                <w:color w:val="auto"/>
                <w:sz w:val="21"/>
                <w:szCs w:val="21"/>
                <w:highlight w:val="none"/>
                <w:lang w:eastAsia="en-US"/>
              </w:rPr>
              <w:t xml:space="preserve"> 项规定。</w:t>
            </w:r>
          </w:p>
          <w:p w14:paraId="12A3D9F5">
            <w:pPr>
              <w:pStyle w:val="9"/>
              <w:spacing w:line="360" w:lineRule="atLeast"/>
              <w:ind w:left="108" w:right="93" w:firstLine="420"/>
              <w:jc w:val="left"/>
              <w:rPr>
                <w:color w:val="auto"/>
                <w:sz w:val="21"/>
                <w:szCs w:val="21"/>
                <w:highlight w:val="none"/>
                <w:lang w:eastAsia="en-US"/>
              </w:rPr>
            </w:pPr>
            <w:r>
              <w:rPr>
                <w:color w:val="auto"/>
                <w:sz w:val="21"/>
                <w:szCs w:val="21"/>
                <w:highlight w:val="none"/>
                <w:lang w:eastAsia="en-US"/>
              </w:rPr>
              <w:t>（8）投标人不存在第二章“投标人须知”第 1.4.3 项或第 1.4.4 项规定的任何一种情形。</w:t>
            </w:r>
          </w:p>
        </w:tc>
      </w:tr>
      <w:tr w14:paraId="6FE53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479" w:hRule="atLeast"/>
        </w:trPr>
        <w:tc>
          <w:tcPr>
            <w:tcW w:w="2257" w:type="dxa"/>
            <w:gridSpan w:val="2"/>
            <w:vAlign w:val="center"/>
          </w:tcPr>
          <w:p w14:paraId="6C8B80DD">
            <w:pPr>
              <w:pStyle w:val="9"/>
              <w:spacing w:line="250" w:lineRule="exact"/>
              <w:jc w:val="center"/>
              <w:rPr>
                <w:b/>
                <w:color w:val="auto"/>
                <w:sz w:val="21"/>
                <w:szCs w:val="21"/>
                <w:highlight w:val="none"/>
                <w:lang w:eastAsia="en-US"/>
              </w:rPr>
            </w:pPr>
            <w:r>
              <w:rPr>
                <w:b/>
                <w:color w:val="auto"/>
                <w:sz w:val="21"/>
                <w:szCs w:val="21"/>
                <w:highlight w:val="none"/>
                <w:lang w:eastAsia="en-US"/>
              </w:rPr>
              <w:t>条款号</w:t>
            </w:r>
          </w:p>
        </w:tc>
        <w:tc>
          <w:tcPr>
            <w:tcW w:w="1693" w:type="dxa"/>
            <w:vAlign w:val="center"/>
          </w:tcPr>
          <w:p w14:paraId="68AF9AD5">
            <w:pPr>
              <w:pStyle w:val="9"/>
              <w:spacing w:line="250" w:lineRule="exact"/>
              <w:jc w:val="center"/>
              <w:rPr>
                <w:b/>
                <w:color w:val="auto"/>
                <w:sz w:val="21"/>
                <w:szCs w:val="21"/>
                <w:highlight w:val="none"/>
                <w:lang w:eastAsia="en-US"/>
              </w:rPr>
            </w:pPr>
            <w:r>
              <w:rPr>
                <w:b/>
                <w:color w:val="auto"/>
                <w:sz w:val="21"/>
                <w:szCs w:val="21"/>
                <w:highlight w:val="none"/>
                <w:lang w:eastAsia="en-US"/>
              </w:rPr>
              <w:t>条款内容</w:t>
            </w:r>
          </w:p>
        </w:tc>
        <w:tc>
          <w:tcPr>
            <w:tcW w:w="4989" w:type="dxa"/>
            <w:vAlign w:val="center"/>
          </w:tcPr>
          <w:p w14:paraId="32EB038F">
            <w:pPr>
              <w:pStyle w:val="9"/>
              <w:spacing w:before="89" w:line="250" w:lineRule="exact"/>
              <w:ind w:right="2097"/>
              <w:jc w:val="center"/>
              <w:rPr>
                <w:b/>
                <w:color w:val="auto"/>
                <w:sz w:val="21"/>
                <w:szCs w:val="21"/>
                <w:highlight w:val="none"/>
                <w:lang w:eastAsia="en-US"/>
              </w:rPr>
            </w:pPr>
            <w:r>
              <w:rPr>
                <w:rFonts w:hint="eastAsia" w:eastAsia="宋体"/>
                <w:b/>
                <w:color w:val="auto"/>
                <w:sz w:val="21"/>
                <w:szCs w:val="21"/>
                <w:highlight w:val="none"/>
                <w:lang w:val="en-US" w:eastAsia="zh-CN"/>
              </w:rPr>
              <w:t xml:space="preserve">                 编列</w:t>
            </w:r>
            <w:r>
              <w:rPr>
                <w:b/>
                <w:color w:val="auto"/>
                <w:sz w:val="21"/>
                <w:szCs w:val="21"/>
                <w:highlight w:val="none"/>
                <w:lang w:eastAsia="en-US"/>
              </w:rPr>
              <w:t>内容</w:t>
            </w:r>
          </w:p>
        </w:tc>
      </w:tr>
      <w:tr w14:paraId="78E65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90" w:hRule="atLeast"/>
        </w:trPr>
        <w:tc>
          <w:tcPr>
            <w:tcW w:w="2257" w:type="dxa"/>
            <w:gridSpan w:val="2"/>
            <w:vAlign w:val="center"/>
          </w:tcPr>
          <w:p w14:paraId="43BDE6D3">
            <w:pPr>
              <w:pStyle w:val="9"/>
              <w:rPr>
                <w:rFonts w:ascii="Times New Roman"/>
                <w:color w:val="auto"/>
                <w:sz w:val="21"/>
                <w:szCs w:val="21"/>
                <w:highlight w:val="none"/>
                <w:lang w:eastAsia="en-US"/>
              </w:rPr>
            </w:pPr>
            <w:r>
              <w:rPr>
                <w:rFonts w:ascii="Times New Roman"/>
                <w:color w:val="auto"/>
                <w:sz w:val="21"/>
                <w:szCs w:val="21"/>
                <w:highlight w:val="none"/>
                <w:lang w:eastAsia="en-US"/>
              </w:rPr>
              <w:t>2.2.1</w:t>
            </w:r>
          </w:p>
        </w:tc>
        <w:tc>
          <w:tcPr>
            <w:tcW w:w="1693" w:type="dxa"/>
            <w:vAlign w:val="center"/>
          </w:tcPr>
          <w:p w14:paraId="32D6AC66">
            <w:pPr>
              <w:pStyle w:val="9"/>
              <w:spacing w:line="400" w:lineRule="exact"/>
              <w:rPr>
                <w:color w:val="auto"/>
                <w:sz w:val="21"/>
                <w:szCs w:val="21"/>
                <w:highlight w:val="none"/>
                <w:lang w:eastAsia="en-US"/>
              </w:rPr>
            </w:pPr>
            <w:r>
              <w:rPr>
                <w:color w:val="auto"/>
                <w:sz w:val="21"/>
                <w:szCs w:val="21"/>
                <w:highlight w:val="none"/>
                <w:lang w:eastAsia="en-US"/>
              </w:rPr>
              <w:t>分值构成</w:t>
            </w:r>
          </w:p>
          <w:p w14:paraId="7541380F">
            <w:pPr>
              <w:pStyle w:val="9"/>
              <w:spacing w:line="400" w:lineRule="exact"/>
              <w:rPr>
                <w:color w:val="auto"/>
                <w:sz w:val="21"/>
                <w:szCs w:val="21"/>
                <w:highlight w:val="none"/>
                <w:lang w:eastAsia="en-US"/>
              </w:rPr>
            </w:pPr>
            <w:r>
              <w:rPr>
                <w:color w:val="auto"/>
                <w:sz w:val="21"/>
                <w:szCs w:val="21"/>
                <w:highlight w:val="none"/>
                <w:lang w:eastAsia="en-US"/>
              </w:rPr>
              <w:t xml:space="preserve">（总分 </w:t>
            </w:r>
            <w:r>
              <w:rPr>
                <w:rFonts w:ascii="Times New Roman" w:eastAsia="Times New Roman"/>
                <w:color w:val="auto"/>
                <w:sz w:val="21"/>
                <w:szCs w:val="21"/>
                <w:highlight w:val="none"/>
                <w:lang w:eastAsia="en-US"/>
              </w:rPr>
              <w:t>100</w:t>
            </w:r>
            <w:r>
              <w:rPr>
                <w:color w:val="auto"/>
                <w:sz w:val="21"/>
                <w:szCs w:val="21"/>
                <w:highlight w:val="none"/>
                <w:lang w:eastAsia="en-US"/>
              </w:rPr>
              <w:t>分）</w:t>
            </w:r>
          </w:p>
        </w:tc>
        <w:tc>
          <w:tcPr>
            <w:tcW w:w="4989" w:type="dxa"/>
            <w:vAlign w:val="center"/>
          </w:tcPr>
          <w:p w14:paraId="6295AFA5">
            <w:pPr>
              <w:pStyle w:val="9"/>
              <w:spacing w:line="360" w:lineRule="atLeast"/>
              <w:ind w:right="93"/>
              <w:jc w:val="left"/>
              <w:rPr>
                <w:color w:val="auto"/>
                <w:sz w:val="21"/>
                <w:szCs w:val="21"/>
                <w:highlight w:val="none"/>
                <w:lang w:eastAsia="en-US"/>
              </w:rPr>
            </w:pPr>
            <w:r>
              <w:rPr>
                <w:color w:val="auto"/>
                <w:sz w:val="21"/>
                <w:szCs w:val="21"/>
                <w:highlight w:val="none"/>
                <w:lang w:eastAsia="en-US"/>
              </w:rPr>
              <w:t>评分内容和权重分值划分：</w:t>
            </w:r>
          </w:p>
          <w:p w14:paraId="30ED1B92">
            <w:pPr>
              <w:pStyle w:val="9"/>
              <w:spacing w:line="360" w:lineRule="atLeast"/>
              <w:ind w:right="93"/>
              <w:jc w:val="left"/>
              <w:rPr>
                <w:color w:val="auto"/>
                <w:sz w:val="21"/>
                <w:szCs w:val="21"/>
                <w:highlight w:val="none"/>
                <w:lang w:eastAsia="en-US"/>
              </w:rPr>
            </w:pPr>
            <w:r>
              <w:rPr>
                <w:rFonts w:hint="eastAsia"/>
                <w:color w:val="auto"/>
                <w:sz w:val="21"/>
                <w:szCs w:val="21"/>
                <w:highlight w:val="none"/>
                <w:lang w:eastAsia="en-US"/>
              </w:rPr>
              <w:t>主要人员：</w:t>
            </w:r>
            <w:r>
              <w:rPr>
                <w:rFonts w:hint="eastAsia"/>
                <w:color w:val="auto"/>
                <w:sz w:val="21"/>
                <w:szCs w:val="21"/>
                <w:highlight w:val="none"/>
                <w:lang w:val="en-US" w:eastAsia="zh-CN"/>
              </w:rPr>
              <w:t>25</w:t>
            </w:r>
            <w:r>
              <w:rPr>
                <w:rFonts w:hint="eastAsia"/>
                <w:color w:val="auto"/>
                <w:sz w:val="21"/>
                <w:szCs w:val="21"/>
                <w:highlight w:val="none"/>
                <w:lang w:eastAsia="en-US"/>
              </w:rPr>
              <w:t>分</w:t>
            </w:r>
          </w:p>
          <w:p w14:paraId="65409E7A">
            <w:pPr>
              <w:pStyle w:val="9"/>
              <w:spacing w:line="360" w:lineRule="atLeast"/>
              <w:ind w:right="93"/>
              <w:jc w:val="left"/>
              <w:rPr>
                <w:rFonts w:hint="eastAsia"/>
                <w:color w:val="auto"/>
                <w:sz w:val="21"/>
                <w:szCs w:val="21"/>
                <w:highlight w:val="none"/>
                <w:lang w:eastAsia="en-US"/>
              </w:rPr>
            </w:pPr>
            <w:r>
              <w:rPr>
                <w:rFonts w:hint="eastAsia" w:eastAsia="宋体"/>
                <w:color w:val="auto"/>
                <w:sz w:val="21"/>
                <w:szCs w:val="21"/>
                <w:highlight w:val="none"/>
                <w:lang w:val="en-US" w:eastAsia="zh-CN"/>
              </w:rPr>
              <w:t>其他因素</w:t>
            </w:r>
            <w:r>
              <w:rPr>
                <w:rFonts w:hint="eastAsia"/>
                <w:color w:val="auto"/>
                <w:sz w:val="21"/>
                <w:szCs w:val="21"/>
                <w:highlight w:val="none"/>
                <w:lang w:eastAsia="en-US"/>
              </w:rPr>
              <w:t>：</w:t>
            </w:r>
            <w:r>
              <w:rPr>
                <w:rFonts w:hint="eastAsia" w:eastAsia="宋体"/>
                <w:color w:val="auto"/>
                <w:sz w:val="21"/>
                <w:szCs w:val="21"/>
                <w:highlight w:val="none"/>
                <w:lang w:val="en-US" w:eastAsia="zh-CN"/>
              </w:rPr>
              <w:t>25</w:t>
            </w:r>
            <w:r>
              <w:rPr>
                <w:rFonts w:hint="eastAsia"/>
                <w:color w:val="auto"/>
                <w:sz w:val="21"/>
                <w:szCs w:val="21"/>
                <w:highlight w:val="none"/>
                <w:lang w:eastAsia="en-US"/>
              </w:rPr>
              <w:t>分</w:t>
            </w:r>
          </w:p>
          <w:p w14:paraId="6549E96F">
            <w:pPr>
              <w:pStyle w:val="9"/>
              <w:spacing w:line="360" w:lineRule="atLeast"/>
              <w:ind w:right="93"/>
              <w:jc w:val="left"/>
              <w:rPr>
                <w:rFonts w:hint="eastAsia" w:eastAsia="宋体"/>
                <w:color w:val="auto"/>
                <w:sz w:val="21"/>
                <w:szCs w:val="21"/>
                <w:highlight w:val="none"/>
                <w:lang w:val="en-US" w:eastAsia="zh-CN"/>
              </w:rPr>
            </w:pPr>
            <w:r>
              <w:rPr>
                <w:rFonts w:hint="eastAsia"/>
                <w:color w:val="auto"/>
                <w:sz w:val="21"/>
                <w:szCs w:val="21"/>
                <w:highlight w:val="none"/>
                <w:lang w:eastAsia="zh-CN"/>
              </w:rPr>
              <w:t>技术能力</w:t>
            </w:r>
            <w:r>
              <w:rPr>
                <w:rFonts w:hint="eastAsia"/>
                <w:color w:val="auto"/>
                <w:sz w:val="21"/>
                <w:szCs w:val="21"/>
                <w:highlight w:val="none"/>
                <w:lang w:val="en-US" w:eastAsia="zh-CN"/>
              </w:rPr>
              <w:t>: 10分</w:t>
            </w:r>
          </w:p>
          <w:p w14:paraId="3FE091F5">
            <w:pPr>
              <w:pStyle w:val="9"/>
              <w:spacing w:line="360" w:lineRule="atLeast"/>
              <w:ind w:right="93"/>
              <w:jc w:val="left"/>
              <w:rPr>
                <w:color w:val="auto"/>
                <w:sz w:val="21"/>
                <w:szCs w:val="21"/>
                <w:highlight w:val="none"/>
                <w:lang w:eastAsia="en-US"/>
              </w:rPr>
            </w:pPr>
            <w:r>
              <w:rPr>
                <w:rFonts w:hint="eastAsia"/>
                <w:color w:val="auto"/>
                <w:sz w:val="21"/>
                <w:szCs w:val="21"/>
                <w:highlight w:val="none"/>
                <w:lang w:eastAsia="en-US"/>
              </w:rPr>
              <w:t>施工组织设计：</w:t>
            </w:r>
            <w:r>
              <w:rPr>
                <w:rFonts w:hint="eastAsia" w:eastAsia="宋体"/>
                <w:color w:val="auto"/>
                <w:sz w:val="21"/>
                <w:szCs w:val="21"/>
                <w:highlight w:val="none"/>
                <w:lang w:val="en-US" w:eastAsia="zh-CN"/>
              </w:rPr>
              <w:t>40</w:t>
            </w:r>
            <w:r>
              <w:rPr>
                <w:rFonts w:hint="eastAsia"/>
                <w:color w:val="auto"/>
                <w:sz w:val="21"/>
                <w:szCs w:val="21"/>
                <w:highlight w:val="none"/>
                <w:lang w:eastAsia="en-US"/>
              </w:rPr>
              <w:t>分</w:t>
            </w:r>
          </w:p>
        </w:tc>
      </w:tr>
      <w:tr w14:paraId="15A41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1116" w:hRule="atLeast"/>
        </w:trPr>
        <w:tc>
          <w:tcPr>
            <w:tcW w:w="2257" w:type="dxa"/>
            <w:gridSpan w:val="2"/>
            <w:vAlign w:val="center"/>
          </w:tcPr>
          <w:p w14:paraId="5D15D93C">
            <w:pPr>
              <w:pStyle w:val="9"/>
              <w:spacing w:before="1"/>
              <w:ind w:left="678" w:right="669"/>
              <w:rPr>
                <w:rFonts w:ascii="Times New Roman"/>
                <w:color w:val="auto"/>
                <w:sz w:val="21"/>
                <w:szCs w:val="21"/>
                <w:highlight w:val="none"/>
                <w:lang w:eastAsia="en-US"/>
              </w:rPr>
            </w:pPr>
            <w:r>
              <w:rPr>
                <w:rFonts w:ascii="Times New Roman"/>
                <w:color w:val="auto"/>
                <w:sz w:val="21"/>
                <w:szCs w:val="21"/>
                <w:highlight w:val="none"/>
                <w:lang w:eastAsia="en-US"/>
              </w:rPr>
              <w:t>2.2.</w:t>
            </w:r>
            <w:r>
              <w:rPr>
                <w:rFonts w:hint="eastAsia" w:ascii="Times New Roman"/>
                <w:color w:val="auto"/>
                <w:sz w:val="21"/>
                <w:szCs w:val="21"/>
                <w:highlight w:val="none"/>
                <w:lang w:eastAsia="en-US"/>
              </w:rPr>
              <w:t>3</w:t>
            </w:r>
          </w:p>
        </w:tc>
        <w:tc>
          <w:tcPr>
            <w:tcW w:w="1693" w:type="dxa"/>
            <w:vAlign w:val="center"/>
          </w:tcPr>
          <w:p w14:paraId="2DA70842">
            <w:pPr>
              <w:pStyle w:val="9"/>
              <w:spacing w:before="128" w:line="321" w:lineRule="auto"/>
              <w:ind w:left="124" w:right="110"/>
              <w:rPr>
                <w:color w:val="auto"/>
                <w:sz w:val="21"/>
                <w:szCs w:val="21"/>
                <w:highlight w:val="none"/>
                <w:lang w:eastAsia="en-US"/>
              </w:rPr>
            </w:pPr>
            <w:r>
              <w:rPr>
                <w:rFonts w:hint="eastAsia"/>
                <w:color w:val="auto"/>
                <w:sz w:val="21"/>
                <w:szCs w:val="21"/>
                <w:highlight w:val="none"/>
                <w:lang w:eastAsia="en-US"/>
              </w:rPr>
              <w:t>第二个信封详细评审标准</w:t>
            </w:r>
          </w:p>
        </w:tc>
        <w:tc>
          <w:tcPr>
            <w:tcW w:w="4989" w:type="dxa"/>
            <w:vAlign w:val="center"/>
          </w:tcPr>
          <w:p w14:paraId="6E06CC1C">
            <w:pPr>
              <w:pStyle w:val="9"/>
              <w:spacing w:line="360" w:lineRule="atLeast"/>
              <w:ind w:right="93"/>
              <w:rPr>
                <w:b/>
                <w:color w:val="auto"/>
                <w:sz w:val="21"/>
                <w:szCs w:val="21"/>
                <w:highlight w:val="none"/>
                <w:lang w:eastAsia="en-US"/>
              </w:rPr>
            </w:pPr>
            <w:r>
              <w:rPr>
                <w:rFonts w:hint="eastAsia"/>
                <w:b/>
                <w:color w:val="auto"/>
                <w:sz w:val="21"/>
                <w:szCs w:val="21"/>
                <w:highlight w:val="none"/>
                <w:lang w:eastAsia="en-US"/>
              </w:rPr>
              <w:t>评标价计算公</w:t>
            </w:r>
            <w:r>
              <w:rPr>
                <w:rFonts w:hint="eastAsia" w:eastAsia="宋体"/>
                <w:b/>
                <w:color w:val="auto"/>
                <w:sz w:val="21"/>
                <w:szCs w:val="21"/>
                <w:highlight w:val="none"/>
                <w:lang w:eastAsia="zh-CN"/>
              </w:rPr>
              <w:t>式</w:t>
            </w:r>
            <w:r>
              <w:rPr>
                <w:rFonts w:hint="eastAsia"/>
                <w:b/>
                <w:color w:val="auto"/>
                <w:sz w:val="21"/>
                <w:szCs w:val="21"/>
                <w:highlight w:val="none"/>
                <w:lang w:eastAsia="en-US"/>
              </w:rPr>
              <w:t>：</w:t>
            </w:r>
          </w:p>
          <w:p w14:paraId="63D4873A">
            <w:pPr>
              <w:pStyle w:val="9"/>
              <w:spacing w:line="360" w:lineRule="atLeast"/>
              <w:ind w:right="93"/>
              <w:jc w:val="left"/>
              <w:rPr>
                <w:color w:val="auto"/>
                <w:sz w:val="21"/>
                <w:szCs w:val="21"/>
                <w:highlight w:val="none"/>
                <w:lang w:eastAsia="en-US"/>
              </w:rPr>
            </w:pPr>
            <w:r>
              <w:rPr>
                <w:rFonts w:hint="eastAsia"/>
                <w:color w:val="auto"/>
                <w:sz w:val="21"/>
                <w:szCs w:val="21"/>
                <w:highlight w:val="none"/>
                <w:lang w:eastAsia="en-US"/>
              </w:rPr>
              <w:t>评标价=修正后的投标报价-暂估价-暂列金额（不含计日工总额）</w:t>
            </w:r>
          </w:p>
        </w:tc>
      </w:tr>
      <w:tr w14:paraId="3F6E0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895" w:hRule="atLeast"/>
        </w:trPr>
        <w:tc>
          <w:tcPr>
            <w:tcW w:w="2257" w:type="dxa"/>
            <w:gridSpan w:val="2"/>
            <w:vAlign w:val="center"/>
          </w:tcPr>
          <w:p w14:paraId="5DCEFD58">
            <w:pPr>
              <w:pStyle w:val="9"/>
              <w:ind w:left="673" w:right="661"/>
              <w:rPr>
                <w:rFonts w:ascii="Times New Roman"/>
                <w:color w:val="auto"/>
                <w:sz w:val="21"/>
                <w:szCs w:val="21"/>
                <w:highlight w:val="none"/>
                <w:lang w:eastAsia="en-US"/>
              </w:rPr>
            </w:pPr>
            <w:r>
              <w:rPr>
                <w:rFonts w:hint="eastAsia" w:ascii="Times New Roman"/>
                <w:color w:val="auto"/>
                <w:sz w:val="21"/>
                <w:szCs w:val="21"/>
                <w:highlight w:val="none"/>
                <w:lang w:eastAsia="en-US"/>
              </w:rPr>
              <w:t>3.2.4</w:t>
            </w:r>
          </w:p>
        </w:tc>
        <w:tc>
          <w:tcPr>
            <w:tcW w:w="1693" w:type="dxa"/>
            <w:vAlign w:val="center"/>
          </w:tcPr>
          <w:p w14:paraId="295B8053">
            <w:pPr>
              <w:pStyle w:val="9"/>
              <w:spacing w:line="360" w:lineRule="exact"/>
              <w:ind w:left="125" w:right="113"/>
              <w:rPr>
                <w:color w:val="auto"/>
                <w:sz w:val="21"/>
                <w:szCs w:val="21"/>
                <w:highlight w:val="none"/>
                <w:lang w:eastAsia="en-US"/>
              </w:rPr>
            </w:pPr>
            <w:r>
              <w:rPr>
                <w:rFonts w:hint="eastAsia"/>
                <w:color w:val="auto"/>
                <w:sz w:val="21"/>
                <w:szCs w:val="21"/>
                <w:highlight w:val="none"/>
                <w:lang w:eastAsia="en-US"/>
              </w:rPr>
              <w:t>通过第一个信封详细评审的投标人数量</w:t>
            </w:r>
          </w:p>
        </w:tc>
        <w:tc>
          <w:tcPr>
            <w:tcW w:w="4989" w:type="dxa"/>
            <w:vAlign w:val="center"/>
          </w:tcPr>
          <w:p w14:paraId="3DB656EC">
            <w:pPr>
              <w:pStyle w:val="9"/>
              <w:spacing w:line="249" w:lineRule="exact"/>
              <w:ind w:left="108"/>
              <w:jc w:val="both"/>
              <w:rPr>
                <w:color w:val="auto"/>
                <w:sz w:val="21"/>
                <w:szCs w:val="21"/>
                <w:highlight w:val="none"/>
                <w:lang w:eastAsia="en-US"/>
              </w:rPr>
            </w:pPr>
            <w:r>
              <w:rPr>
                <w:rFonts w:hint="eastAsia"/>
                <w:color w:val="auto"/>
                <w:sz w:val="21"/>
                <w:szCs w:val="21"/>
                <w:highlight w:val="none"/>
                <w:lang w:eastAsia="en-US"/>
              </w:rPr>
              <w:t>按照投标人的</w:t>
            </w:r>
            <w:r>
              <w:rPr>
                <w:rFonts w:hint="eastAsia" w:eastAsia="宋体"/>
                <w:color w:val="auto"/>
                <w:sz w:val="21"/>
                <w:szCs w:val="21"/>
                <w:highlight w:val="none"/>
                <w:lang w:val="en-US" w:eastAsia="zh-CN"/>
              </w:rPr>
              <w:t>商务</w:t>
            </w:r>
            <w:r>
              <w:rPr>
                <w:rFonts w:hint="eastAsia"/>
                <w:color w:val="auto"/>
                <w:sz w:val="21"/>
                <w:szCs w:val="21"/>
                <w:highlight w:val="none"/>
                <w:lang w:eastAsia="en-US"/>
              </w:rPr>
              <w:t>和技术得分由高到低排序，选择前</w:t>
            </w:r>
            <w:r>
              <w:rPr>
                <w:rFonts w:hint="eastAsia"/>
                <w:color w:val="auto"/>
                <w:sz w:val="21"/>
                <w:szCs w:val="21"/>
                <w:highlight w:val="none"/>
                <w:u w:val="single"/>
                <w:lang w:eastAsia="en-US"/>
              </w:rPr>
              <w:t>3</w:t>
            </w:r>
            <w:r>
              <w:rPr>
                <w:rFonts w:hint="eastAsia"/>
                <w:color w:val="auto"/>
                <w:sz w:val="21"/>
                <w:szCs w:val="21"/>
                <w:highlight w:val="none"/>
                <w:lang w:eastAsia="en-US"/>
              </w:rPr>
              <w:t>名通过详细评审</w:t>
            </w:r>
          </w:p>
        </w:tc>
      </w:tr>
    </w:tbl>
    <w:tbl>
      <w:tblPr>
        <w:tblStyle w:val="6"/>
        <w:tblpPr w:leftFromText="180" w:rightFromText="180" w:vertAnchor="text" w:horzAnchor="page" w:tblpXSpec="center" w:tblpY="140"/>
        <w:tblOverlap w:val="never"/>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15"/>
        <w:gridCol w:w="1169"/>
        <w:gridCol w:w="519"/>
        <w:gridCol w:w="1039"/>
        <w:gridCol w:w="653"/>
        <w:gridCol w:w="4344"/>
      </w:tblGrid>
      <w:tr w14:paraId="74078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8" w:hRule="atLeast"/>
          <w:jc w:val="center"/>
        </w:trPr>
        <w:tc>
          <w:tcPr>
            <w:tcW w:w="4595" w:type="dxa"/>
            <w:gridSpan w:val="5"/>
            <w:tcBorders>
              <w:tl2br w:val="nil"/>
              <w:tr2bl w:val="nil"/>
            </w:tcBorders>
            <w:noWrap w:val="0"/>
            <w:vAlign w:val="center"/>
          </w:tcPr>
          <w:p w14:paraId="0D277EC0">
            <w:pPr>
              <w:spacing w:line="0" w:lineRule="atLeast"/>
              <w:jc w:val="center"/>
              <w:rPr>
                <w:rFonts w:hint="default" w:ascii="Times New Roman" w:hAnsi="Times New Roman" w:cs="Times New Roman"/>
                <w:b/>
                <w:sz w:val="22"/>
                <w:szCs w:val="22"/>
              </w:rPr>
            </w:pPr>
            <w:r>
              <w:rPr>
                <w:rFonts w:hint="default" w:ascii="Times New Roman" w:hAnsi="Times New Roman" w:cs="Times New Roman"/>
                <w:b/>
                <w:sz w:val="22"/>
                <w:szCs w:val="22"/>
              </w:rPr>
              <w:t>评分因素与权重分值</w:t>
            </w:r>
          </w:p>
        </w:tc>
        <w:tc>
          <w:tcPr>
            <w:tcW w:w="4344" w:type="dxa"/>
            <w:vMerge w:val="restart"/>
            <w:tcBorders>
              <w:tl2br w:val="nil"/>
              <w:tr2bl w:val="nil"/>
            </w:tcBorders>
            <w:noWrap w:val="0"/>
            <w:vAlign w:val="center"/>
          </w:tcPr>
          <w:p w14:paraId="32DE755B">
            <w:pPr>
              <w:spacing w:before="100" w:beforeAutospacing="1" w:after="100" w:afterAutospacing="1"/>
              <w:jc w:val="center"/>
              <w:rPr>
                <w:rFonts w:hint="default" w:ascii="Times New Roman" w:hAnsi="Times New Roman" w:cs="Times New Roman"/>
                <w:sz w:val="22"/>
                <w:szCs w:val="22"/>
              </w:rPr>
            </w:pPr>
            <w:r>
              <w:rPr>
                <w:rFonts w:hint="default" w:ascii="Times New Roman" w:hAnsi="Times New Roman" w:cs="Times New Roman"/>
                <w:b/>
                <w:kern w:val="0"/>
                <w:sz w:val="22"/>
                <w:szCs w:val="22"/>
                <w:lang w:bidi="ar"/>
              </w:rPr>
              <w:t>评分标准</w:t>
            </w:r>
          </w:p>
        </w:tc>
      </w:tr>
      <w:tr w14:paraId="52C4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07" w:hRule="atLeast"/>
          <w:jc w:val="center"/>
        </w:trPr>
        <w:tc>
          <w:tcPr>
            <w:tcW w:w="1215" w:type="dxa"/>
            <w:tcBorders>
              <w:tl2br w:val="nil"/>
              <w:tr2bl w:val="nil"/>
            </w:tcBorders>
            <w:noWrap w:val="0"/>
            <w:vAlign w:val="center"/>
          </w:tcPr>
          <w:p w14:paraId="2F95F83F">
            <w:pPr>
              <w:widowControl/>
              <w:spacing w:before="100" w:beforeAutospacing="1" w:after="100" w:afterAutospacing="1"/>
              <w:jc w:val="center"/>
              <w:rPr>
                <w:rFonts w:hint="default" w:ascii="Times New Roman" w:hAnsi="Times New Roman" w:cs="Times New Roman"/>
                <w:sz w:val="22"/>
                <w:szCs w:val="22"/>
              </w:rPr>
            </w:pPr>
            <w:r>
              <w:rPr>
                <w:rFonts w:hint="default" w:ascii="Times New Roman" w:hAnsi="Times New Roman" w:cs="Times New Roman"/>
                <w:b/>
                <w:kern w:val="0"/>
                <w:sz w:val="22"/>
                <w:szCs w:val="22"/>
                <w:lang w:bidi="ar"/>
              </w:rPr>
              <w:t>条款号</w:t>
            </w:r>
          </w:p>
        </w:tc>
        <w:tc>
          <w:tcPr>
            <w:tcW w:w="1169" w:type="dxa"/>
            <w:tcBorders>
              <w:tl2br w:val="nil"/>
              <w:tr2bl w:val="nil"/>
            </w:tcBorders>
            <w:noWrap w:val="0"/>
            <w:vAlign w:val="center"/>
          </w:tcPr>
          <w:p w14:paraId="5C305DC4">
            <w:pPr>
              <w:widowControl/>
              <w:spacing w:before="100" w:beforeAutospacing="1" w:after="100" w:afterAutospacing="1"/>
              <w:jc w:val="center"/>
              <w:rPr>
                <w:rFonts w:hint="default" w:ascii="Times New Roman" w:hAnsi="Times New Roman" w:cs="Times New Roman"/>
                <w:sz w:val="22"/>
                <w:szCs w:val="22"/>
              </w:rPr>
            </w:pPr>
            <w:r>
              <w:rPr>
                <w:rFonts w:hint="default" w:ascii="Times New Roman" w:hAnsi="Times New Roman" w:cs="Times New Roman"/>
                <w:b/>
                <w:kern w:val="0"/>
                <w:sz w:val="22"/>
                <w:szCs w:val="22"/>
                <w:lang w:bidi="ar"/>
              </w:rPr>
              <w:t>评分因素</w:t>
            </w:r>
          </w:p>
        </w:tc>
        <w:tc>
          <w:tcPr>
            <w:tcW w:w="519" w:type="dxa"/>
            <w:tcBorders>
              <w:tl2br w:val="nil"/>
              <w:tr2bl w:val="nil"/>
            </w:tcBorders>
            <w:noWrap w:val="0"/>
            <w:vAlign w:val="center"/>
          </w:tcPr>
          <w:p w14:paraId="380274BD">
            <w:pPr>
              <w:widowControl/>
              <w:spacing w:before="100" w:beforeAutospacing="1" w:after="100" w:afterAutospacing="1"/>
              <w:jc w:val="center"/>
              <w:rPr>
                <w:rFonts w:hint="default" w:ascii="Times New Roman" w:hAnsi="Times New Roman" w:cs="Times New Roman"/>
                <w:sz w:val="22"/>
                <w:szCs w:val="22"/>
              </w:rPr>
            </w:pPr>
            <w:r>
              <w:rPr>
                <w:rFonts w:hint="default" w:ascii="Times New Roman" w:hAnsi="Times New Roman" w:cs="Times New Roman"/>
                <w:b/>
                <w:kern w:val="0"/>
                <w:sz w:val="22"/>
                <w:szCs w:val="22"/>
                <w:lang w:bidi="ar"/>
              </w:rPr>
              <w:t>评分因素权重分值</w:t>
            </w:r>
          </w:p>
        </w:tc>
        <w:tc>
          <w:tcPr>
            <w:tcW w:w="1039" w:type="dxa"/>
            <w:tcBorders>
              <w:tl2br w:val="nil"/>
              <w:tr2bl w:val="nil"/>
            </w:tcBorders>
            <w:noWrap w:val="0"/>
            <w:vAlign w:val="center"/>
          </w:tcPr>
          <w:p w14:paraId="0DAEFB6F">
            <w:pPr>
              <w:widowControl/>
              <w:spacing w:before="100" w:beforeAutospacing="1" w:after="100" w:afterAutospacing="1"/>
              <w:jc w:val="center"/>
              <w:rPr>
                <w:rFonts w:hint="default" w:ascii="Times New Roman" w:hAnsi="Times New Roman" w:cs="Times New Roman"/>
                <w:b/>
                <w:sz w:val="22"/>
                <w:szCs w:val="22"/>
              </w:rPr>
            </w:pPr>
            <w:r>
              <w:rPr>
                <w:rFonts w:hint="default" w:ascii="Times New Roman" w:hAnsi="Times New Roman" w:cs="Times New Roman"/>
                <w:b/>
                <w:sz w:val="22"/>
                <w:szCs w:val="22"/>
              </w:rPr>
              <w:t>各评分因素细分项</w:t>
            </w:r>
          </w:p>
        </w:tc>
        <w:tc>
          <w:tcPr>
            <w:tcW w:w="653" w:type="dxa"/>
            <w:tcBorders>
              <w:tl2br w:val="nil"/>
              <w:tr2bl w:val="nil"/>
            </w:tcBorders>
            <w:noWrap w:val="0"/>
            <w:vAlign w:val="center"/>
          </w:tcPr>
          <w:p w14:paraId="35F1FDD4">
            <w:pPr>
              <w:widowControl/>
              <w:spacing w:before="100" w:beforeAutospacing="1" w:after="100" w:afterAutospacing="1"/>
              <w:jc w:val="center"/>
              <w:rPr>
                <w:rFonts w:hint="default" w:ascii="Times New Roman" w:hAnsi="Times New Roman" w:cs="Times New Roman"/>
                <w:sz w:val="22"/>
                <w:szCs w:val="22"/>
              </w:rPr>
            </w:pPr>
            <w:r>
              <w:rPr>
                <w:rFonts w:hint="default" w:ascii="Times New Roman" w:hAnsi="Times New Roman" w:cs="Times New Roman"/>
                <w:b/>
                <w:kern w:val="0"/>
                <w:sz w:val="22"/>
                <w:szCs w:val="22"/>
                <w:lang w:bidi="ar"/>
              </w:rPr>
              <w:t>分值</w:t>
            </w:r>
          </w:p>
        </w:tc>
        <w:tc>
          <w:tcPr>
            <w:tcW w:w="4344" w:type="dxa"/>
            <w:vMerge w:val="continue"/>
            <w:tcBorders>
              <w:tl2br w:val="nil"/>
              <w:tr2bl w:val="nil"/>
            </w:tcBorders>
            <w:noWrap w:val="0"/>
            <w:vAlign w:val="center"/>
          </w:tcPr>
          <w:p w14:paraId="607A2535">
            <w:pPr>
              <w:widowControl/>
              <w:spacing w:before="100" w:beforeAutospacing="1" w:after="100" w:afterAutospacing="1"/>
              <w:jc w:val="center"/>
              <w:rPr>
                <w:rFonts w:hint="default" w:ascii="Times New Roman" w:hAnsi="Times New Roman" w:cs="Times New Roman"/>
                <w:sz w:val="22"/>
                <w:szCs w:val="22"/>
              </w:rPr>
            </w:pPr>
          </w:p>
        </w:tc>
      </w:tr>
      <w:tr w14:paraId="3EB1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0" w:hRule="atLeast"/>
          <w:jc w:val="center"/>
        </w:trPr>
        <w:tc>
          <w:tcPr>
            <w:tcW w:w="1215" w:type="dxa"/>
            <w:vMerge w:val="restart"/>
            <w:tcBorders>
              <w:tl2br w:val="nil"/>
              <w:tr2bl w:val="nil"/>
            </w:tcBorders>
            <w:noWrap w:val="0"/>
            <w:vAlign w:val="center"/>
          </w:tcPr>
          <w:p w14:paraId="78B29C52">
            <w:pPr>
              <w:widowControl/>
              <w:spacing w:before="100" w:beforeAutospacing="1" w:after="100" w:afterAutospacing="1"/>
              <w:jc w:val="center"/>
              <w:rPr>
                <w:rFonts w:hint="default" w:ascii="Times New Roman" w:hAnsi="Times New Roman" w:cs="Times New Roman"/>
                <w:b/>
                <w:kern w:val="0"/>
                <w:sz w:val="22"/>
                <w:szCs w:val="22"/>
                <w:lang w:bidi="ar"/>
              </w:rPr>
            </w:pPr>
            <w:r>
              <w:rPr>
                <w:rFonts w:hint="default" w:ascii="Times New Roman" w:hAnsi="Times New Roman" w:cs="Times New Roman"/>
                <w:bCs/>
                <w:kern w:val="0"/>
                <w:sz w:val="22"/>
                <w:szCs w:val="22"/>
                <w:lang w:bidi="ar"/>
              </w:rPr>
              <w:t>2.2.2（1）</w:t>
            </w:r>
          </w:p>
        </w:tc>
        <w:tc>
          <w:tcPr>
            <w:tcW w:w="1169" w:type="dxa"/>
            <w:vMerge w:val="restart"/>
            <w:tcBorders>
              <w:tl2br w:val="nil"/>
              <w:tr2bl w:val="nil"/>
            </w:tcBorders>
            <w:noWrap w:val="0"/>
            <w:vAlign w:val="center"/>
          </w:tcPr>
          <w:p w14:paraId="46D97C56">
            <w:pPr>
              <w:widowControl/>
              <w:spacing w:before="100" w:beforeAutospacing="1" w:after="100" w:afterAutospacing="1"/>
              <w:jc w:val="center"/>
              <w:rPr>
                <w:rFonts w:hint="default" w:ascii="Times New Roman" w:hAnsi="Times New Roman" w:cs="Times New Roman"/>
                <w:kern w:val="0"/>
                <w:sz w:val="22"/>
                <w:szCs w:val="22"/>
                <w:lang w:bidi="ar"/>
              </w:rPr>
            </w:pPr>
            <w:r>
              <w:rPr>
                <w:rFonts w:hint="eastAsia" w:ascii="宋体" w:hAnsi="宋体"/>
                <w:color w:val="auto"/>
                <w:szCs w:val="21"/>
                <w:highlight w:val="none"/>
              </w:rPr>
              <w:t>主要人员</w:t>
            </w:r>
          </w:p>
        </w:tc>
        <w:tc>
          <w:tcPr>
            <w:tcW w:w="519" w:type="dxa"/>
            <w:vMerge w:val="restart"/>
            <w:tcBorders>
              <w:tl2br w:val="nil"/>
              <w:tr2bl w:val="nil"/>
            </w:tcBorders>
            <w:noWrap w:val="0"/>
            <w:vAlign w:val="center"/>
          </w:tcPr>
          <w:p w14:paraId="78DAAFEA">
            <w:pPr>
              <w:pStyle w:val="11"/>
              <w:jc w:val="center"/>
              <w:rPr>
                <w:rFonts w:hint="default" w:ascii="Times New Roman" w:hAnsi="Times New Roman" w:cs="Times New Roman"/>
                <w:sz w:val="22"/>
                <w:szCs w:val="22"/>
              </w:rPr>
            </w:pPr>
            <w:r>
              <w:rPr>
                <w:rFonts w:hint="eastAsia" w:ascii="Times New Roman" w:hAnsi="Times New Roman" w:cs="Times New Roman"/>
                <w:sz w:val="22"/>
                <w:szCs w:val="22"/>
                <w:lang w:val="en-US" w:eastAsia="zh-CN"/>
              </w:rPr>
              <w:t>25</w:t>
            </w:r>
            <w:r>
              <w:rPr>
                <w:rFonts w:hint="default" w:ascii="Times New Roman" w:hAnsi="Times New Roman" w:cs="Times New Roman"/>
                <w:sz w:val="22"/>
                <w:szCs w:val="22"/>
              </w:rPr>
              <w:t xml:space="preserve">分 </w:t>
            </w:r>
          </w:p>
        </w:tc>
        <w:tc>
          <w:tcPr>
            <w:tcW w:w="1039" w:type="dxa"/>
            <w:tcBorders>
              <w:tl2br w:val="nil"/>
              <w:tr2bl w:val="nil"/>
            </w:tcBorders>
            <w:noWrap w:val="0"/>
            <w:vAlign w:val="center"/>
          </w:tcPr>
          <w:p w14:paraId="442A7503">
            <w:pPr>
              <w:spacing w:line="0" w:lineRule="atLeast"/>
              <w:jc w:val="center"/>
              <w:rPr>
                <w:rFonts w:hint="default" w:ascii="Times New Roman" w:hAnsi="Times New Roman" w:cs="Times New Roman"/>
                <w:kern w:val="0"/>
                <w:sz w:val="22"/>
                <w:szCs w:val="22"/>
                <w:lang w:bidi="ar"/>
              </w:rPr>
            </w:pPr>
            <w:r>
              <w:rPr>
                <w:rFonts w:hint="default" w:ascii="Times New Roman" w:hAnsi="Times New Roman" w:cs="Times New Roman"/>
                <w:kern w:val="0"/>
                <w:sz w:val="22"/>
                <w:szCs w:val="22"/>
                <w:lang w:bidi="ar"/>
              </w:rPr>
              <w:t>项目经理任职资格</w:t>
            </w:r>
          </w:p>
        </w:tc>
        <w:tc>
          <w:tcPr>
            <w:tcW w:w="653" w:type="dxa"/>
            <w:tcBorders>
              <w:tl2br w:val="nil"/>
              <w:tr2bl w:val="nil"/>
            </w:tcBorders>
            <w:noWrap w:val="0"/>
            <w:vAlign w:val="center"/>
          </w:tcPr>
          <w:p w14:paraId="385CCD0C">
            <w:pPr>
              <w:spacing w:line="0" w:lineRule="atLeast"/>
              <w:jc w:val="center"/>
              <w:rPr>
                <w:rFonts w:hint="default" w:ascii="Times New Roman" w:hAnsi="Times New Roman" w:cs="Times New Roman"/>
                <w:sz w:val="22"/>
                <w:szCs w:val="22"/>
              </w:rPr>
            </w:pPr>
            <w:r>
              <w:rPr>
                <w:rFonts w:hint="eastAsia" w:ascii="宋体" w:hAnsi="宋体"/>
                <w:color w:val="auto"/>
                <w:szCs w:val="21"/>
                <w:highlight w:val="none"/>
                <w:lang w:val="en-US" w:eastAsia="zh-CN"/>
              </w:rPr>
              <w:t>15</w:t>
            </w:r>
            <w:r>
              <w:rPr>
                <w:rFonts w:hint="default" w:ascii="Times New Roman" w:hAnsi="Times New Roman" w:cs="Times New Roman"/>
                <w:sz w:val="22"/>
                <w:szCs w:val="22"/>
              </w:rPr>
              <w:t>分</w:t>
            </w:r>
          </w:p>
        </w:tc>
        <w:tc>
          <w:tcPr>
            <w:tcW w:w="4344" w:type="dxa"/>
            <w:tcBorders>
              <w:tl2br w:val="nil"/>
              <w:tr2bl w:val="nil"/>
            </w:tcBorders>
            <w:noWrap w:val="0"/>
            <w:vAlign w:val="center"/>
          </w:tcPr>
          <w:p w14:paraId="0F3951D5">
            <w:pPr>
              <w:spacing w:line="0" w:lineRule="atLeast"/>
              <w:rPr>
                <w:rFonts w:hint="eastAsia" w:ascii="宋体" w:hAnsi="宋体"/>
                <w:bCs/>
                <w:color w:val="auto"/>
                <w:spacing w:val="-10"/>
                <w:szCs w:val="21"/>
                <w:highlight w:val="none"/>
                <w:lang w:val="en-US" w:eastAsia="zh-CN"/>
              </w:rPr>
            </w:pPr>
            <w:r>
              <w:rPr>
                <w:rFonts w:hint="eastAsia" w:ascii="宋体" w:hAnsi="宋体"/>
                <w:bCs/>
                <w:color w:val="auto"/>
                <w:szCs w:val="21"/>
                <w:highlight w:val="none"/>
                <w:lang w:val="en-US" w:eastAsia="zh-CN"/>
              </w:rPr>
              <w:t>1.满足招标文件规定的资格审查条件得5</w:t>
            </w:r>
            <w:r>
              <w:rPr>
                <w:rFonts w:hint="eastAsia" w:ascii="宋体" w:hAnsi="宋体"/>
                <w:bCs/>
                <w:color w:val="auto"/>
                <w:spacing w:val="-10"/>
                <w:szCs w:val="21"/>
                <w:highlight w:val="none"/>
                <w:lang w:val="en-US" w:eastAsia="zh-CN"/>
              </w:rPr>
              <w:t>分。</w:t>
            </w:r>
          </w:p>
          <w:p w14:paraId="0A5F9071">
            <w:pPr>
              <w:spacing w:line="0" w:lineRule="atLeast"/>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2.项目经理提供高级职称证得5分</w:t>
            </w:r>
          </w:p>
          <w:p w14:paraId="75439F71">
            <w:pPr>
              <w:spacing w:line="0" w:lineRule="atLeast"/>
              <w:rPr>
                <w:rFonts w:hint="eastAsia" w:ascii="宋体" w:hAnsi="宋体"/>
                <w:bCs/>
                <w:color w:val="auto"/>
                <w:spacing w:val="-10"/>
                <w:szCs w:val="21"/>
                <w:highlight w:val="none"/>
              </w:rPr>
            </w:pPr>
            <w:r>
              <w:rPr>
                <w:rFonts w:hint="eastAsia" w:ascii="宋体" w:hAnsi="宋体" w:eastAsia="宋体"/>
                <w:bCs/>
                <w:color w:val="auto"/>
                <w:spacing w:val="-10"/>
                <w:szCs w:val="21"/>
                <w:highlight w:val="none"/>
                <w:lang w:val="en-US" w:eastAsia="zh-CN"/>
              </w:rPr>
              <w:t>3.项目经理</w:t>
            </w:r>
            <w:r>
              <w:rPr>
                <w:rFonts w:hint="eastAsia" w:ascii="宋体" w:hAnsi="宋体"/>
                <w:bCs/>
                <w:color w:val="auto"/>
                <w:spacing w:val="-10"/>
                <w:szCs w:val="21"/>
                <w:highlight w:val="none"/>
              </w:rPr>
              <w:t>完成</w:t>
            </w:r>
            <w:r>
              <w:rPr>
                <w:rFonts w:hint="eastAsia" w:ascii="宋体" w:hAnsi="宋体" w:eastAsia="宋体"/>
                <w:bCs/>
                <w:color w:val="auto"/>
                <w:spacing w:val="-10"/>
                <w:szCs w:val="21"/>
                <w:highlight w:val="none"/>
                <w:lang w:val="en-US" w:eastAsia="zh-CN"/>
              </w:rPr>
              <w:t>1个二级及以上</w:t>
            </w:r>
            <w:r>
              <w:rPr>
                <w:rFonts w:hint="eastAsia" w:ascii="宋体" w:hAnsi="宋体"/>
                <w:bCs/>
                <w:color w:val="auto"/>
                <w:spacing w:val="-10"/>
                <w:szCs w:val="21"/>
                <w:highlight w:val="none"/>
              </w:rPr>
              <w:t>类似公路工程施工项目得</w:t>
            </w:r>
            <w:r>
              <w:rPr>
                <w:rFonts w:hint="eastAsia" w:ascii="宋体" w:hAnsi="宋体"/>
                <w:bCs/>
                <w:color w:val="auto"/>
                <w:spacing w:val="-10"/>
                <w:szCs w:val="21"/>
                <w:highlight w:val="none"/>
                <w:lang w:val="en-US" w:eastAsia="zh-CN"/>
              </w:rPr>
              <w:t>5</w:t>
            </w:r>
            <w:r>
              <w:rPr>
                <w:rFonts w:hint="eastAsia" w:ascii="宋体" w:hAnsi="宋体"/>
                <w:bCs/>
                <w:color w:val="auto"/>
                <w:spacing w:val="-10"/>
                <w:szCs w:val="21"/>
                <w:highlight w:val="none"/>
              </w:rPr>
              <w:t>分</w:t>
            </w:r>
            <w:r>
              <w:rPr>
                <w:rFonts w:hint="eastAsia" w:ascii="宋体" w:hAnsi="宋体"/>
                <w:bCs/>
                <w:color w:val="auto"/>
                <w:spacing w:val="-10"/>
                <w:szCs w:val="21"/>
                <w:highlight w:val="none"/>
                <w:lang w:eastAsia="zh-CN"/>
              </w:rPr>
              <w:t>。</w:t>
            </w:r>
            <w:r>
              <w:rPr>
                <w:rFonts w:hint="eastAsia" w:ascii="宋体" w:hAnsi="宋体"/>
                <w:bCs/>
                <w:color w:val="auto"/>
                <w:spacing w:val="-10"/>
                <w:szCs w:val="21"/>
                <w:highlight w:val="none"/>
              </w:rPr>
              <w:t>(所提供材料需能体现项目经理。)</w:t>
            </w:r>
          </w:p>
          <w:p w14:paraId="09F883A7">
            <w:pPr>
              <w:spacing w:line="0" w:lineRule="atLeast"/>
              <w:rPr>
                <w:rFonts w:hint="default" w:ascii="宋体" w:hAnsi="宋体"/>
                <w:bCs/>
                <w:color w:val="auto"/>
                <w:spacing w:val="-10"/>
                <w:szCs w:val="21"/>
                <w:highlight w:val="none"/>
                <w:lang w:val="en-US" w:eastAsia="zh-CN"/>
              </w:rPr>
            </w:pPr>
            <w:r>
              <w:rPr>
                <w:rFonts w:hint="default" w:ascii="宋体" w:hAnsi="宋体"/>
                <w:bCs/>
                <w:color w:val="auto"/>
                <w:spacing w:val="-10"/>
                <w:szCs w:val="21"/>
                <w:highlight w:val="none"/>
                <w:lang w:val="en-US" w:eastAsia="zh-CN"/>
              </w:rPr>
              <w:t>注：上述业绩指的是公路新建、改扩建不含养护项目。施工业绩要求在黑龙江省交通运输厅网站的“黑龙江省公路水路建设市场信用信息 管理系统”或交通运输部网站“全国公路建设市场信用信息管理系统”中能够查询，如果查询不到该业绩的信息或查询的信息与投标人提供的信息不一致，业绩审查时将不予认定。</w:t>
            </w:r>
          </w:p>
        </w:tc>
      </w:tr>
      <w:tr w14:paraId="62A8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54" w:hRule="atLeast"/>
          <w:jc w:val="center"/>
        </w:trPr>
        <w:tc>
          <w:tcPr>
            <w:tcW w:w="1215" w:type="dxa"/>
            <w:vMerge w:val="continue"/>
            <w:tcBorders>
              <w:tl2br w:val="nil"/>
              <w:tr2bl w:val="nil"/>
            </w:tcBorders>
            <w:noWrap w:val="0"/>
            <w:vAlign w:val="center"/>
          </w:tcPr>
          <w:p w14:paraId="2496A006">
            <w:pPr>
              <w:widowControl/>
              <w:spacing w:before="100" w:beforeAutospacing="1" w:after="100" w:afterAutospacing="1"/>
              <w:jc w:val="center"/>
              <w:rPr>
                <w:rFonts w:hint="default" w:ascii="Times New Roman" w:hAnsi="Times New Roman" w:cs="Times New Roman"/>
                <w:bCs/>
                <w:kern w:val="0"/>
                <w:sz w:val="22"/>
                <w:szCs w:val="22"/>
                <w:lang w:bidi="ar"/>
              </w:rPr>
            </w:pPr>
          </w:p>
        </w:tc>
        <w:tc>
          <w:tcPr>
            <w:tcW w:w="1169" w:type="dxa"/>
            <w:vMerge w:val="continue"/>
            <w:tcBorders>
              <w:tl2br w:val="nil"/>
              <w:tr2bl w:val="nil"/>
            </w:tcBorders>
            <w:noWrap w:val="0"/>
            <w:vAlign w:val="center"/>
          </w:tcPr>
          <w:p w14:paraId="07D72796">
            <w:pPr>
              <w:widowControl/>
              <w:spacing w:before="100" w:beforeAutospacing="1" w:after="100" w:afterAutospacing="1"/>
              <w:jc w:val="center"/>
              <w:rPr>
                <w:rFonts w:hint="default" w:ascii="Times New Roman" w:hAnsi="Times New Roman" w:cs="Times New Roman"/>
                <w:kern w:val="0"/>
                <w:sz w:val="22"/>
                <w:szCs w:val="22"/>
                <w:lang w:bidi="ar"/>
              </w:rPr>
            </w:pPr>
          </w:p>
        </w:tc>
        <w:tc>
          <w:tcPr>
            <w:tcW w:w="519" w:type="dxa"/>
            <w:vMerge w:val="continue"/>
            <w:tcBorders>
              <w:tl2br w:val="nil"/>
              <w:tr2bl w:val="nil"/>
            </w:tcBorders>
            <w:noWrap w:val="0"/>
            <w:vAlign w:val="center"/>
          </w:tcPr>
          <w:p w14:paraId="5F109088">
            <w:pPr>
              <w:pStyle w:val="11"/>
              <w:jc w:val="center"/>
              <w:rPr>
                <w:rFonts w:hint="default" w:ascii="Times New Roman" w:hAnsi="Times New Roman" w:cs="Times New Roman"/>
                <w:sz w:val="22"/>
                <w:szCs w:val="22"/>
              </w:rPr>
            </w:pPr>
          </w:p>
        </w:tc>
        <w:tc>
          <w:tcPr>
            <w:tcW w:w="1039" w:type="dxa"/>
            <w:tcBorders>
              <w:tl2br w:val="nil"/>
              <w:tr2bl w:val="nil"/>
            </w:tcBorders>
            <w:noWrap w:val="0"/>
            <w:vAlign w:val="center"/>
          </w:tcPr>
          <w:p w14:paraId="4A558AF9">
            <w:pPr>
              <w:spacing w:line="0" w:lineRule="atLeast"/>
              <w:jc w:val="center"/>
              <w:rPr>
                <w:rFonts w:hint="default" w:ascii="Times New Roman" w:hAnsi="Times New Roman" w:cs="Times New Roman"/>
                <w:b/>
                <w:kern w:val="0"/>
                <w:sz w:val="22"/>
                <w:szCs w:val="22"/>
                <w:lang w:bidi="ar"/>
              </w:rPr>
            </w:pPr>
            <w:r>
              <w:rPr>
                <w:rFonts w:hint="eastAsia" w:ascii="宋体" w:hAnsi="宋体"/>
                <w:color w:val="auto"/>
                <w:szCs w:val="21"/>
                <w:highlight w:val="none"/>
              </w:rPr>
              <w:t>项目总工任职资格与业绩</w:t>
            </w:r>
          </w:p>
        </w:tc>
        <w:tc>
          <w:tcPr>
            <w:tcW w:w="653" w:type="dxa"/>
            <w:tcBorders>
              <w:tl2br w:val="nil"/>
              <w:tr2bl w:val="nil"/>
            </w:tcBorders>
            <w:noWrap w:val="0"/>
            <w:vAlign w:val="center"/>
          </w:tcPr>
          <w:p w14:paraId="5B00D826">
            <w:pPr>
              <w:spacing w:line="0" w:lineRule="atLeast"/>
              <w:jc w:val="center"/>
              <w:rPr>
                <w:rFonts w:hint="default" w:ascii="Times New Roman" w:hAnsi="Times New Roman" w:cs="Times New Roman"/>
                <w:b/>
                <w:kern w:val="0"/>
                <w:sz w:val="22"/>
                <w:szCs w:val="22"/>
                <w:lang w:bidi="ar"/>
              </w:rPr>
            </w:pPr>
            <w:r>
              <w:rPr>
                <w:rFonts w:hint="eastAsia" w:ascii="Times New Roman" w:hAnsi="Times New Roman" w:eastAsia="宋体" w:cs="Times New Roman"/>
                <w:sz w:val="22"/>
                <w:szCs w:val="22"/>
                <w:lang w:val="en-US" w:eastAsia="zh-CN" w:bidi="ar"/>
              </w:rPr>
              <w:t>10</w:t>
            </w:r>
            <w:r>
              <w:rPr>
                <w:rFonts w:hint="default" w:ascii="Times New Roman" w:hAnsi="Times New Roman" w:cs="Times New Roman"/>
                <w:sz w:val="22"/>
                <w:szCs w:val="22"/>
                <w:lang w:bidi="ar"/>
              </w:rPr>
              <w:t>分</w:t>
            </w:r>
          </w:p>
        </w:tc>
        <w:tc>
          <w:tcPr>
            <w:tcW w:w="4344" w:type="dxa"/>
            <w:tcBorders>
              <w:tl2br w:val="nil"/>
              <w:tr2bl w:val="nil"/>
            </w:tcBorders>
            <w:noWrap w:val="0"/>
            <w:vAlign w:val="center"/>
          </w:tcPr>
          <w:p w14:paraId="7B60C007">
            <w:pPr>
              <w:spacing w:line="0" w:lineRule="atLeast"/>
              <w:rPr>
                <w:rFonts w:hint="eastAsia" w:ascii="宋体" w:hAnsi="宋体"/>
                <w:bCs/>
                <w:color w:val="auto"/>
                <w:spacing w:val="-10"/>
                <w:szCs w:val="21"/>
                <w:highlight w:val="none"/>
                <w:lang w:val="en-US" w:eastAsia="zh-CN"/>
              </w:rPr>
            </w:pPr>
            <w:r>
              <w:rPr>
                <w:rFonts w:hint="eastAsia" w:ascii="宋体" w:hAnsi="宋体"/>
                <w:bCs/>
                <w:color w:val="auto"/>
                <w:szCs w:val="21"/>
                <w:highlight w:val="none"/>
                <w:lang w:val="en-US" w:eastAsia="zh-CN"/>
              </w:rPr>
              <w:t>1.满足招标文件规定的资格审查条件得</w:t>
            </w:r>
            <w:r>
              <w:rPr>
                <w:rFonts w:hint="eastAsia" w:ascii="宋体" w:hAnsi="宋体"/>
                <w:bCs/>
                <w:color w:val="auto"/>
                <w:spacing w:val="-10"/>
                <w:szCs w:val="21"/>
                <w:highlight w:val="none"/>
                <w:lang w:val="en-US" w:eastAsia="zh-CN"/>
              </w:rPr>
              <w:t>5分。</w:t>
            </w:r>
          </w:p>
          <w:p w14:paraId="14470193">
            <w:pPr>
              <w:spacing w:line="0" w:lineRule="atLeast"/>
              <w:rPr>
                <w:rFonts w:hint="eastAsia" w:ascii="宋体" w:hAnsi="宋体" w:eastAsia="宋体"/>
                <w:bCs/>
                <w:color w:val="auto"/>
                <w:spacing w:val="-10"/>
                <w:szCs w:val="21"/>
                <w:highlight w:val="none"/>
                <w:lang w:val="en-US" w:eastAsia="zh-CN"/>
              </w:rPr>
            </w:pPr>
            <w:r>
              <w:rPr>
                <w:rFonts w:hint="eastAsia" w:ascii="宋体" w:hAnsi="宋体" w:eastAsia="宋体"/>
                <w:bCs/>
                <w:color w:val="auto"/>
                <w:spacing w:val="-10"/>
                <w:szCs w:val="21"/>
                <w:highlight w:val="none"/>
                <w:lang w:val="en-US" w:eastAsia="zh-CN"/>
              </w:rPr>
              <w:t>2.项目总工完成1个二级及以上类似公路工程施工项目得5分。(所提供材料需能体现项目总工。)</w:t>
            </w:r>
          </w:p>
          <w:p w14:paraId="6C5A0F6E">
            <w:pPr>
              <w:spacing w:line="0" w:lineRule="atLeast"/>
              <w:rPr>
                <w:rFonts w:hint="default" w:ascii="宋体" w:hAnsi="宋体" w:eastAsia="宋体"/>
                <w:bCs/>
                <w:color w:val="auto"/>
                <w:spacing w:val="-10"/>
                <w:szCs w:val="21"/>
                <w:highlight w:val="none"/>
                <w:lang w:val="en-US" w:eastAsia="zh-CN"/>
              </w:rPr>
            </w:pPr>
            <w:r>
              <w:rPr>
                <w:rFonts w:hint="default" w:ascii="宋体" w:hAnsi="宋体"/>
                <w:bCs/>
                <w:color w:val="auto"/>
                <w:spacing w:val="-10"/>
                <w:szCs w:val="21"/>
                <w:highlight w:val="none"/>
                <w:lang w:val="en-US" w:eastAsia="zh-CN"/>
              </w:rPr>
              <w:t>注：上述业绩指的是公路新建、改扩建不含养护项目。施工业绩要求在黑龙江省交通运输厅网站的“黑龙江省公路水路建设市场信用信息 管理系统”或交通运输部网站“全国公路建设市场信用信息管理系统”中能够查询，如果查询不到该业绩的信息或查询的信息与投标人提供的信息不一致，业绩审查时将不予认定</w:t>
            </w:r>
            <w:r>
              <w:rPr>
                <w:rFonts w:hint="eastAsia" w:ascii="宋体" w:hAnsi="宋体"/>
                <w:bCs/>
                <w:color w:val="auto"/>
                <w:spacing w:val="-10"/>
                <w:szCs w:val="21"/>
                <w:highlight w:val="none"/>
                <w:lang w:val="en-US" w:eastAsia="zh-CN"/>
              </w:rPr>
              <w:t>.</w:t>
            </w:r>
          </w:p>
        </w:tc>
      </w:tr>
      <w:tr w14:paraId="35A3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06" w:hRule="atLeast"/>
          <w:jc w:val="center"/>
        </w:trPr>
        <w:tc>
          <w:tcPr>
            <w:tcW w:w="1215" w:type="dxa"/>
            <w:tcBorders>
              <w:tl2br w:val="nil"/>
              <w:tr2bl w:val="nil"/>
            </w:tcBorders>
            <w:noWrap w:val="0"/>
            <w:vAlign w:val="center"/>
          </w:tcPr>
          <w:p w14:paraId="39157B84">
            <w:pPr>
              <w:widowControl/>
              <w:spacing w:before="100" w:beforeAutospacing="1" w:after="100" w:afterAutospacing="1"/>
              <w:jc w:val="center"/>
              <w:rPr>
                <w:rFonts w:hint="default" w:ascii="Times New Roman" w:hAnsi="Times New Roman" w:cs="Times New Roman"/>
                <w:kern w:val="0"/>
                <w:sz w:val="22"/>
                <w:szCs w:val="22"/>
                <w:lang w:bidi="ar"/>
              </w:rPr>
            </w:pPr>
            <w:r>
              <w:rPr>
                <w:rFonts w:hint="default" w:ascii="Times New Roman" w:hAnsi="Times New Roman" w:cs="Times New Roman"/>
                <w:kern w:val="0"/>
                <w:sz w:val="22"/>
                <w:szCs w:val="22"/>
                <w:lang w:bidi="ar"/>
              </w:rPr>
              <w:t>2.2.2（2）</w:t>
            </w:r>
          </w:p>
        </w:tc>
        <w:tc>
          <w:tcPr>
            <w:tcW w:w="1169" w:type="dxa"/>
            <w:tcBorders>
              <w:tl2br w:val="nil"/>
              <w:tr2bl w:val="nil"/>
            </w:tcBorders>
            <w:noWrap w:val="0"/>
            <w:vAlign w:val="center"/>
          </w:tcPr>
          <w:p w14:paraId="1436AD1F">
            <w:pPr>
              <w:widowControl/>
              <w:spacing w:before="100" w:beforeAutospacing="1" w:after="100" w:afterAutospacing="1"/>
              <w:jc w:val="center"/>
              <w:rPr>
                <w:rFonts w:hint="default" w:ascii="Times New Roman" w:hAnsi="Times New Roman" w:eastAsia="宋体" w:cs="Times New Roman"/>
                <w:kern w:val="0"/>
                <w:sz w:val="22"/>
                <w:szCs w:val="22"/>
                <w:lang w:val="en-US" w:eastAsia="zh-CN" w:bidi="ar"/>
              </w:rPr>
            </w:pPr>
            <w:r>
              <w:rPr>
                <w:rFonts w:hint="eastAsia" w:ascii="宋体" w:hAnsi="宋体" w:eastAsia="宋体"/>
                <w:color w:val="auto"/>
                <w:szCs w:val="21"/>
                <w:highlight w:val="none"/>
                <w:lang w:val="en-US" w:eastAsia="zh-CN"/>
              </w:rPr>
              <w:t xml:space="preserve"> 其他因素</w:t>
            </w:r>
          </w:p>
        </w:tc>
        <w:tc>
          <w:tcPr>
            <w:tcW w:w="519" w:type="dxa"/>
            <w:tcBorders>
              <w:tl2br w:val="nil"/>
              <w:tr2bl w:val="nil"/>
            </w:tcBorders>
            <w:noWrap w:val="0"/>
            <w:vAlign w:val="center"/>
          </w:tcPr>
          <w:p w14:paraId="574D8227">
            <w:pPr>
              <w:widowControl/>
              <w:spacing w:before="100" w:beforeAutospacing="1" w:after="100" w:afterAutospacing="1"/>
              <w:jc w:val="center"/>
              <w:rPr>
                <w:rFonts w:hint="default" w:ascii="Times New Roman" w:hAnsi="Times New Roman" w:cs="Times New Roman"/>
                <w:bCs/>
                <w:kern w:val="0"/>
                <w:sz w:val="22"/>
                <w:szCs w:val="22"/>
                <w:lang w:bidi="ar"/>
              </w:rPr>
            </w:pPr>
            <w:r>
              <w:rPr>
                <w:rFonts w:hint="eastAsia" w:ascii="Times New Roman" w:hAnsi="Times New Roman" w:eastAsia="宋体" w:cs="Times New Roman"/>
                <w:sz w:val="22"/>
                <w:szCs w:val="22"/>
                <w:lang w:val="en-US" w:eastAsia="zh-CN"/>
              </w:rPr>
              <w:t>25</w:t>
            </w:r>
            <w:r>
              <w:rPr>
                <w:rFonts w:hint="default" w:ascii="Times New Roman" w:hAnsi="Times New Roman" w:cs="Times New Roman"/>
                <w:sz w:val="22"/>
                <w:szCs w:val="22"/>
              </w:rPr>
              <w:t>分</w:t>
            </w:r>
          </w:p>
        </w:tc>
        <w:tc>
          <w:tcPr>
            <w:tcW w:w="1039" w:type="dxa"/>
            <w:tcBorders>
              <w:tl2br w:val="nil"/>
              <w:tr2bl w:val="nil"/>
            </w:tcBorders>
            <w:noWrap w:val="0"/>
            <w:vAlign w:val="center"/>
          </w:tcPr>
          <w:p w14:paraId="1717DED8">
            <w:pPr>
              <w:spacing w:line="0" w:lineRule="atLeast"/>
              <w:ind w:left="-88" w:leftChars="-42" w:right="-88" w:rightChars="-42"/>
              <w:jc w:val="center"/>
              <w:rPr>
                <w:rFonts w:hint="default" w:ascii="Times New Roman" w:hAnsi="Times New Roman" w:eastAsia="宋体" w:cs="Times New Roman"/>
                <w:sz w:val="22"/>
                <w:szCs w:val="22"/>
                <w:lang w:val="en-US" w:eastAsia="zh-CN" w:bidi="ar"/>
              </w:rPr>
            </w:pPr>
            <w:r>
              <w:rPr>
                <w:rFonts w:hint="eastAsia" w:eastAsia="宋体" w:cs="Arial"/>
                <w:bCs/>
                <w:color w:val="auto"/>
                <w:kern w:val="0"/>
                <w:szCs w:val="21"/>
                <w:highlight w:val="none"/>
                <w:lang w:val="en-US" w:eastAsia="zh-CN"/>
              </w:rPr>
              <w:t>业绩</w:t>
            </w:r>
          </w:p>
        </w:tc>
        <w:tc>
          <w:tcPr>
            <w:tcW w:w="653" w:type="dxa"/>
            <w:tcBorders>
              <w:tl2br w:val="nil"/>
              <w:tr2bl w:val="nil"/>
            </w:tcBorders>
            <w:noWrap w:val="0"/>
            <w:vAlign w:val="center"/>
          </w:tcPr>
          <w:p w14:paraId="6145FA44">
            <w:pPr>
              <w:spacing w:line="0" w:lineRule="atLeast"/>
              <w:jc w:val="center"/>
              <w:rPr>
                <w:rFonts w:hint="default" w:ascii="Times New Roman" w:hAnsi="Times New Roman" w:cs="Times New Roman"/>
                <w:bCs/>
                <w:kern w:val="0"/>
                <w:sz w:val="22"/>
                <w:szCs w:val="22"/>
                <w:lang w:bidi="ar"/>
              </w:rPr>
            </w:pPr>
            <w:r>
              <w:rPr>
                <w:rFonts w:hint="eastAsia" w:ascii="Times New Roman" w:hAnsi="Times New Roman" w:eastAsia="宋体" w:cs="Times New Roman"/>
                <w:bCs/>
                <w:kern w:val="0"/>
                <w:sz w:val="22"/>
                <w:szCs w:val="22"/>
                <w:lang w:val="en-US" w:eastAsia="zh-CN" w:bidi="ar"/>
              </w:rPr>
              <w:t>25</w:t>
            </w:r>
            <w:r>
              <w:rPr>
                <w:rFonts w:hint="default" w:ascii="Times New Roman" w:hAnsi="Times New Roman" w:cs="Times New Roman"/>
                <w:bCs/>
                <w:kern w:val="0"/>
                <w:sz w:val="22"/>
                <w:szCs w:val="22"/>
                <w:lang w:bidi="ar"/>
              </w:rPr>
              <w:t>分</w:t>
            </w:r>
          </w:p>
        </w:tc>
        <w:tc>
          <w:tcPr>
            <w:tcW w:w="4344" w:type="dxa"/>
            <w:tcBorders>
              <w:tl2br w:val="nil"/>
              <w:tr2bl w:val="nil"/>
            </w:tcBorders>
            <w:noWrap w:val="0"/>
            <w:vAlign w:val="center"/>
          </w:tcPr>
          <w:p w14:paraId="34596AA6">
            <w:pPr>
              <w:spacing w:line="0" w:lineRule="atLeast"/>
              <w:rPr>
                <w:rFonts w:hint="eastAsia" w:ascii="宋体" w:hAnsi="宋体"/>
                <w:bCs/>
                <w:color w:val="auto"/>
                <w:spacing w:val="-10"/>
                <w:szCs w:val="21"/>
                <w:highlight w:val="none"/>
                <w:lang w:eastAsia="zh-CN"/>
              </w:rPr>
            </w:pPr>
            <w:r>
              <w:rPr>
                <w:rFonts w:hint="eastAsia" w:ascii="宋体" w:hAnsi="宋体"/>
                <w:b/>
                <w:bCs w:val="0"/>
                <w:color w:val="auto"/>
                <w:spacing w:val="-10"/>
                <w:szCs w:val="21"/>
                <w:highlight w:val="none"/>
                <w:lang w:eastAsia="zh-CN"/>
              </w:rPr>
              <w:t>A1</w:t>
            </w:r>
            <w:r>
              <w:rPr>
                <w:rFonts w:hint="eastAsia" w:ascii="宋体" w:hAnsi="宋体"/>
                <w:b/>
                <w:bCs w:val="0"/>
                <w:color w:val="auto"/>
                <w:spacing w:val="-10"/>
                <w:szCs w:val="21"/>
                <w:highlight w:val="none"/>
                <w:lang w:val="en-US" w:eastAsia="zh-CN"/>
              </w:rPr>
              <w:t>标段：</w:t>
            </w:r>
            <w:r>
              <w:rPr>
                <w:rFonts w:hint="eastAsia" w:ascii="宋体" w:hAnsi="宋体"/>
                <w:bCs/>
                <w:color w:val="auto"/>
                <w:spacing w:val="-10"/>
                <w:szCs w:val="21"/>
                <w:highlight w:val="none"/>
                <w:lang w:eastAsia="zh-CN"/>
              </w:rPr>
              <w:t>业绩满足招标文件规定的资格审查条件得基本分</w:t>
            </w:r>
            <w:r>
              <w:rPr>
                <w:rFonts w:hint="eastAsia" w:ascii="宋体" w:hAnsi="宋体"/>
                <w:bCs/>
                <w:color w:val="auto"/>
                <w:spacing w:val="-10"/>
                <w:szCs w:val="21"/>
                <w:highlight w:val="none"/>
                <w:lang w:val="en-US" w:eastAsia="zh-CN"/>
              </w:rPr>
              <w:t>15</w:t>
            </w:r>
            <w:r>
              <w:rPr>
                <w:rFonts w:hint="eastAsia" w:ascii="宋体" w:hAnsi="宋体"/>
                <w:bCs/>
                <w:color w:val="auto"/>
                <w:spacing w:val="-10"/>
                <w:szCs w:val="21"/>
                <w:highlight w:val="none"/>
                <w:lang w:eastAsia="zh-CN"/>
              </w:rPr>
              <w:t>分；</w:t>
            </w:r>
          </w:p>
          <w:p w14:paraId="3B3BA3AD">
            <w:pPr>
              <w:spacing w:line="0" w:lineRule="atLeast"/>
              <w:rPr>
                <w:rFonts w:hint="default" w:ascii="宋体" w:hAnsi="宋体"/>
                <w:bCs/>
                <w:color w:val="auto"/>
                <w:spacing w:val="-10"/>
                <w:szCs w:val="21"/>
                <w:highlight w:val="none"/>
                <w:lang w:val="en-US" w:eastAsia="zh-CN"/>
              </w:rPr>
            </w:pPr>
            <w:r>
              <w:rPr>
                <w:rFonts w:hint="eastAsia" w:ascii="宋体" w:hAnsi="宋体"/>
                <w:bCs/>
                <w:color w:val="auto"/>
                <w:spacing w:val="-10"/>
                <w:szCs w:val="21"/>
                <w:highlight w:val="none"/>
                <w:lang w:val="en-US" w:eastAsia="zh-CN"/>
              </w:rPr>
              <w:t>1.</w:t>
            </w:r>
            <w:r>
              <w:rPr>
                <w:rFonts w:hint="eastAsia" w:ascii="宋体" w:hAnsi="宋体"/>
                <w:bCs/>
                <w:color w:val="auto"/>
                <w:spacing w:val="-10"/>
                <w:szCs w:val="21"/>
                <w:highlight w:val="none"/>
                <w:lang w:eastAsia="zh-CN"/>
              </w:rPr>
              <w:t>近五年（20</w:t>
            </w:r>
            <w:r>
              <w:rPr>
                <w:rFonts w:hint="eastAsia" w:ascii="宋体" w:hAnsi="宋体"/>
                <w:bCs/>
                <w:color w:val="auto"/>
                <w:spacing w:val="-10"/>
                <w:szCs w:val="21"/>
                <w:highlight w:val="none"/>
                <w:lang w:val="en-US" w:eastAsia="zh-CN"/>
              </w:rPr>
              <w:t>20</w:t>
            </w:r>
            <w:r>
              <w:rPr>
                <w:rFonts w:hint="eastAsia" w:ascii="宋体" w:hAnsi="宋体"/>
                <w:bCs/>
                <w:color w:val="auto"/>
                <w:spacing w:val="-10"/>
                <w:szCs w:val="21"/>
                <w:highlight w:val="none"/>
                <w:lang w:eastAsia="zh-CN"/>
              </w:rPr>
              <w:t>年</w:t>
            </w:r>
            <w:r>
              <w:rPr>
                <w:rFonts w:hint="eastAsia" w:ascii="宋体" w:hAnsi="宋体"/>
                <w:bCs/>
                <w:color w:val="auto"/>
                <w:spacing w:val="-10"/>
                <w:szCs w:val="21"/>
                <w:highlight w:val="none"/>
                <w:lang w:val="en-US" w:eastAsia="zh-CN"/>
              </w:rPr>
              <w:t>05</w:t>
            </w:r>
            <w:r>
              <w:rPr>
                <w:rFonts w:hint="eastAsia" w:ascii="宋体" w:hAnsi="宋体"/>
                <w:bCs/>
                <w:color w:val="auto"/>
                <w:spacing w:val="-10"/>
                <w:szCs w:val="21"/>
                <w:highlight w:val="none"/>
                <w:lang w:eastAsia="zh-CN"/>
              </w:rPr>
              <w:t>月01日～递交投标文件截止时间）独立完成的</w:t>
            </w:r>
            <w:r>
              <w:rPr>
                <w:rFonts w:hint="eastAsia" w:ascii="宋体" w:hAnsi="宋体"/>
                <w:bCs/>
                <w:color w:val="auto"/>
                <w:spacing w:val="-10"/>
                <w:szCs w:val="21"/>
                <w:highlight w:val="none"/>
                <w:lang w:val="en-US" w:eastAsia="zh-CN"/>
              </w:rPr>
              <w:t>项目公里数累计达到60公里的二级及以上</w:t>
            </w:r>
            <w:r>
              <w:rPr>
                <w:rFonts w:hint="eastAsia" w:ascii="宋体" w:hAnsi="宋体"/>
                <w:bCs/>
                <w:color w:val="auto"/>
                <w:spacing w:val="-10"/>
                <w:szCs w:val="21"/>
                <w:highlight w:val="none"/>
                <w:lang w:eastAsia="zh-CN"/>
              </w:rPr>
              <w:t>公路工程施工工程</w:t>
            </w:r>
            <w:r>
              <w:rPr>
                <w:rFonts w:hint="eastAsia" w:ascii="宋体" w:hAnsi="宋体"/>
                <w:bCs/>
                <w:color w:val="auto"/>
                <w:spacing w:val="-10"/>
                <w:szCs w:val="21"/>
                <w:highlight w:val="none"/>
                <w:lang w:val="en-US" w:eastAsia="zh-CN"/>
              </w:rPr>
              <w:t>得10分</w:t>
            </w:r>
            <w:r>
              <w:rPr>
                <w:rFonts w:hint="eastAsia" w:ascii="宋体" w:hAnsi="宋体"/>
                <w:bCs/>
                <w:color w:val="auto"/>
                <w:szCs w:val="21"/>
                <w:highlight w:val="none"/>
              </w:rPr>
              <w:t>。</w:t>
            </w:r>
          </w:p>
          <w:p w14:paraId="1249C51F">
            <w:pPr>
              <w:spacing w:line="0" w:lineRule="atLeast"/>
              <w:rPr>
                <w:rFonts w:hint="eastAsia" w:ascii="宋体" w:hAnsi="宋体"/>
                <w:bCs/>
                <w:color w:val="auto"/>
                <w:spacing w:val="-10"/>
                <w:szCs w:val="21"/>
                <w:highlight w:val="none"/>
                <w:lang w:eastAsia="zh-CN"/>
              </w:rPr>
            </w:pPr>
            <w:r>
              <w:rPr>
                <w:rFonts w:hint="eastAsia" w:ascii="宋体" w:hAnsi="宋体"/>
                <w:bCs/>
                <w:color w:val="auto"/>
                <w:spacing w:val="-10"/>
                <w:szCs w:val="21"/>
                <w:highlight w:val="none"/>
                <w:lang w:eastAsia="zh-CN"/>
              </w:rPr>
              <w:t>注：1.二级公路项目指的是公路新建或改扩建项目（不含养护项目）；</w:t>
            </w:r>
          </w:p>
          <w:p w14:paraId="4AB81DBD">
            <w:pPr>
              <w:numPr>
                <w:ilvl w:val="0"/>
                <w:numId w:val="4"/>
              </w:numPr>
              <w:spacing w:line="0" w:lineRule="atLeast"/>
              <w:rPr>
                <w:rFonts w:hint="eastAsia" w:ascii="宋体" w:hAnsi="宋体"/>
                <w:bCs/>
                <w:color w:val="auto"/>
                <w:spacing w:val="-10"/>
                <w:szCs w:val="21"/>
                <w:highlight w:val="none"/>
                <w:lang w:eastAsia="zh-CN"/>
              </w:rPr>
            </w:pPr>
            <w:r>
              <w:rPr>
                <w:rFonts w:hint="eastAsia" w:ascii="宋体" w:hAnsi="宋体"/>
                <w:bCs/>
                <w:color w:val="auto"/>
                <w:spacing w:val="-10"/>
                <w:szCs w:val="21"/>
                <w:highlight w:val="none"/>
                <w:lang w:eastAsia="zh-CN"/>
              </w:rPr>
              <w:t>业绩要求在黑龙江省交通运输厅网站的“黑龙江省公路水路建设市场信用信息管理系统”或交通运输部网站“全国公路建设市场信用信息管理系统”中能够查询，如果查询不到该业绩的信息或查询的信息与投标人提供的信息不一致，业绩审查时将不予认定。</w:t>
            </w:r>
          </w:p>
          <w:p w14:paraId="593927C7">
            <w:pPr>
              <w:spacing w:line="0" w:lineRule="atLeast"/>
              <w:rPr>
                <w:rFonts w:hint="eastAsia" w:ascii="宋体" w:hAnsi="宋体"/>
                <w:bCs/>
                <w:color w:val="auto"/>
                <w:spacing w:val="-10"/>
                <w:szCs w:val="21"/>
                <w:highlight w:val="none"/>
                <w:lang w:eastAsia="zh-CN"/>
              </w:rPr>
            </w:pPr>
            <w:r>
              <w:rPr>
                <w:rFonts w:hint="eastAsia" w:ascii="宋体" w:hAnsi="宋体"/>
                <w:b/>
                <w:bCs w:val="0"/>
                <w:color w:val="auto"/>
                <w:spacing w:val="-10"/>
                <w:szCs w:val="21"/>
                <w:highlight w:val="none"/>
                <w:lang w:val="en-US" w:eastAsia="zh-CN"/>
              </w:rPr>
              <w:t>A2标段：</w:t>
            </w:r>
            <w:r>
              <w:rPr>
                <w:rFonts w:hint="eastAsia" w:ascii="宋体" w:hAnsi="宋体"/>
                <w:bCs/>
                <w:color w:val="auto"/>
                <w:spacing w:val="-10"/>
                <w:szCs w:val="21"/>
                <w:highlight w:val="none"/>
                <w:lang w:eastAsia="zh-CN"/>
              </w:rPr>
              <w:t>业绩满足招标文件规定的资格审查条件得基本分</w:t>
            </w:r>
            <w:r>
              <w:rPr>
                <w:rFonts w:hint="eastAsia" w:ascii="宋体" w:hAnsi="宋体"/>
                <w:bCs/>
                <w:color w:val="auto"/>
                <w:spacing w:val="-10"/>
                <w:szCs w:val="21"/>
                <w:highlight w:val="none"/>
                <w:lang w:val="en-US" w:eastAsia="zh-CN"/>
              </w:rPr>
              <w:t>15</w:t>
            </w:r>
            <w:r>
              <w:rPr>
                <w:rFonts w:hint="eastAsia" w:ascii="宋体" w:hAnsi="宋体"/>
                <w:bCs/>
                <w:color w:val="auto"/>
                <w:spacing w:val="-10"/>
                <w:szCs w:val="21"/>
                <w:highlight w:val="none"/>
                <w:lang w:eastAsia="zh-CN"/>
              </w:rPr>
              <w:t>分；</w:t>
            </w:r>
          </w:p>
          <w:p w14:paraId="267F914B">
            <w:pPr>
              <w:spacing w:line="0" w:lineRule="atLeast"/>
              <w:rPr>
                <w:rFonts w:hint="default" w:ascii="宋体" w:hAnsi="宋体"/>
                <w:bCs/>
                <w:color w:val="auto"/>
                <w:spacing w:val="-10"/>
                <w:szCs w:val="21"/>
                <w:highlight w:val="none"/>
                <w:lang w:val="en-US" w:eastAsia="zh-CN"/>
              </w:rPr>
            </w:pPr>
            <w:r>
              <w:rPr>
                <w:rFonts w:hint="eastAsia" w:ascii="宋体" w:hAnsi="宋体"/>
                <w:bCs/>
                <w:color w:val="auto"/>
                <w:spacing w:val="-10"/>
                <w:szCs w:val="21"/>
                <w:highlight w:val="none"/>
                <w:lang w:val="en-US" w:eastAsia="zh-CN"/>
              </w:rPr>
              <w:t>1.</w:t>
            </w:r>
            <w:r>
              <w:rPr>
                <w:rFonts w:hint="eastAsia" w:ascii="宋体" w:hAnsi="宋体"/>
                <w:bCs/>
                <w:color w:val="auto"/>
                <w:spacing w:val="-10"/>
                <w:szCs w:val="21"/>
                <w:highlight w:val="none"/>
                <w:lang w:eastAsia="zh-CN"/>
              </w:rPr>
              <w:t>近五年（20</w:t>
            </w:r>
            <w:r>
              <w:rPr>
                <w:rFonts w:hint="eastAsia" w:ascii="宋体" w:hAnsi="宋体"/>
                <w:bCs/>
                <w:color w:val="auto"/>
                <w:spacing w:val="-10"/>
                <w:szCs w:val="21"/>
                <w:highlight w:val="none"/>
                <w:lang w:val="en-US" w:eastAsia="zh-CN"/>
              </w:rPr>
              <w:t>20</w:t>
            </w:r>
            <w:r>
              <w:rPr>
                <w:rFonts w:hint="eastAsia" w:ascii="宋体" w:hAnsi="宋体"/>
                <w:bCs/>
                <w:color w:val="auto"/>
                <w:spacing w:val="-10"/>
                <w:szCs w:val="21"/>
                <w:highlight w:val="none"/>
                <w:lang w:eastAsia="zh-CN"/>
              </w:rPr>
              <w:t>年</w:t>
            </w:r>
            <w:r>
              <w:rPr>
                <w:rFonts w:hint="eastAsia" w:ascii="宋体" w:hAnsi="宋体"/>
                <w:bCs/>
                <w:color w:val="auto"/>
                <w:spacing w:val="-10"/>
                <w:szCs w:val="21"/>
                <w:highlight w:val="none"/>
                <w:lang w:val="en-US" w:eastAsia="zh-CN"/>
              </w:rPr>
              <w:t>05</w:t>
            </w:r>
            <w:r>
              <w:rPr>
                <w:rFonts w:hint="eastAsia" w:ascii="宋体" w:hAnsi="宋体"/>
                <w:bCs/>
                <w:color w:val="auto"/>
                <w:spacing w:val="-10"/>
                <w:szCs w:val="21"/>
                <w:highlight w:val="none"/>
                <w:lang w:eastAsia="zh-CN"/>
              </w:rPr>
              <w:t>月01日～递交投标文件截止时间）独立完成的</w:t>
            </w:r>
            <w:r>
              <w:rPr>
                <w:rFonts w:hint="eastAsia" w:ascii="宋体" w:hAnsi="宋体"/>
                <w:bCs/>
                <w:color w:val="auto"/>
                <w:spacing w:val="-10"/>
                <w:szCs w:val="21"/>
                <w:highlight w:val="none"/>
                <w:lang w:val="en-US" w:eastAsia="zh-CN"/>
              </w:rPr>
              <w:t>项目公里数累计达到30公里的二级及以上</w:t>
            </w:r>
            <w:r>
              <w:rPr>
                <w:rFonts w:hint="eastAsia" w:ascii="宋体" w:hAnsi="宋体"/>
                <w:bCs/>
                <w:color w:val="auto"/>
                <w:spacing w:val="-10"/>
                <w:szCs w:val="21"/>
                <w:highlight w:val="none"/>
                <w:lang w:eastAsia="zh-CN"/>
              </w:rPr>
              <w:t>公路工程施工工程</w:t>
            </w:r>
            <w:r>
              <w:rPr>
                <w:rFonts w:hint="eastAsia" w:ascii="宋体" w:hAnsi="宋体"/>
                <w:bCs/>
                <w:color w:val="auto"/>
                <w:spacing w:val="-10"/>
                <w:szCs w:val="21"/>
                <w:highlight w:val="none"/>
                <w:lang w:val="en-US" w:eastAsia="zh-CN"/>
              </w:rPr>
              <w:t>得10分。</w:t>
            </w:r>
          </w:p>
          <w:p w14:paraId="09641D71">
            <w:pPr>
              <w:spacing w:line="0" w:lineRule="atLeast"/>
              <w:rPr>
                <w:rFonts w:hint="eastAsia" w:ascii="宋体" w:hAnsi="宋体"/>
                <w:bCs/>
                <w:color w:val="auto"/>
                <w:spacing w:val="-10"/>
                <w:szCs w:val="21"/>
                <w:highlight w:val="none"/>
                <w:lang w:eastAsia="zh-CN"/>
              </w:rPr>
            </w:pPr>
            <w:r>
              <w:rPr>
                <w:rFonts w:hint="eastAsia" w:ascii="宋体" w:hAnsi="宋体"/>
                <w:bCs/>
                <w:color w:val="auto"/>
                <w:spacing w:val="-10"/>
                <w:szCs w:val="21"/>
                <w:highlight w:val="none"/>
                <w:lang w:eastAsia="zh-CN"/>
              </w:rPr>
              <w:t>注：1.二级公路项目指的是公路新建或改扩建项目（不含养护项目）；</w:t>
            </w:r>
          </w:p>
          <w:p w14:paraId="44D1E25C">
            <w:pPr>
              <w:numPr>
                <w:ilvl w:val="0"/>
                <w:numId w:val="0"/>
              </w:numPr>
              <w:spacing w:line="0" w:lineRule="atLeast"/>
              <w:rPr>
                <w:rFonts w:hint="default" w:ascii="宋体" w:hAnsi="宋体"/>
                <w:bCs/>
                <w:color w:val="auto"/>
                <w:spacing w:val="-10"/>
                <w:szCs w:val="21"/>
                <w:highlight w:val="none"/>
                <w:lang w:val="en-US" w:eastAsia="zh-CN"/>
              </w:rPr>
            </w:pPr>
            <w:r>
              <w:rPr>
                <w:rFonts w:hint="eastAsia" w:ascii="宋体" w:hAnsi="宋体"/>
                <w:bCs/>
                <w:color w:val="auto"/>
                <w:spacing w:val="-10"/>
                <w:szCs w:val="21"/>
                <w:highlight w:val="none"/>
                <w:lang w:eastAsia="zh-CN"/>
              </w:rPr>
              <w:t>2、业绩要求在黑龙江省交通运输厅网站的“黑龙江省公路水路建设市场信用信息管理系统”或交通运输部网站“全国公路建设市场信用信息管理系统”中能够查询，如果查询不到该业绩的信息或查询的信息与投标人提供的信息不一致，业绩审查时将不予认定。</w:t>
            </w:r>
          </w:p>
        </w:tc>
      </w:tr>
      <w:tr w14:paraId="6DC9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8" w:hRule="atLeast"/>
          <w:jc w:val="center"/>
        </w:trPr>
        <w:tc>
          <w:tcPr>
            <w:tcW w:w="1215" w:type="dxa"/>
            <w:tcBorders>
              <w:tl2br w:val="nil"/>
              <w:tr2bl w:val="nil"/>
            </w:tcBorders>
            <w:noWrap w:val="0"/>
            <w:vAlign w:val="center"/>
          </w:tcPr>
          <w:p w14:paraId="50D6B9D1">
            <w:pPr>
              <w:widowControl/>
              <w:spacing w:before="100" w:beforeAutospacing="1" w:after="100" w:afterAutospacing="1"/>
              <w:jc w:val="center"/>
              <w:rPr>
                <w:rFonts w:hint="default" w:ascii="Times New Roman" w:hAnsi="Times New Roman" w:cs="Times New Roman"/>
                <w:kern w:val="0"/>
                <w:sz w:val="22"/>
                <w:szCs w:val="22"/>
                <w:lang w:bidi="ar"/>
              </w:rPr>
            </w:pPr>
            <w:r>
              <w:rPr>
                <w:rFonts w:hint="default" w:ascii="Times New Roman" w:hAnsi="Times New Roman" w:cs="Times New Roman"/>
                <w:kern w:val="0"/>
                <w:sz w:val="22"/>
                <w:szCs w:val="22"/>
                <w:lang w:bidi="ar"/>
              </w:rPr>
              <w:t>2.2.2（</w:t>
            </w:r>
            <w:r>
              <w:rPr>
                <w:rFonts w:hint="eastAsia" w:ascii="Times New Roman" w:hAnsi="Times New Roman" w:cs="Times New Roman"/>
                <w:kern w:val="0"/>
                <w:sz w:val="22"/>
                <w:szCs w:val="22"/>
                <w:lang w:val="en-US" w:eastAsia="zh-CN" w:bidi="ar"/>
              </w:rPr>
              <w:t>3</w:t>
            </w:r>
            <w:r>
              <w:rPr>
                <w:rFonts w:hint="default" w:ascii="Times New Roman" w:hAnsi="Times New Roman" w:cs="Times New Roman"/>
                <w:kern w:val="0"/>
                <w:sz w:val="22"/>
                <w:szCs w:val="22"/>
                <w:lang w:bidi="ar"/>
              </w:rPr>
              <w:t>）</w:t>
            </w:r>
          </w:p>
        </w:tc>
        <w:tc>
          <w:tcPr>
            <w:tcW w:w="1169" w:type="dxa"/>
            <w:tcBorders>
              <w:tl2br w:val="nil"/>
              <w:tr2bl w:val="nil"/>
            </w:tcBorders>
            <w:noWrap w:val="0"/>
            <w:vAlign w:val="center"/>
          </w:tcPr>
          <w:p w14:paraId="52A70874">
            <w:pPr>
              <w:spacing w:line="0" w:lineRule="atLeast"/>
              <w:jc w:val="center"/>
              <w:rPr>
                <w:rFonts w:hint="eastAsia" w:ascii="Times New Roman" w:hAnsi="Times New Roman" w:cs="Times New Roman"/>
                <w:kern w:val="0"/>
                <w:sz w:val="22"/>
                <w:szCs w:val="22"/>
                <w:lang w:val="en-US" w:eastAsia="zh-CN" w:bidi="ar"/>
              </w:rPr>
            </w:pPr>
            <w:r>
              <w:rPr>
                <w:rFonts w:hint="eastAsia" w:ascii="宋体" w:hAnsi="宋体"/>
                <w:color w:val="auto"/>
                <w:szCs w:val="21"/>
                <w:highlight w:val="none"/>
                <w:lang w:eastAsia="zh-CN"/>
              </w:rPr>
              <w:t>技术能力</w:t>
            </w:r>
          </w:p>
        </w:tc>
        <w:tc>
          <w:tcPr>
            <w:tcW w:w="519" w:type="dxa"/>
            <w:tcBorders>
              <w:tl2br w:val="nil"/>
              <w:tr2bl w:val="nil"/>
            </w:tcBorders>
            <w:noWrap w:val="0"/>
            <w:vAlign w:val="center"/>
          </w:tcPr>
          <w:p w14:paraId="7C5D4DCD">
            <w:pPr>
              <w:spacing w:line="0" w:lineRule="atLeast"/>
              <w:jc w:val="center"/>
              <w:rPr>
                <w:rFonts w:hint="default" w:ascii="Times New Roman" w:hAnsi="Times New Roman" w:cs="Times New Roman"/>
                <w:sz w:val="22"/>
                <w:szCs w:val="22"/>
                <w:lang w:val="en-US" w:eastAsia="zh-CN"/>
              </w:rPr>
            </w:pPr>
            <w:r>
              <w:rPr>
                <w:rFonts w:hint="eastAsia" w:ascii="宋体" w:hAnsi="宋体"/>
                <w:color w:val="auto"/>
                <w:szCs w:val="21"/>
                <w:highlight w:val="none"/>
                <w:lang w:val="en-US" w:eastAsia="zh-CN"/>
              </w:rPr>
              <w:t>10分</w:t>
            </w:r>
          </w:p>
        </w:tc>
        <w:tc>
          <w:tcPr>
            <w:tcW w:w="1039" w:type="dxa"/>
            <w:tcBorders>
              <w:tl2br w:val="nil"/>
              <w:tr2bl w:val="nil"/>
            </w:tcBorders>
            <w:noWrap w:val="0"/>
            <w:vAlign w:val="center"/>
          </w:tcPr>
          <w:p w14:paraId="0903F314">
            <w:pPr>
              <w:spacing w:line="0" w:lineRule="atLeas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信誉</w:t>
            </w:r>
          </w:p>
        </w:tc>
        <w:tc>
          <w:tcPr>
            <w:tcW w:w="653" w:type="dxa"/>
            <w:tcBorders>
              <w:tl2br w:val="nil"/>
              <w:tr2bl w:val="nil"/>
            </w:tcBorders>
            <w:noWrap w:val="0"/>
            <w:vAlign w:val="center"/>
          </w:tcPr>
          <w:p w14:paraId="57ACD746">
            <w:pPr>
              <w:spacing w:line="0" w:lineRule="atLeas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10分</w:t>
            </w:r>
          </w:p>
        </w:tc>
        <w:tc>
          <w:tcPr>
            <w:tcW w:w="4344" w:type="dxa"/>
            <w:tcBorders>
              <w:tl2br w:val="nil"/>
              <w:tr2bl w:val="nil"/>
            </w:tcBorders>
            <w:noWrap w:val="0"/>
            <w:vAlign w:val="center"/>
          </w:tcPr>
          <w:p w14:paraId="228B52D2">
            <w:pPr>
              <w:spacing w:line="0" w:lineRule="atLeast"/>
              <w:rPr>
                <w:rFonts w:hint="eastAsia" w:ascii="宋体" w:hAnsi="宋体"/>
                <w:bCs/>
                <w:color w:val="auto"/>
                <w:spacing w:val="-10"/>
                <w:szCs w:val="21"/>
                <w:highlight w:val="none"/>
                <w:lang w:val="en-US" w:eastAsia="zh-CN"/>
              </w:rPr>
            </w:pPr>
            <w:r>
              <w:rPr>
                <w:rFonts w:hint="eastAsia" w:ascii="宋体" w:hAnsi="宋体"/>
                <w:bCs/>
                <w:color w:val="auto"/>
                <w:spacing w:val="-10"/>
                <w:szCs w:val="21"/>
                <w:highlight w:val="none"/>
                <w:lang w:val="en-US" w:eastAsia="zh-CN"/>
              </w:rPr>
              <w:t>信誉满足资格审查条件得 5分；</w:t>
            </w:r>
          </w:p>
          <w:p w14:paraId="23F2899C">
            <w:pPr>
              <w:spacing w:line="0" w:lineRule="atLeast"/>
              <w:rPr>
                <w:rFonts w:hint="eastAsia" w:ascii="宋体" w:hAnsi="宋体"/>
                <w:bCs/>
                <w:color w:val="auto"/>
                <w:spacing w:val="-10"/>
                <w:szCs w:val="21"/>
                <w:highlight w:val="none"/>
                <w:lang w:eastAsia="zh-CN"/>
              </w:rPr>
            </w:pPr>
            <w:r>
              <w:rPr>
                <w:rFonts w:hint="eastAsia" w:ascii="宋体" w:hAnsi="宋体"/>
                <w:bCs/>
                <w:color w:val="auto"/>
                <w:spacing w:val="-10"/>
                <w:szCs w:val="21"/>
                <w:highlight w:val="none"/>
                <w:lang w:eastAsia="zh-CN"/>
              </w:rPr>
              <w:t>①202</w:t>
            </w:r>
            <w:r>
              <w:rPr>
                <w:rFonts w:hint="eastAsia" w:ascii="宋体" w:hAnsi="宋体"/>
                <w:bCs/>
                <w:color w:val="auto"/>
                <w:spacing w:val="-10"/>
                <w:szCs w:val="21"/>
                <w:highlight w:val="none"/>
                <w:lang w:val="en-US" w:eastAsia="zh-CN"/>
              </w:rPr>
              <w:t>4</w:t>
            </w:r>
            <w:r>
              <w:rPr>
                <w:rFonts w:hint="eastAsia" w:ascii="宋体" w:hAnsi="宋体"/>
                <w:bCs/>
                <w:color w:val="auto"/>
                <w:spacing w:val="-10"/>
                <w:szCs w:val="21"/>
                <w:highlight w:val="none"/>
                <w:lang w:eastAsia="zh-CN"/>
              </w:rPr>
              <w:t>年度被黑龙江省交通运输厅或202</w:t>
            </w:r>
            <w:r>
              <w:rPr>
                <w:rFonts w:hint="eastAsia" w:ascii="宋体" w:hAnsi="宋体"/>
                <w:bCs/>
                <w:color w:val="auto"/>
                <w:spacing w:val="-10"/>
                <w:szCs w:val="21"/>
                <w:highlight w:val="none"/>
                <w:lang w:val="en-US" w:eastAsia="zh-CN"/>
              </w:rPr>
              <w:t>3</w:t>
            </w:r>
            <w:r>
              <w:rPr>
                <w:rFonts w:hint="eastAsia" w:ascii="宋体" w:hAnsi="宋体"/>
                <w:bCs/>
                <w:color w:val="auto"/>
                <w:spacing w:val="-10"/>
                <w:szCs w:val="21"/>
                <w:highlight w:val="none"/>
                <w:lang w:eastAsia="zh-CN"/>
              </w:rPr>
              <w:t>交通运输部认定为公路</w:t>
            </w:r>
            <w:r>
              <w:rPr>
                <w:rFonts w:hint="eastAsia" w:ascii="宋体" w:hAnsi="宋体"/>
                <w:bCs/>
                <w:color w:val="auto"/>
                <w:spacing w:val="-10"/>
                <w:szCs w:val="21"/>
                <w:highlight w:val="none"/>
                <w:lang w:val="en-US" w:eastAsia="zh-CN"/>
              </w:rPr>
              <w:t>施工</w:t>
            </w:r>
            <w:r>
              <w:rPr>
                <w:rFonts w:hint="eastAsia" w:ascii="宋体" w:hAnsi="宋体"/>
                <w:bCs/>
                <w:color w:val="auto"/>
                <w:spacing w:val="-10"/>
                <w:szCs w:val="21"/>
                <w:highlight w:val="none"/>
                <w:lang w:eastAsia="zh-CN"/>
              </w:rPr>
              <w:t>企业AA级信用评价等级的，</w:t>
            </w:r>
            <w:r>
              <w:rPr>
                <w:rFonts w:hint="eastAsia" w:ascii="宋体" w:hAnsi="宋体"/>
                <w:bCs/>
                <w:color w:val="auto"/>
                <w:spacing w:val="-10"/>
                <w:szCs w:val="21"/>
                <w:highlight w:val="none"/>
                <w:lang w:val="en-US" w:eastAsia="zh-CN"/>
              </w:rPr>
              <w:t>得5</w:t>
            </w:r>
            <w:r>
              <w:rPr>
                <w:rFonts w:hint="eastAsia" w:ascii="宋体" w:hAnsi="宋体"/>
                <w:bCs/>
                <w:color w:val="auto"/>
                <w:spacing w:val="-10"/>
                <w:szCs w:val="21"/>
                <w:highlight w:val="none"/>
                <w:lang w:eastAsia="zh-CN"/>
              </w:rPr>
              <w:t>分；</w:t>
            </w:r>
          </w:p>
          <w:p w14:paraId="54FD0CE8">
            <w:pPr>
              <w:spacing w:line="0" w:lineRule="atLeast"/>
              <w:rPr>
                <w:rFonts w:hint="eastAsia" w:ascii="宋体" w:hAnsi="宋体"/>
                <w:bCs/>
                <w:color w:val="auto"/>
                <w:spacing w:val="-10"/>
                <w:szCs w:val="21"/>
                <w:highlight w:val="none"/>
                <w:lang w:eastAsia="zh-CN"/>
              </w:rPr>
            </w:pPr>
            <w:r>
              <w:rPr>
                <w:rFonts w:hint="eastAsia" w:ascii="宋体" w:hAnsi="宋体"/>
                <w:bCs/>
                <w:color w:val="auto"/>
                <w:spacing w:val="-10"/>
                <w:szCs w:val="21"/>
                <w:highlight w:val="none"/>
                <w:lang w:eastAsia="zh-CN"/>
              </w:rPr>
              <w:t>②202</w:t>
            </w:r>
            <w:r>
              <w:rPr>
                <w:rFonts w:hint="eastAsia" w:ascii="宋体" w:hAnsi="宋体"/>
                <w:bCs/>
                <w:color w:val="auto"/>
                <w:spacing w:val="-10"/>
                <w:szCs w:val="21"/>
                <w:highlight w:val="none"/>
                <w:lang w:val="en-US" w:eastAsia="zh-CN"/>
              </w:rPr>
              <w:t>4</w:t>
            </w:r>
            <w:r>
              <w:rPr>
                <w:rFonts w:hint="eastAsia" w:ascii="宋体" w:hAnsi="宋体"/>
                <w:bCs/>
                <w:color w:val="auto"/>
                <w:spacing w:val="-10"/>
                <w:szCs w:val="21"/>
                <w:highlight w:val="none"/>
                <w:lang w:eastAsia="zh-CN"/>
              </w:rPr>
              <w:t>年度被黑龙江省交通运输厅或202</w:t>
            </w:r>
            <w:r>
              <w:rPr>
                <w:rFonts w:hint="eastAsia" w:ascii="宋体" w:hAnsi="宋体"/>
                <w:bCs/>
                <w:color w:val="auto"/>
                <w:spacing w:val="-10"/>
                <w:szCs w:val="21"/>
                <w:highlight w:val="none"/>
                <w:lang w:val="en-US" w:eastAsia="zh-CN"/>
              </w:rPr>
              <w:t>3</w:t>
            </w:r>
            <w:r>
              <w:rPr>
                <w:rFonts w:hint="eastAsia" w:ascii="宋体" w:hAnsi="宋体"/>
                <w:bCs/>
                <w:color w:val="auto"/>
                <w:spacing w:val="-10"/>
                <w:szCs w:val="21"/>
                <w:highlight w:val="none"/>
                <w:lang w:eastAsia="zh-CN"/>
              </w:rPr>
              <w:t>交通运输的部认定为公路</w:t>
            </w:r>
            <w:r>
              <w:rPr>
                <w:rFonts w:hint="eastAsia" w:ascii="宋体" w:hAnsi="宋体"/>
                <w:bCs/>
                <w:color w:val="auto"/>
                <w:spacing w:val="-10"/>
                <w:szCs w:val="21"/>
                <w:highlight w:val="none"/>
                <w:lang w:val="en-US" w:eastAsia="zh-CN"/>
              </w:rPr>
              <w:t>施工</w:t>
            </w:r>
            <w:r>
              <w:rPr>
                <w:rFonts w:hint="eastAsia" w:ascii="宋体" w:hAnsi="宋体"/>
                <w:bCs/>
                <w:color w:val="auto"/>
                <w:spacing w:val="-10"/>
                <w:szCs w:val="21"/>
                <w:highlight w:val="none"/>
                <w:lang w:eastAsia="zh-CN"/>
              </w:rPr>
              <w:t>企业A级信用评价等级的，</w:t>
            </w:r>
            <w:r>
              <w:rPr>
                <w:rFonts w:hint="eastAsia" w:ascii="宋体" w:hAnsi="宋体"/>
                <w:bCs/>
                <w:color w:val="auto"/>
                <w:spacing w:val="-10"/>
                <w:szCs w:val="21"/>
                <w:highlight w:val="none"/>
                <w:lang w:val="en-US" w:eastAsia="zh-CN"/>
              </w:rPr>
              <w:t>得3</w:t>
            </w:r>
            <w:r>
              <w:rPr>
                <w:rFonts w:hint="eastAsia" w:ascii="宋体" w:hAnsi="宋体"/>
                <w:bCs/>
                <w:color w:val="auto"/>
                <w:spacing w:val="-10"/>
                <w:szCs w:val="21"/>
                <w:highlight w:val="none"/>
                <w:lang w:eastAsia="zh-CN"/>
              </w:rPr>
              <w:t>分；</w:t>
            </w:r>
          </w:p>
          <w:p w14:paraId="6448FAA6">
            <w:pPr>
              <w:spacing w:line="0" w:lineRule="atLeast"/>
              <w:rPr>
                <w:rFonts w:hint="eastAsia" w:ascii="宋体" w:hAnsi="宋体"/>
                <w:bCs/>
                <w:color w:val="auto"/>
                <w:spacing w:val="-10"/>
                <w:szCs w:val="21"/>
                <w:highlight w:val="none"/>
                <w:lang w:eastAsia="zh-CN"/>
              </w:rPr>
            </w:pPr>
            <w:r>
              <w:rPr>
                <w:rFonts w:hint="eastAsia" w:ascii="宋体" w:hAnsi="宋体"/>
                <w:bCs/>
                <w:color w:val="auto"/>
                <w:spacing w:val="-10"/>
                <w:szCs w:val="21"/>
                <w:highlight w:val="none"/>
                <w:lang w:eastAsia="zh-CN"/>
              </w:rPr>
              <w:t>③国务院或省级有关部门许可资质的</w:t>
            </w:r>
            <w:r>
              <w:rPr>
                <w:rFonts w:hint="eastAsia" w:ascii="宋体" w:hAnsi="宋体"/>
                <w:bCs/>
                <w:color w:val="auto"/>
                <w:spacing w:val="-10"/>
                <w:szCs w:val="21"/>
                <w:highlight w:val="none"/>
                <w:lang w:val="en-US" w:eastAsia="zh-CN"/>
              </w:rPr>
              <w:t>施工</w:t>
            </w:r>
            <w:r>
              <w:rPr>
                <w:rFonts w:hint="eastAsia" w:ascii="宋体" w:hAnsi="宋体"/>
                <w:bCs/>
                <w:color w:val="auto"/>
                <w:spacing w:val="-10"/>
                <w:szCs w:val="21"/>
                <w:highlight w:val="none"/>
                <w:lang w:eastAsia="zh-CN"/>
              </w:rPr>
              <w:t>企业初次进入黑龙江省，其信用评价等级按照交通运输部或省级</w:t>
            </w:r>
            <w:r>
              <w:rPr>
                <w:rFonts w:hint="eastAsia" w:ascii="宋体" w:hAnsi="宋体"/>
                <w:bCs/>
                <w:color w:val="auto"/>
                <w:spacing w:val="-10"/>
                <w:szCs w:val="21"/>
                <w:highlight w:val="none"/>
                <w:lang w:val="en-US" w:eastAsia="zh-CN"/>
              </w:rPr>
              <w:t>施工</w:t>
            </w:r>
            <w:r>
              <w:rPr>
                <w:rFonts w:hint="eastAsia" w:ascii="宋体" w:hAnsi="宋体"/>
                <w:bCs/>
                <w:color w:val="auto"/>
                <w:spacing w:val="-10"/>
                <w:szCs w:val="21"/>
                <w:highlight w:val="none"/>
                <w:lang w:eastAsia="zh-CN"/>
              </w:rPr>
              <w:t>企业全国综合信用评价结果确定；尚无交通运输部或省级</w:t>
            </w:r>
            <w:r>
              <w:rPr>
                <w:rFonts w:hint="eastAsia" w:ascii="宋体" w:hAnsi="宋体"/>
                <w:bCs/>
                <w:color w:val="auto"/>
                <w:spacing w:val="-10"/>
                <w:szCs w:val="21"/>
                <w:highlight w:val="none"/>
                <w:lang w:val="en-US" w:eastAsia="zh-CN"/>
              </w:rPr>
              <w:t>施工</w:t>
            </w:r>
            <w:r>
              <w:rPr>
                <w:rFonts w:hint="eastAsia" w:ascii="宋体" w:hAnsi="宋体"/>
                <w:bCs/>
                <w:color w:val="auto"/>
                <w:spacing w:val="-10"/>
                <w:szCs w:val="21"/>
                <w:highlight w:val="none"/>
                <w:lang w:eastAsia="zh-CN"/>
              </w:rPr>
              <w:t>企业全国综合信用评价的企业，若无不良信用记录，按A级对待</w:t>
            </w:r>
          </w:p>
          <w:p w14:paraId="53B4C9B9">
            <w:pPr>
              <w:spacing w:line="0" w:lineRule="atLeast"/>
              <w:rPr>
                <w:rFonts w:hint="eastAsia" w:ascii="宋体" w:hAnsi="宋体"/>
                <w:bCs/>
                <w:color w:val="auto"/>
                <w:spacing w:val="-10"/>
                <w:szCs w:val="21"/>
                <w:highlight w:val="none"/>
                <w:lang w:eastAsia="zh-CN"/>
              </w:rPr>
            </w:pPr>
            <w:r>
              <w:rPr>
                <w:rFonts w:hint="eastAsia" w:ascii="宋体" w:hAnsi="宋体"/>
                <w:bCs/>
                <w:color w:val="auto"/>
                <w:spacing w:val="-10"/>
                <w:szCs w:val="21"/>
                <w:highlight w:val="none"/>
                <w:lang w:eastAsia="zh-CN"/>
              </w:rPr>
              <w:t>④其他情形不加分。</w:t>
            </w:r>
          </w:p>
          <w:p w14:paraId="1E9D77C6">
            <w:pPr>
              <w:spacing w:line="0" w:lineRule="atLeast"/>
              <w:rPr>
                <w:rFonts w:hint="default" w:ascii="宋体" w:hAnsi="宋体"/>
                <w:bCs/>
                <w:color w:val="auto"/>
                <w:spacing w:val="-10"/>
                <w:szCs w:val="21"/>
                <w:highlight w:val="none"/>
                <w:lang w:val="en-US" w:eastAsia="zh-CN"/>
              </w:rPr>
            </w:pPr>
            <w:r>
              <w:rPr>
                <w:rFonts w:hint="eastAsia" w:ascii="宋体" w:hAnsi="宋体"/>
                <w:bCs/>
                <w:color w:val="auto"/>
                <w:spacing w:val="-10"/>
                <w:szCs w:val="21"/>
                <w:highlight w:val="none"/>
                <w:lang w:eastAsia="zh-CN"/>
              </w:rPr>
              <w:t>注：1.加分项不累计，只计一次最高分，本项最高得分</w:t>
            </w:r>
            <w:r>
              <w:rPr>
                <w:rFonts w:hint="eastAsia" w:ascii="宋体" w:hAnsi="宋体"/>
                <w:bCs/>
                <w:color w:val="auto"/>
                <w:spacing w:val="-10"/>
                <w:szCs w:val="21"/>
                <w:highlight w:val="none"/>
                <w:lang w:val="en-US" w:eastAsia="zh-CN"/>
              </w:rPr>
              <w:t>5</w:t>
            </w:r>
            <w:r>
              <w:rPr>
                <w:rFonts w:hint="eastAsia" w:ascii="宋体" w:hAnsi="宋体"/>
                <w:bCs/>
                <w:color w:val="auto"/>
                <w:spacing w:val="-10"/>
                <w:szCs w:val="21"/>
                <w:highlight w:val="none"/>
                <w:lang w:eastAsia="zh-CN"/>
              </w:rPr>
              <w:t>分。</w:t>
            </w:r>
          </w:p>
        </w:tc>
      </w:tr>
      <w:tr w14:paraId="6356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54" w:hRule="atLeast"/>
          <w:jc w:val="center"/>
        </w:trPr>
        <w:tc>
          <w:tcPr>
            <w:tcW w:w="1215" w:type="dxa"/>
            <w:vMerge w:val="restart"/>
            <w:tcBorders>
              <w:tl2br w:val="nil"/>
              <w:tr2bl w:val="nil"/>
            </w:tcBorders>
            <w:noWrap w:val="0"/>
            <w:vAlign w:val="center"/>
          </w:tcPr>
          <w:p w14:paraId="5B98E9A2">
            <w:pPr>
              <w:widowControl/>
              <w:spacing w:before="100" w:beforeAutospacing="1" w:after="100" w:afterAutospacing="1"/>
              <w:jc w:val="center"/>
              <w:rPr>
                <w:rFonts w:hint="default" w:ascii="Times New Roman" w:hAnsi="Times New Roman" w:cs="Times New Roman"/>
                <w:kern w:val="0"/>
                <w:sz w:val="22"/>
                <w:szCs w:val="22"/>
                <w:lang w:bidi="ar"/>
              </w:rPr>
            </w:pPr>
          </w:p>
          <w:p w14:paraId="536BE29D">
            <w:pPr>
              <w:widowControl/>
              <w:spacing w:before="100" w:beforeAutospacing="1" w:after="100" w:afterAutospacing="1"/>
              <w:jc w:val="center"/>
              <w:rPr>
                <w:rFonts w:hint="default" w:ascii="Times New Roman" w:hAnsi="Times New Roman" w:cs="Times New Roman"/>
                <w:kern w:val="0"/>
                <w:sz w:val="22"/>
                <w:szCs w:val="22"/>
                <w:lang w:bidi="ar"/>
              </w:rPr>
            </w:pPr>
          </w:p>
          <w:p w14:paraId="12D2761A">
            <w:pPr>
              <w:widowControl/>
              <w:spacing w:before="100" w:beforeAutospacing="1" w:after="100" w:afterAutospacing="1"/>
              <w:jc w:val="center"/>
              <w:rPr>
                <w:rFonts w:hint="default" w:ascii="Times New Roman" w:hAnsi="Times New Roman" w:cs="Times New Roman"/>
                <w:kern w:val="0"/>
                <w:sz w:val="22"/>
                <w:szCs w:val="22"/>
                <w:lang w:bidi="ar"/>
              </w:rPr>
            </w:pPr>
          </w:p>
          <w:p w14:paraId="4526536C">
            <w:pPr>
              <w:widowControl/>
              <w:spacing w:before="100" w:beforeAutospacing="1" w:after="100" w:afterAutospacing="1"/>
              <w:jc w:val="center"/>
              <w:rPr>
                <w:rFonts w:hint="default" w:ascii="Times New Roman" w:hAnsi="Times New Roman" w:cs="Times New Roman"/>
                <w:kern w:val="0"/>
                <w:sz w:val="22"/>
                <w:szCs w:val="22"/>
                <w:lang w:bidi="ar"/>
              </w:rPr>
            </w:pPr>
          </w:p>
          <w:p w14:paraId="291BC519">
            <w:pPr>
              <w:widowControl/>
              <w:spacing w:before="100" w:beforeAutospacing="1" w:after="100" w:afterAutospacing="1"/>
              <w:jc w:val="center"/>
              <w:rPr>
                <w:rFonts w:hint="default" w:ascii="Times New Roman" w:hAnsi="Times New Roman" w:cs="Times New Roman"/>
                <w:kern w:val="0"/>
                <w:sz w:val="22"/>
                <w:szCs w:val="22"/>
                <w:lang w:bidi="ar"/>
              </w:rPr>
            </w:pPr>
          </w:p>
          <w:p w14:paraId="0418494A">
            <w:pPr>
              <w:widowControl/>
              <w:spacing w:before="100" w:beforeAutospacing="1" w:after="100" w:afterAutospacing="1"/>
              <w:jc w:val="center"/>
              <w:rPr>
                <w:rFonts w:hint="default" w:ascii="Times New Roman" w:hAnsi="Times New Roman" w:cs="Times New Roman"/>
                <w:kern w:val="0"/>
                <w:sz w:val="22"/>
                <w:szCs w:val="22"/>
                <w:lang w:bidi="ar"/>
              </w:rPr>
            </w:pPr>
          </w:p>
          <w:p w14:paraId="0A97E760">
            <w:pPr>
              <w:widowControl/>
              <w:spacing w:before="100" w:beforeAutospacing="1" w:after="100" w:afterAutospacing="1"/>
              <w:jc w:val="center"/>
              <w:rPr>
                <w:rFonts w:hint="default" w:ascii="Times New Roman" w:hAnsi="Times New Roman" w:cs="Times New Roman"/>
                <w:kern w:val="0"/>
                <w:sz w:val="22"/>
                <w:szCs w:val="22"/>
                <w:lang w:bidi="ar"/>
              </w:rPr>
            </w:pPr>
          </w:p>
          <w:p w14:paraId="04C1506E">
            <w:pPr>
              <w:widowControl/>
              <w:spacing w:before="100" w:beforeAutospacing="1" w:after="100" w:afterAutospacing="1"/>
              <w:jc w:val="center"/>
              <w:rPr>
                <w:rFonts w:hint="default" w:ascii="Times New Roman" w:hAnsi="Times New Roman" w:cs="Times New Roman"/>
                <w:kern w:val="0"/>
                <w:sz w:val="22"/>
                <w:szCs w:val="22"/>
                <w:lang w:bidi="ar"/>
              </w:rPr>
            </w:pPr>
          </w:p>
          <w:p w14:paraId="15019CFF">
            <w:pPr>
              <w:widowControl/>
              <w:spacing w:before="100" w:beforeAutospacing="1" w:after="100" w:afterAutospacing="1"/>
              <w:jc w:val="center"/>
              <w:rPr>
                <w:rFonts w:hint="default" w:ascii="Times New Roman" w:hAnsi="Times New Roman" w:cs="Times New Roman"/>
                <w:kern w:val="0"/>
                <w:sz w:val="22"/>
                <w:szCs w:val="22"/>
                <w:lang w:bidi="ar"/>
              </w:rPr>
            </w:pPr>
          </w:p>
          <w:p w14:paraId="5C7B49F0">
            <w:pPr>
              <w:widowControl/>
              <w:spacing w:before="100" w:beforeAutospacing="1" w:after="100" w:afterAutospacing="1"/>
              <w:jc w:val="center"/>
              <w:rPr>
                <w:rFonts w:hint="default" w:ascii="Times New Roman" w:hAnsi="Times New Roman" w:cs="Times New Roman"/>
                <w:kern w:val="0"/>
                <w:sz w:val="22"/>
                <w:szCs w:val="22"/>
                <w:lang w:bidi="ar"/>
              </w:rPr>
            </w:pPr>
          </w:p>
          <w:p w14:paraId="7460D5CC">
            <w:pPr>
              <w:widowControl/>
              <w:spacing w:before="100" w:beforeAutospacing="1" w:after="100" w:afterAutospacing="1"/>
              <w:jc w:val="center"/>
              <w:rPr>
                <w:rFonts w:hint="default" w:ascii="Times New Roman" w:hAnsi="Times New Roman" w:cs="Times New Roman"/>
                <w:kern w:val="0"/>
                <w:sz w:val="22"/>
                <w:szCs w:val="22"/>
                <w:lang w:bidi="ar"/>
              </w:rPr>
            </w:pPr>
          </w:p>
          <w:p w14:paraId="41EA1594">
            <w:pPr>
              <w:widowControl/>
              <w:spacing w:before="100" w:beforeAutospacing="1" w:after="100" w:afterAutospacing="1"/>
              <w:jc w:val="center"/>
              <w:rPr>
                <w:rFonts w:hint="default" w:ascii="Times New Roman" w:hAnsi="Times New Roman" w:cs="Times New Roman"/>
                <w:kern w:val="0"/>
                <w:sz w:val="22"/>
                <w:szCs w:val="22"/>
                <w:lang w:bidi="ar"/>
              </w:rPr>
            </w:pPr>
          </w:p>
          <w:p w14:paraId="2B55685C">
            <w:pPr>
              <w:widowControl/>
              <w:spacing w:before="100" w:beforeAutospacing="1" w:after="100" w:afterAutospacing="1"/>
              <w:jc w:val="both"/>
              <w:rPr>
                <w:rFonts w:hint="default" w:ascii="Times New Roman" w:hAnsi="Times New Roman" w:cs="Times New Roman"/>
                <w:kern w:val="0"/>
                <w:sz w:val="22"/>
                <w:szCs w:val="22"/>
                <w:lang w:bidi="ar"/>
              </w:rPr>
            </w:pPr>
            <w:r>
              <w:rPr>
                <w:rFonts w:hint="default" w:ascii="Times New Roman" w:hAnsi="Times New Roman" w:cs="Times New Roman"/>
                <w:kern w:val="0"/>
                <w:sz w:val="22"/>
                <w:szCs w:val="22"/>
                <w:lang w:bidi="ar"/>
              </w:rPr>
              <w:t>2.2.2（</w:t>
            </w:r>
            <w:r>
              <w:rPr>
                <w:rFonts w:hint="eastAsia" w:ascii="Times New Roman" w:hAnsi="Times New Roman" w:cs="Times New Roman"/>
                <w:kern w:val="0"/>
                <w:sz w:val="22"/>
                <w:szCs w:val="22"/>
                <w:lang w:val="en-US" w:eastAsia="zh-CN" w:bidi="ar"/>
              </w:rPr>
              <w:t>4</w:t>
            </w:r>
            <w:r>
              <w:rPr>
                <w:rFonts w:hint="default" w:ascii="Times New Roman" w:hAnsi="Times New Roman" w:cs="Times New Roman"/>
                <w:kern w:val="0"/>
                <w:sz w:val="22"/>
                <w:szCs w:val="22"/>
                <w:lang w:bidi="ar"/>
              </w:rPr>
              <w:t>）</w:t>
            </w:r>
          </w:p>
        </w:tc>
        <w:tc>
          <w:tcPr>
            <w:tcW w:w="1169" w:type="dxa"/>
            <w:vMerge w:val="restart"/>
            <w:tcBorders>
              <w:tl2br w:val="nil"/>
              <w:tr2bl w:val="nil"/>
            </w:tcBorders>
            <w:noWrap w:val="0"/>
            <w:vAlign w:val="center"/>
          </w:tcPr>
          <w:p w14:paraId="2D171E16">
            <w:pPr>
              <w:widowControl/>
              <w:spacing w:beforeAutospacing="0" w:after="100" w:afterAutospacing="1"/>
              <w:jc w:val="center"/>
              <w:rPr>
                <w:rFonts w:hint="eastAsia" w:ascii="宋体" w:hAnsi="宋体"/>
                <w:color w:val="auto"/>
                <w:szCs w:val="21"/>
                <w:highlight w:val="none"/>
              </w:rPr>
            </w:pPr>
          </w:p>
          <w:p w14:paraId="4BC2A006">
            <w:pPr>
              <w:widowControl/>
              <w:spacing w:beforeAutospacing="0" w:after="100" w:afterAutospacing="1"/>
              <w:jc w:val="center"/>
              <w:rPr>
                <w:rFonts w:hint="eastAsia" w:ascii="宋体" w:hAnsi="宋体"/>
                <w:color w:val="auto"/>
                <w:szCs w:val="21"/>
                <w:highlight w:val="none"/>
              </w:rPr>
            </w:pPr>
          </w:p>
          <w:p w14:paraId="6FFE9C7E">
            <w:pPr>
              <w:widowControl/>
              <w:spacing w:beforeAutospacing="0" w:after="100" w:afterAutospacing="1"/>
              <w:jc w:val="center"/>
              <w:rPr>
                <w:rFonts w:hint="eastAsia" w:ascii="宋体" w:hAnsi="宋体"/>
                <w:color w:val="auto"/>
                <w:szCs w:val="21"/>
                <w:highlight w:val="none"/>
              </w:rPr>
            </w:pPr>
          </w:p>
          <w:p w14:paraId="3100C418">
            <w:pPr>
              <w:widowControl/>
              <w:spacing w:beforeAutospacing="0" w:after="100" w:afterAutospacing="1"/>
              <w:jc w:val="center"/>
              <w:rPr>
                <w:rFonts w:hint="eastAsia" w:ascii="宋体" w:hAnsi="宋体"/>
                <w:color w:val="auto"/>
                <w:szCs w:val="21"/>
                <w:highlight w:val="none"/>
              </w:rPr>
            </w:pPr>
          </w:p>
          <w:p w14:paraId="04B0A8C3">
            <w:pPr>
              <w:widowControl/>
              <w:spacing w:beforeAutospacing="0" w:after="100" w:afterAutospacing="1"/>
              <w:jc w:val="center"/>
              <w:rPr>
                <w:rFonts w:hint="eastAsia" w:ascii="宋体" w:hAnsi="宋体"/>
                <w:color w:val="auto"/>
                <w:szCs w:val="21"/>
                <w:highlight w:val="none"/>
              </w:rPr>
            </w:pPr>
          </w:p>
          <w:p w14:paraId="04206ACA">
            <w:pPr>
              <w:widowControl/>
              <w:spacing w:beforeAutospacing="0" w:after="100" w:afterAutospacing="1"/>
              <w:jc w:val="center"/>
              <w:rPr>
                <w:rFonts w:hint="eastAsia" w:ascii="宋体" w:hAnsi="宋体"/>
                <w:color w:val="auto"/>
                <w:szCs w:val="21"/>
                <w:highlight w:val="none"/>
              </w:rPr>
            </w:pPr>
          </w:p>
          <w:p w14:paraId="3807F52A">
            <w:pPr>
              <w:widowControl/>
              <w:spacing w:beforeAutospacing="0" w:after="100" w:afterAutospacing="1"/>
              <w:jc w:val="center"/>
              <w:rPr>
                <w:rFonts w:hint="eastAsia" w:ascii="宋体" w:hAnsi="宋体"/>
                <w:color w:val="auto"/>
                <w:szCs w:val="21"/>
                <w:highlight w:val="none"/>
              </w:rPr>
            </w:pPr>
          </w:p>
          <w:p w14:paraId="07729F91">
            <w:pPr>
              <w:widowControl/>
              <w:spacing w:beforeAutospacing="0" w:after="100" w:afterAutospacing="1"/>
              <w:jc w:val="center"/>
              <w:rPr>
                <w:rFonts w:hint="eastAsia" w:ascii="宋体" w:hAnsi="宋体"/>
                <w:color w:val="auto"/>
                <w:szCs w:val="21"/>
                <w:highlight w:val="none"/>
              </w:rPr>
            </w:pPr>
          </w:p>
          <w:p w14:paraId="71510B6C">
            <w:pPr>
              <w:widowControl/>
              <w:spacing w:beforeAutospacing="0" w:after="100" w:afterAutospacing="1"/>
              <w:jc w:val="center"/>
              <w:rPr>
                <w:rFonts w:hint="eastAsia" w:ascii="宋体" w:hAnsi="宋体"/>
                <w:color w:val="auto"/>
                <w:szCs w:val="21"/>
                <w:highlight w:val="none"/>
              </w:rPr>
            </w:pPr>
          </w:p>
          <w:p w14:paraId="6BFFD346">
            <w:pPr>
              <w:widowControl/>
              <w:spacing w:beforeAutospacing="0" w:after="100" w:afterAutospacing="1"/>
              <w:jc w:val="center"/>
              <w:rPr>
                <w:rFonts w:hint="eastAsia" w:ascii="宋体" w:hAnsi="宋体"/>
                <w:color w:val="auto"/>
                <w:szCs w:val="21"/>
                <w:highlight w:val="none"/>
              </w:rPr>
            </w:pPr>
          </w:p>
          <w:p w14:paraId="53044A7A">
            <w:pPr>
              <w:widowControl/>
              <w:spacing w:beforeAutospacing="0" w:after="100" w:afterAutospacing="1"/>
              <w:jc w:val="both"/>
              <w:rPr>
                <w:rFonts w:hint="eastAsia" w:ascii="宋体" w:hAnsi="宋体"/>
                <w:color w:val="auto"/>
                <w:szCs w:val="21"/>
                <w:highlight w:val="none"/>
              </w:rPr>
            </w:pPr>
          </w:p>
          <w:p w14:paraId="64093629">
            <w:pPr>
              <w:pStyle w:val="4"/>
              <w:rPr>
                <w:rFonts w:hint="eastAsia"/>
              </w:rPr>
            </w:pPr>
          </w:p>
          <w:p w14:paraId="2B047D1C">
            <w:pPr>
              <w:widowControl/>
              <w:spacing w:beforeAutospacing="0" w:after="100" w:afterAutospacing="1"/>
              <w:jc w:val="center"/>
              <w:rPr>
                <w:rFonts w:hint="default" w:ascii="Times New Roman" w:hAnsi="Times New Roman" w:cs="Times New Roman"/>
                <w:kern w:val="0"/>
                <w:sz w:val="22"/>
                <w:szCs w:val="22"/>
                <w:lang w:bidi="ar"/>
              </w:rPr>
            </w:pPr>
            <w:r>
              <w:rPr>
                <w:rFonts w:hint="eastAsia" w:ascii="宋体" w:hAnsi="宋体"/>
                <w:color w:val="auto"/>
                <w:szCs w:val="21"/>
                <w:highlight w:val="none"/>
              </w:rPr>
              <w:t>施工组织设计</w:t>
            </w:r>
          </w:p>
        </w:tc>
        <w:tc>
          <w:tcPr>
            <w:tcW w:w="519" w:type="dxa"/>
            <w:vMerge w:val="restart"/>
            <w:tcBorders>
              <w:tl2br w:val="nil"/>
              <w:tr2bl w:val="nil"/>
            </w:tcBorders>
            <w:noWrap w:val="0"/>
            <w:vAlign w:val="center"/>
          </w:tcPr>
          <w:p w14:paraId="06946A8C">
            <w:pPr>
              <w:spacing w:line="0" w:lineRule="atLeast"/>
              <w:jc w:val="center"/>
              <w:rPr>
                <w:rFonts w:hint="eastAsia" w:ascii="宋体" w:hAnsi="宋体" w:eastAsia="宋体"/>
                <w:color w:val="auto"/>
                <w:szCs w:val="21"/>
                <w:highlight w:val="none"/>
                <w:lang w:val="en-US" w:eastAsia="zh-CN"/>
              </w:rPr>
            </w:pPr>
          </w:p>
          <w:p w14:paraId="681EE08D">
            <w:pPr>
              <w:spacing w:line="0" w:lineRule="atLeast"/>
              <w:jc w:val="center"/>
              <w:rPr>
                <w:rFonts w:hint="eastAsia" w:ascii="宋体" w:hAnsi="宋体" w:eastAsia="宋体"/>
                <w:color w:val="auto"/>
                <w:szCs w:val="21"/>
                <w:highlight w:val="none"/>
                <w:lang w:val="en-US" w:eastAsia="zh-CN"/>
              </w:rPr>
            </w:pPr>
          </w:p>
          <w:p w14:paraId="6769AE58">
            <w:pPr>
              <w:spacing w:line="0" w:lineRule="atLeast"/>
              <w:jc w:val="center"/>
              <w:rPr>
                <w:rFonts w:hint="eastAsia" w:ascii="宋体" w:hAnsi="宋体" w:eastAsia="宋体"/>
                <w:color w:val="auto"/>
                <w:szCs w:val="21"/>
                <w:highlight w:val="none"/>
                <w:lang w:val="en-US" w:eastAsia="zh-CN"/>
              </w:rPr>
            </w:pPr>
          </w:p>
          <w:p w14:paraId="597D55AD">
            <w:pPr>
              <w:spacing w:line="0" w:lineRule="atLeast"/>
              <w:jc w:val="center"/>
              <w:rPr>
                <w:rFonts w:hint="eastAsia" w:ascii="宋体" w:hAnsi="宋体" w:eastAsia="宋体"/>
                <w:color w:val="auto"/>
                <w:szCs w:val="21"/>
                <w:highlight w:val="none"/>
                <w:lang w:val="en-US" w:eastAsia="zh-CN"/>
              </w:rPr>
            </w:pPr>
          </w:p>
          <w:p w14:paraId="1277C6C9">
            <w:pPr>
              <w:spacing w:line="0" w:lineRule="atLeast"/>
              <w:jc w:val="center"/>
              <w:rPr>
                <w:rFonts w:hint="eastAsia" w:ascii="宋体" w:hAnsi="宋体" w:eastAsia="宋体"/>
                <w:color w:val="auto"/>
                <w:szCs w:val="21"/>
                <w:highlight w:val="none"/>
                <w:lang w:val="en-US" w:eastAsia="zh-CN"/>
              </w:rPr>
            </w:pPr>
          </w:p>
          <w:p w14:paraId="5879F791">
            <w:pPr>
              <w:spacing w:line="0" w:lineRule="atLeast"/>
              <w:jc w:val="center"/>
              <w:rPr>
                <w:rFonts w:hint="eastAsia" w:ascii="宋体" w:hAnsi="宋体" w:eastAsia="宋体"/>
                <w:color w:val="auto"/>
                <w:szCs w:val="21"/>
                <w:highlight w:val="none"/>
                <w:lang w:val="en-US" w:eastAsia="zh-CN"/>
              </w:rPr>
            </w:pPr>
          </w:p>
          <w:p w14:paraId="72B53FE0">
            <w:pPr>
              <w:spacing w:line="0" w:lineRule="atLeast"/>
              <w:jc w:val="center"/>
              <w:rPr>
                <w:rFonts w:hint="eastAsia" w:ascii="宋体" w:hAnsi="宋体" w:eastAsia="宋体"/>
                <w:color w:val="auto"/>
                <w:szCs w:val="21"/>
                <w:highlight w:val="none"/>
                <w:lang w:val="en-US" w:eastAsia="zh-CN"/>
              </w:rPr>
            </w:pPr>
          </w:p>
          <w:p w14:paraId="01413B9A">
            <w:pPr>
              <w:spacing w:line="0" w:lineRule="atLeast"/>
              <w:jc w:val="center"/>
              <w:rPr>
                <w:rFonts w:hint="eastAsia" w:ascii="宋体" w:hAnsi="宋体" w:eastAsia="宋体"/>
                <w:color w:val="auto"/>
                <w:szCs w:val="21"/>
                <w:highlight w:val="none"/>
                <w:lang w:val="en-US" w:eastAsia="zh-CN"/>
              </w:rPr>
            </w:pPr>
          </w:p>
          <w:p w14:paraId="2BB6D7E0">
            <w:pPr>
              <w:spacing w:line="0" w:lineRule="atLeast"/>
              <w:jc w:val="center"/>
              <w:rPr>
                <w:rFonts w:hint="eastAsia" w:ascii="宋体" w:hAnsi="宋体" w:eastAsia="宋体"/>
                <w:color w:val="auto"/>
                <w:szCs w:val="21"/>
                <w:highlight w:val="none"/>
                <w:lang w:val="en-US" w:eastAsia="zh-CN"/>
              </w:rPr>
            </w:pPr>
          </w:p>
          <w:p w14:paraId="158F2A2F">
            <w:pPr>
              <w:spacing w:line="0" w:lineRule="atLeast"/>
              <w:jc w:val="center"/>
              <w:rPr>
                <w:rFonts w:hint="eastAsia" w:ascii="宋体" w:hAnsi="宋体" w:eastAsia="宋体"/>
                <w:color w:val="auto"/>
                <w:szCs w:val="21"/>
                <w:highlight w:val="none"/>
                <w:lang w:val="en-US" w:eastAsia="zh-CN"/>
              </w:rPr>
            </w:pPr>
          </w:p>
          <w:p w14:paraId="1E180115">
            <w:pPr>
              <w:spacing w:line="0" w:lineRule="atLeast"/>
              <w:jc w:val="center"/>
              <w:rPr>
                <w:rFonts w:hint="eastAsia" w:ascii="宋体" w:hAnsi="宋体" w:eastAsia="宋体"/>
                <w:color w:val="auto"/>
                <w:szCs w:val="21"/>
                <w:highlight w:val="none"/>
                <w:lang w:val="en-US" w:eastAsia="zh-CN"/>
              </w:rPr>
            </w:pPr>
          </w:p>
          <w:p w14:paraId="33850A18">
            <w:pPr>
              <w:spacing w:line="0" w:lineRule="atLeast"/>
              <w:jc w:val="center"/>
              <w:rPr>
                <w:rFonts w:hint="eastAsia" w:ascii="宋体" w:hAnsi="宋体" w:eastAsia="宋体"/>
                <w:color w:val="auto"/>
                <w:szCs w:val="21"/>
                <w:highlight w:val="none"/>
                <w:lang w:val="en-US" w:eastAsia="zh-CN"/>
              </w:rPr>
            </w:pPr>
          </w:p>
          <w:p w14:paraId="34DE6B2B">
            <w:pPr>
              <w:spacing w:line="0" w:lineRule="atLeast"/>
              <w:jc w:val="center"/>
              <w:rPr>
                <w:rFonts w:hint="eastAsia" w:ascii="宋体" w:hAnsi="宋体" w:eastAsia="宋体"/>
                <w:color w:val="auto"/>
                <w:szCs w:val="21"/>
                <w:highlight w:val="none"/>
                <w:lang w:val="en-US" w:eastAsia="zh-CN"/>
              </w:rPr>
            </w:pPr>
          </w:p>
          <w:p w14:paraId="0DDA5247">
            <w:pPr>
              <w:spacing w:line="0" w:lineRule="atLeast"/>
              <w:jc w:val="center"/>
              <w:rPr>
                <w:rFonts w:hint="eastAsia" w:ascii="宋体" w:hAnsi="宋体" w:eastAsia="宋体"/>
                <w:color w:val="auto"/>
                <w:szCs w:val="21"/>
                <w:highlight w:val="none"/>
                <w:lang w:val="en-US" w:eastAsia="zh-CN"/>
              </w:rPr>
            </w:pPr>
          </w:p>
          <w:p w14:paraId="6371B18B">
            <w:pPr>
              <w:spacing w:line="0" w:lineRule="atLeast"/>
              <w:jc w:val="center"/>
              <w:rPr>
                <w:rFonts w:hint="eastAsia" w:ascii="宋体" w:hAnsi="宋体" w:eastAsia="宋体"/>
                <w:color w:val="auto"/>
                <w:szCs w:val="21"/>
                <w:highlight w:val="none"/>
                <w:lang w:val="en-US" w:eastAsia="zh-CN"/>
              </w:rPr>
            </w:pPr>
          </w:p>
          <w:p w14:paraId="2A9E0969">
            <w:pPr>
              <w:spacing w:line="0" w:lineRule="atLeast"/>
              <w:jc w:val="center"/>
              <w:rPr>
                <w:rFonts w:hint="eastAsia" w:ascii="宋体" w:hAnsi="宋体" w:eastAsia="宋体"/>
                <w:color w:val="auto"/>
                <w:szCs w:val="21"/>
                <w:highlight w:val="none"/>
                <w:lang w:val="en-US" w:eastAsia="zh-CN"/>
              </w:rPr>
            </w:pPr>
          </w:p>
          <w:p w14:paraId="7F9EE49F">
            <w:pPr>
              <w:spacing w:line="0" w:lineRule="atLeast"/>
              <w:jc w:val="center"/>
              <w:rPr>
                <w:rFonts w:hint="eastAsia" w:ascii="宋体" w:hAnsi="宋体" w:eastAsia="宋体"/>
                <w:color w:val="auto"/>
                <w:szCs w:val="21"/>
                <w:highlight w:val="none"/>
                <w:lang w:val="en-US" w:eastAsia="zh-CN"/>
              </w:rPr>
            </w:pPr>
          </w:p>
          <w:p w14:paraId="39798934">
            <w:pPr>
              <w:spacing w:line="0" w:lineRule="atLeast"/>
              <w:jc w:val="center"/>
              <w:rPr>
                <w:rFonts w:hint="eastAsia" w:ascii="宋体" w:hAnsi="宋体" w:eastAsia="宋体"/>
                <w:color w:val="auto"/>
                <w:szCs w:val="21"/>
                <w:highlight w:val="none"/>
                <w:lang w:val="en-US" w:eastAsia="zh-CN"/>
              </w:rPr>
            </w:pPr>
          </w:p>
          <w:p w14:paraId="66BEEA1E">
            <w:pPr>
              <w:spacing w:line="0" w:lineRule="atLeast"/>
              <w:jc w:val="center"/>
              <w:rPr>
                <w:rFonts w:hint="eastAsia" w:ascii="宋体" w:hAnsi="宋体" w:eastAsia="宋体"/>
                <w:color w:val="auto"/>
                <w:szCs w:val="21"/>
                <w:highlight w:val="none"/>
                <w:lang w:val="en-US" w:eastAsia="zh-CN"/>
              </w:rPr>
            </w:pPr>
          </w:p>
          <w:p w14:paraId="5D945A7F">
            <w:pPr>
              <w:spacing w:line="0" w:lineRule="atLeast"/>
              <w:jc w:val="center"/>
              <w:rPr>
                <w:rFonts w:hint="eastAsia" w:ascii="宋体" w:hAnsi="宋体" w:eastAsia="宋体"/>
                <w:color w:val="auto"/>
                <w:szCs w:val="21"/>
                <w:highlight w:val="none"/>
                <w:lang w:val="en-US" w:eastAsia="zh-CN"/>
              </w:rPr>
            </w:pPr>
          </w:p>
          <w:p w14:paraId="04649E9E">
            <w:pPr>
              <w:spacing w:line="0" w:lineRule="atLeast"/>
              <w:jc w:val="center"/>
              <w:rPr>
                <w:rFonts w:hint="eastAsia" w:ascii="宋体" w:hAnsi="宋体" w:eastAsia="宋体"/>
                <w:color w:val="auto"/>
                <w:szCs w:val="21"/>
                <w:highlight w:val="none"/>
                <w:lang w:val="en-US" w:eastAsia="zh-CN"/>
              </w:rPr>
            </w:pPr>
          </w:p>
          <w:p w14:paraId="0C2CE096">
            <w:pPr>
              <w:spacing w:line="0" w:lineRule="atLeast"/>
              <w:jc w:val="center"/>
              <w:rPr>
                <w:rFonts w:hint="eastAsia" w:ascii="宋体" w:hAnsi="宋体" w:eastAsia="宋体"/>
                <w:color w:val="auto"/>
                <w:szCs w:val="21"/>
                <w:highlight w:val="none"/>
                <w:lang w:val="en-US" w:eastAsia="zh-CN"/>
              </w:rPr>
            </w:pPr>
          </w:p>
          <w:p w14:paraId="4B80F64F">
            <w:pPr>
              <w:spacing w:line="0" w:lineRule="atLeast"/>
              <w:jc w:val="center"/>
              <w:rPr>
                <w:rFonts w:hint="eastAsia" w:ascii="宋体" w:hAnsi="宋体" w:eastAsia="宋体"/>
                <w:color w:val="auto"/>
                <w:szCs w:val="21"/>
                <w:highlight w:val="none"/>
                <w:lang w:val="en-US" w:eastAsia="zh-CN"/>
              </w:rPr>
            </w:pPr>
          </w:p>
          <w:p w14:paraId="06C0DFBE">
            <w:pPr>
              <w:spacing w:line="0" w:lineRule="atLeast"/>
              <w:jc w:val="both"/>
              <w:rPr>
                <w:rFonts w:hint="eastAsia" w:ascii="宋体" w:hAnsi="宋体" w:eastAsia="宋体"/>
                <w:color w:val="auto"/>
                <w:szCs w:val="21"/>
                <w:highlight w:val="none"/>
                <w:lang w:val="en-US" w:eastAsia="zh-CN"/>
              </w:rPr>
            </w:pPr>
          </w:p>
          <w:p w14:paraId="4ABD2B2A">
            <w:pPr>
              <w:spacing w:line="0" w:lineRule="atLeast"/>
              <w:jc w:val="center"/>
              <w:rPr>
                <w:rFonts w:hint="eastAsia" w:ascii="Times New Roman" w:hAnsi="Times New Roman" w:eastAsia="宋体" w:cs="Times New Roman"/>
                <w:sz w:val="22"/>
                <w:szCs w:val="22"/>
                <w:lang w:val="en-US" w:eastAsia="zh-CN"/>
              </w:rPr>
            </w:pPr>
            <w:r>
              <w:rPr>
                <w:rFonts w:hint="eastAsia" w:ascii="宋体" w:hAnsi="宋体" w:eastAsia="宋体"/>
                <w:color w:val="auto"/>
                <w:szCs w:val="21"/>
                <w:highlight w:val="none"/>
                <w:lang w:val="en-US" w:eastAsia="zh-CN"/>
              </w:rPr>
              <w:t>40</w:t>
            </w:r>
            <w:r>
              <w:rPr>
                <w:rFonts w:hint="eastAsia" w:ascii="宋体" w:hAnsi="宋体"/>
                <w:color w:val="auto"/>
                <w:szCs w:val="21"/>
                <w:highlight w:val="none"/>
                <w:lang w:val="en-US" w:eastAsia="zh-CN"/>
              </w:rPr>
              <w:t>分</w:t>
            </w:r>
          </w:p>
        </w:tc>
        <w:tc>
          <w:tcPr>
            <w:tcW w:w="1039" w:type="dxa"/>
            <w:vMerge w:val="restart"/>
            <w:tcBorders>
              <w:tl2br w:val="nil"/>
              <w:tr2bl w:val="nil"/>
            </w:tcBorders>
            <w:noWrap w:val="0"/>
            <w:vAlign w:val="center"/>
          </w:tcPr>
          <w:p w14:paraId="40170DF8">
            <w:pPr>
              <w:widowControl/>
              <w:jc w:val="center"/>
              <w:rPr>
                <w:rFonts w:hint="eastAsia" w:ascii="Arial" w:hAnsi="Arial" w:cs="Arial"/>
                <w:bCs/>
                <w:color w:val="auto"/>
                <w:kern w:val="0"/>
                <w:szCs w:val="21"/>
                <w:highlight w:val="none"/>
              </w:rPr>
            </w:pPr>
          </w:p>
          <w:p w14:paraId="447B4074">
            <w:pPr>
              <w:widowControl/>
              <w:jc w:val="center"/>
              <w:rPr>
                <w:rFonts w:hint="eastAsia" w:ascii="Arial" w:hAnsi="Arial" w:cs="Arial"/>
                <w:bCs/>
                <w:color w:val="auto"/>
                <w:kern w:val="0"/>
                <w:szCs w:val="21"/>
                <w:highlight w:val="none"/>
              </w:rPr>
            </w:pPr>
          </w:p>
          <w:p w14:paraId="712F21EF">
            <w:pPr>
              <w:widowControl/>
              <w:jc w:val="center"/>
              <w:rPr>
                <w:rFonts w:hint="eastAsia" w:ascii="Arial" w:hAnsi="Arial" w:cs="Arial"/>
                <w:bCs/>
                <w:color w:val="auto"/>
                <w:kern w:val="0"/>
                <w:szCs w:val="21"/>
                <w:highlight w:val="none"/>
              </w:rPr>
            </w:pPr>
          </w:p>
          <w:p w14:paraId="5CA43B66">
            <w:pPr>
              <w:widowControl/>
              <w:jc w:val="center"/>
              <w:rPr>
                <w:rFonts w:hint="eastAsia" w:ascii="Arial" w:hAnsi="Arial" w:cs="Arial"/>
                <w:bCs/>
                <w:color w:val="auto"/>
                <w:kern w:val="0"/>
                <w:szCs w:val="21"/>
                <w:highlight w:val="none"/>
              </w:rPr>
            </w:pPr>
          </w:p>
          <w:p w14:paraId="5C42A050">
            <w:pPr>
              <w:widowControl/>
              <w:jc w:val="center"/>
              <w:rPr>
                <w:rFonts w:hint="eastAsia" w:ascii="Arial" w:hAnsi="Arial" w:cs="Arial"/>
                <w:bCs/>
                <w:color w:val="auto"/>
                <w:kern w:val="0"/>
                <w:szCs w:val="21"/>
                <w:highlight w:val="none"/>
              </w:rPr>
            </w:pPr>
          </w:p>
          <w:p w14:paraId="18F13786">
            <w:pPr>
              <w:widowControl/>
              <w:jc w:val="center"/>
              <w:rPr>
                <w:rFonts w:hint="eastAsia" w:ascii="Arial" w:hAnsi="Arial" w:cs="Arial"/>
                <w:bCs/>
                <w:color w:val="auto"/>
                <w:kern w:val="0"/>
                <w:szCs w:val="21"/>
                <w:highlight w:val="none"/>
              </w:rPr>
            </w:pPr>
          </w:p>
          <w:p w14:paraId="7A6CEB2D">
            <w:pPr>
              <w:widowControl/>
              <w:jc w:val="center"/>
              <w:rPr>
                <w:rFonts w:hint="eastAsia" w:ascii="Arial" w:hAnsi="Arial" w:cs="Arial"/>
                <w:bCs/>
                <w:color w:val="auto"/>
                <w:kern w:val="0"/>
                <w:szCs w:val="21"/>
                <w:highlight w:val="none"/>
              </w:rPr>
            </w:pPr>
          </w:p>
          <w:p w14:paraId="56C140D3">
            <w:pPr>
              <w:widowControl/>
              <w:jc w:val="center"/>
              <w:rPr>
                <w:rFonts w:hint="eastAsia" w:ascii="Arial" w:hAnsi="Arial" w:cs="Arial"/>
                <w:bCs/>
                <w:color w:val="auto"/>
                <w:kern w:val="0"/>
                <w:szCs w:val="21"/>
                <w:highlight w:val="none"/>
              </w:rPr>
            </w:pPr>
          </w:p>
          <w:p w14:paraId="5A9A0BFC">
            <w:pPr>
              <w:widowControl/>
              <w:jc w:val="center"/>
              <w:rPr>
                <w:rFonts w:hint="eastAsia" w:ascii="Arial" w:hAnsi="Arial" w:cs="Arial"/>
                <w:bCs/>
                <w:color w:val="auto"/>
                <w:kern w:val="0"/>
                <w:szCs w:val="21"/>
                <w:highlight w:val="none"/>
              </w:rPr>
            </w:pPr>
          </w:p>
          <w:p w14:paraId="30E74224">
            <w:pPr>
              <w:widowControl/>
              <w:jc w:val="center"/>
              <w:rPr>
                <w:rFonts w:hint="eastAsia" w:ascii="Arial" w:hAnsi="Arial" w:cs="Arial"/>
                <w:bCs/>
                <w:color w:val="auto"/>
                <w:kern w:val="0"/>
                <w:szCs w:val="21"/>
                <w:highlight w:val="none"/>
              </w:rPr>
            </w:pPr>
          </w:p>
          <w:p w14:paraId="04F2FF70">
            <w:pPr>
              <w:widowControl/>
              <w:jc w:val="center"/>
              <w:rPr>
                <w:rFonts w:hint="eastAsia" w:ascii="Arial" w:hAnsi="Arial" w:cs="Arial"/>
                <w:bCs/>
                <w:color w:val="auto"/>
                <w:kern w:val="0"/>
                <w:szCs w:val="21"/>
                <w:highlight w:val="none"/>
              </w:rPr>
            </w:pPr>
          </w:p>
          <w:p w14:paraId="6084F154">
            <w:pPr>
              <w:widowControl/>
              <w:jc w:val="center"/>
              <w:rPr>
                <w:rFonts w:hint="eastAsia" w:ascii="Arial" w:hAnsi="Arial" w:cs="Arial"/>
                <w:bCs/>
                <w:color w:val="auto"/>
                <w:kern w:val="0"/>
                <w:szCs w:val="21"/>
                <w:highlight w:val="none"/>
              </w:rPr>
            </w:pPr>
          </w:p>
          <w:p w14:paraId="5BFEC900">
            <w:pPr>
              <w:widowControl/>
              <w:jc w:val="center"/>
              <w:rPr>
                <w:rFonts w:hint="eastAsia" w:ascii="Arial" w:hAnsi="Arial" w:cs="Arial"/>
                <w:bCs/>
                <w:color w:val="auto"/>
                <w:kern w:val="0"/>
                <w:szCs w:val="21"/>
                <w:highlight w:val="none"/>
              </w:rPr>
            </w:pPr>
          </w:p>
          <w:p w14:paraId="15AC5A6C">
            <w:pPr>
              <w:widowControl/>
              <w:jc w:val="center"/>
              <w:rPr>
                <w:rFonts w:hint="eastAsia" w:ascii="Arial" w:hAnsi="Arial" w:cs="Arial"/>
                <w:bCs/>
                <w:color w:val="auto"/>
                <w:kern w:val="0"/>
                <w:szCs w:val="21"/>
                <w:highlight w:val="none"/>
              </w:rPr>
            </w:pPr>
          </w:p>
          <w:p w14:paraId="5ECC4007">
            <w:pPr>
              <w:widowControl/>
              <w:jc w:val="center"/>
              <w:rPr>
                <w:rFonts w:hint="eastAsia" w:ascii="Arial" w:hAnsi="Arial" w:cs="Arial"/>
                <w:bCs/>
                <w:color w:val="auto"/>
                <w:kern w:val="0"/>
                <w:szCs w:val="21"/>
                <w:highlight w:val="none"/>
              </w:rPr>
            </w:pPr>
          </w:p>
          <w:p w14:paraId="2EEFE17E">
            <w:pPr>
              <w:widowControl/>
              <w:jc w:val="center"/>
              <w:rPr>
                <w:rFonts w:hint="eastAsia" w:ascii="Arial" w:hAnsi="Arial" w:cs="Arial"/>
                <w:bCs/>
                <w:color w:val="auto"/>
                <w:kern w:val="0"/>
                <w:szCs w:val="21"/>
                <w:highlight w:val="none"/>
              </w:rPr>
            </w:pPr>
          </w:p>
          <w:p w14:paraId="057716CC">
            <w:pPr>
              <w:widowControl/>
              <w:jc w:val="center"/>
              <w:rPr>
                <w:rFonts w:hint="eastAsia" w:ascii="Arial" w:hAnsi="Arial" w:cs="Arial"/>
                <w:bCs/>
                <w:color w:val="auto"/>
                <w:kern w:val="0"/>
                <w:szCs w:val="21"/>
                <w:highlight w:val="none"/>
              </w:rPr>
            </w:pPr>
          </w:p>
          <w:p w14:paraId="6C1711A6">
            <w:pPr>
              <w:widowControl/>
              <w:jc w:val="center"/>
              <w:rPr>
                <w:rFonts w:hint="eastAsia" w:ascii="Arial" w:hAnsi="Arial" w:cs="Arial"/>
                <w:bCs/>
                <w:color w:val="auto"/>
                <w:kern w:val="0"/>
                <w:szCs w:val="21"/>
                <w:highlight w:val="none"/>
              </w:rPr>
            </w:pPr>
          </w:p>
          <w:p w14:paraId="148FC2D6">
            <w:pPr>
              <w:widowControl/>
              <w:jc w:val="center"/>
              <w:rPr>
                <w:rFonts w:hint="eastAsia" w:ascii="Arial" w:hAnsi="Arial" w:cs="Arial"/>
                <w:bCs/>
                <w:color w:val="auto"/>
                <w:kern w:val="0"/>
                <w:szCs w:val="21"/>
                <w:highlight w:val="none"/>
              </w:rPr>
            </w:pPr>
          </w:p>
          <w:p w14:paraId="6C4861CB">
            <w:pPr>
              <w:widowControl/>
              <w:jc w:val="center"/>
              <w:rPr>
                <w:rFonts w:hint="eastAsia" w:ascii="Arial" w:hAnsi="Arial" w:cs="Arial"/>
                <w:bCs/>
                <w:color w:val="auto"/>
                <w:kern w:val="0"/>
                <w:szCs w:val="21"/>
                <w:highlight w:val="none"/>
              </w:rPr>
            </w:pPr>
          </w:p>
          <w:p w14:paraId="18624670">
            <w:pPr>
              <w:widowControl/>
              <w:jc w:val="center"/>
              <w:rPr>
                <w:rFonts w:hint="eastAsia" w:ascii="Arial" w:hAnsi="Arial" w:cs="Arial"/>
                <w:bCs/>
                <w:color w:val="auto"/>
                <w:kern w:val="0"/>
                <w:szCs w:val="21"/>
                <w:highlight w:val="none"/>
              </w:rPr>
            </w:pPr>
          </w:p>
          <w:p w14:paraId="626606EC">
            <w:pPr>
              <w:widowControl/>
              <w:jc w:val="center"/>
              <w:rPr>
                <w:rFonts w:hint="eastAsia" w:ascii="Arial" w:hAnsi="Arial" w:cs="Arial"/>
                <w:bCs/>
                <w:color w:val="auto"/>
                <w:kern w:val="0"/>
                <w:szCs w:val="21"/>
                <w:highlight w:val="none"/>
              </w:rPr>
            </w:pPr>
          </w:p>
          <w:p w14:paraId="7125480F">
            <w:pPr>
              <w:widowControl/>
              <w:jc w:val="center"/>
              <w:rPr>
                <w:rFonts w:hint="eastAsia" w:ascii="Arial" w:hAnsi="Arial" w:cs="Arial"/>
                <w:bCs/>
                <w:color w:val="auto"/>
                <w:kern w:val="0"/>
                <w:szCs w:val="21"/>
                <w:highlight w:val="none"/>
              </w:rPr>
            </w:pPr>
          </w:p>
          <w:p w14:paraId="21644C56">
            <w:pPr>
              <w:widowControl/>
              <w:jc w:val="center"/>
              <w:rPr>
                <w:rFonts w:hint="eastAsia" w:ascii="Arial" w:hAnsi="Arial" w:cs="Arial"/>
                <w:bCs/>
                <w:color w:val="auto"/>
                <w:kern w:val="0"/>
                <w:szCs w:val="21"/>
                <w:highlight w:val="none"/>
              </w:rPr>
            </w:pPr>
          </w:p>
          <w:p w14:paraId="2AFD0CA0">
            <w:pPr>
              <w:widowControl/>
              <w:jc w:val="center"/>
              <w:rPr>
                <w:rFonts w:hint="eastAsia" w:ascii="Arial" w:hAnsi="Arial" w:cs="Arial"/>
                <w:bCs/>
                <w:color w:val="auto"/>
                <w:kern w:val="0"/>
                <w:szCs w:val="21"/>
                <w:highlight w:val="none"/>
              </w:rPr>
            </w:pPr>
          </w:p>
          <w:p w14:paraId="27880703">
            <w:pPr>
              <w:widowControl/>
              <w:jc w:val="center"/>
              <w:rPr>
                <w:rFonts w:ascii="Arial" w:hAnsi="Arial" w:cs="Arial"/>
                <w:bCs/>
                <w:color w:val="auto"/>
                <w:kern w:val="0"/>
                <w:szCs w:val="21"/>
                <w:highlight w:val="none"/>
              </w:rPr>
            </w:pPr>
            <w:r>
              <w:rPr>
                <w:rFonts w:hint="eastAsia" w:ascii="Arial" w:hAnsi="Arial" w:cs="Arial"/>
                <w:bCs/>
                <w:color w:val="auto"/>
                <w:kern w:val="0"/>
                <w:szCs w:val="21"/>
                <w:highlight w:val="none"/>
              </w:rPr>
              <w:t>关键工程</w:t>
            </w:r>
          </w:p>
          <w:p w14:paraId="662AC91A">
            <w:pPr>
              <w:widowControl/>
              <w:jc w:val="center"/>
              <w:rPr>
                <w:rFonts w:ascii="Arial" w:hAnsi="Arial" w:cs="Arial"/>
                <w:bCs/>
                <w:color w:val="auto"/>
                <w:kern w:val="0"/>
                <w:szCs w:val="21"/>
                <w:highlight w:val="none"/>
              </w:rPr>
            </w:pPr>
            <w:r>
              <w:rPr>
                <w:rFonts w:hint="eastAsia" w:ascii="Arial" w:hAnsi="Arial" w:cs="Arial"/>
                <w:bCs/>
                <w:color w:val="auto"/>
                <w:kern w:val="0"/>
                <w:szCs w:val="21"/>
                <w:highlight w:val="none"/>
              </w:rPr>
              <w:t>的施工方</w:t>
            </w:r>
          </w:p>
          <w:p w14:paraId="5EA1C272">
            <w:pPr>
              <w:widowControl/>
              <w:jc w:val="center"/>
              <w:rPr>
                <w:rFonts w:ascii="Arial" w:hAnsi="Arial" w:cs="Arial"/>
                <w:bCs/>
                <w:color w:val="auto"/>
                <w:kern w:val="0"/>
                <w:szCs w:val="21"/>
                <w:highlight w:val="none"/>
              </w:rPr>
            </w:pPr>
            <w:r>
              <w:rPr>
                <w:rFonts w:hint="eastAsia" w:ascii="Arial" w:hAnsi="Arial" w:cs="Arial"/>
                <w:bCs/>
                <w:color w:val="auto"/>
                <w:kern w:val="0"/>
                <w:szCs w:val="21"/>
                <w:highlight w:val="none"/>
              </w:rPr>
              <w:t>案、方法</w:t>
            </w:r>
          </w:p>
          <w:p w14:paraId="3D681274">
            <w:pPr>
              <w:widowControl/>
              <w:jc w:val="center"/>
              <w:rPr>
                <w:rFonts w:ascii="Arial" w:hAnsi="Arial" w:cs="Arial"/>
                <w:bCs/>
                <w:color w:val="auto"/>
                <w:kern w:val="0"/>
                <w:szCs w:val="21"/>
                <w:highlight w:val="none"/>
              </w:rPr>
            </w:pPr>
            <w:r>
              <w:rPr>
                <w:rFonts w:hint="eastAsia" w:ascii="Arial" w:hAnsi="Arial" w:cs="Arial"/>
                <w:bCs/>
                <w:color w:val="auto"/>
                <w:kern w:val="0"/>
                <w:szCs w:val="21"/>
                <w:highlight w:val="none"/>
              </w:rPr>
              <w:t>与技术措</w:t>
            </w:r>
          </w:p>
          <w:p w14:paraId="5E281B9C">
            <w:pPr>
              <w:spacing w:line="0" w:lineRule="atLeast"/>
              <w:jc w:val="center"/>
              <w:rPr>
                <w:rFonts w:hint="default" w:ascii="Times New Roman" w:hAnsi="Times New Roman" w:cs="Times New Roman"/>
                <w:sz w:val="22"/>
                <w:szCs w:val="22"/>
                <w:lang w:bidi="ar"/>
              </w:rPr>
            </w:pPr>
            <w:r>
              <w:rPr>
                <w:rFonts w:hint="eastAsia" w:ascii="Arial" w:hAnsi="Arial" w:cs="Arial"/>
                <w:bCs/>
                <w:color w:val="auto"/>
                <w:kern w:val="0"/>
                <w:szCs w:val="21"/>
                <w:highlight w:val="none"/>
              </w:rPr>
              <w:t>施</w:t>
            </w:r>
          </w:p>
        </w:tc>
        <w:tc>
          <w:tcPr>
            <w:tcW w:w="653" w:type="dxa"/>
            <w:vMerge w:val="restart"/>
            <w:tcBorders>
              <w:tl2br w:val="nil"/>
              <w:tr2bl w:val="nil"/>
            </w:tcBorders>
            <w:noWrap w:val="0"/>
            <w:vAlign w:val="center"/>
          </w:tcPr>
          <w:p w14:paraId="16DFBF99">
            <w:pPr>
              <w:spacing w:line="0" w:lineRule="atLeast"/>
              <w:jc w:val="center"/>
              <w:rPr>
                <w:rFonts w:hint="eastAsia" w:ascii="宋体" w:hAnsi="宋体" w:eastAsia="宋体"/>
                <w:color w:val="auto"/>
                <w:szCs w:val="21"/>
                <w:highlight w:val="none"/>
                <w:lang w:val="en-US" w:eastAsia="zh-CN"/>
              </w:rPr>
            </w:pPr>
          </w:p>
          <w:p w14:paraId="018CAF43">
            <w:pPr>
              <w:spacing w:line="0" w:lineRule="atLeast"/>
              <w:jc w:val="center"/>
              <w:rPr>
                <w:rFonts w:hint="eastAsia" w:ascii="宋体" w:hAnsi="宋体" w:eastAsia="宋体"/>
                <w:color w:val="auto"/>
                <w:szCs w:val="21"/>
                <w:highlight w:val="none"/>
                <w:lang w:val="en-US" w:eastAsia="zh-CN"/>
              </w:rPr>
            </w:pPr>
          </w:p>
          <w:p w14:paraId="38A8DF33">
            <w:pPr>
              <w:spacing w:line="0" w:lineRule="atLeast"/>
              <w:jc w:val="center"/>
              <w:rPr>
                <w:rFonts w:hint="eastAsia" w:ascii="宋体" w:hAnsi="宋体" w:eastAsia="宋体"/>
                <w:color w:val="auto"/>
                <w:szCs w:val="21"/>
                <w:highlight w:val="none"/>
                <w:lang w:val="en-US" w:eastAsia="zh-CN"/>
              </w:rPr>
            </w:pPr>
          </w:p>
          <w:p w14:paraId="3DB7FB54">
            <w:pPr>
              <w:spacing w:line="0" w:lineRule="atLeast"/>
              <w:jc w:val="center"/>
              <w:rPr>
                <w:rFonts w:hint="eastAsia" w:ascii="宋体" w:hAnsi="宋体" w:eastAsia="宋体"/>
                <w:color w:val="auto"/>
                <w:szCs w:val="21"/>
                <w:highlight w:val="none"/>
                <w:lang w:val="en-US" w:eastAsia="zh-CN"/>
              </w:rPr>
            </w:pPr>
          </w:p>
          <w:p w14:paraId="3F8EA8C7">
            <w:pPr>
              <w:spacing w:line="0" w:lineRule="atLeast"/>
              <w:jc w:val="center"/>
              <w:rPr>
                <w:rFonts w:hint="eastAsia" w:ascii="宋体" w:hAnsi="宋体" w:eastAsia="宋体"/>
                <w:color w:val="auto"/>
                <w:szCs w:val="21"/>
                <w:highlight w:val="none"/>
                <w:lang w:val="en-US" w:eastAsia="zh-CN"/>
              </w:rPr>
            </w:pPr>
          </w:p>
          <w:p w14:paraId="7176190F">
            <w:pPr>
              <w:spacing w:line="0" w:lineRule="atLeast"/>
              <w:jc w:val="center"/>
              <w:rPr>
                <w:rFonts w:hint="eastAsia" w:ascii="宋体" w:hAnsi="宋体" w:eastAsia="宋体"/>
                <w:color w:val="auto"/>
                <w:szCs w:val="21"/>
                <w:highlight w:val="none"/>
                <w:lang w:val="en-US" w:eastAsia="zh-CN"/>
              </w:rPr>
            </w:pPr>
          </w:p>
          <w:p w14:paraId="6B878D60">
            <w:pPr>
              <w:spacing w:line="0" w:lineRule="atLeast"/>
              <w:jc w:val="center"/>
              <w:rPr>
                <w:rFonts w:hint="eastAsia" w:ascii="宋体" w:hAnsi="宋体" w:eastAsia="宋体"/>
                <w:color w:val="auto"/>
                <w:szCs w:val="21"/>
                <w:highlight w:val="none"/>
                <w:lang w:val="en-US" w:eastAsia="zh-CN"/>
              </w:rPr>
            </w:pPr>
          </w:p>
          <w:p w14:paraId="70DB6A05">
            <w:pPr>
              <w:spacing w:line="0" w:lineRule="atLeast"/>
              <w:jc w:val="center"/>
              <w:rPr>
                <w:rFonts w:hint="eastAsia" w:ascii="宋体" w:hAnsi="宋体" w:eastAsia="宋体"/>
                <w:color w:val="auto"/>
                <w:szCs w:val="21"/>
                <w:highlight w:val="none"/>
                <w:lang w:val="en-US" w:eastAsia="zh-CN"/>
              </w:rPr>
            </w:pPr>
          </w:p>
          <w:p w14:paraId="5A1C00C6">
            <w:pPr>
              <w:spacing w:line="0" w:lineRule="atLeast"/>
              <w:jc w:val="center"/>
              <w:rPr>
                <w:rFonts w:hint="eastAsia" w:ascii="宋体" w:hAnsi="宋体" w:eastAsia="宋体"/>
                <w:color w:val="auto"/>
                <w:szCs w:val="21"/>
                <w:highlight w:val="none"/>
                <w:lang w:val="en-US" w:eastAsia="zh-CN"/>
              </w:rPr>
            </w:pPr>
          </w:p>
          <w:p w14:paraId="23DA343D">
            <w:pPr>
              <w:spacing w:line="0" w:lineRule="atLeast"/>
              <w:jc w:val="center"/>
              <w:rPr>
                <w:rFonts w:hint="eastAsia" w:ascii="宋体" w:hAnsi="宋体" w:eastAsia="宋体"/>
                <w:color w:val="auto"/>
                <w:szCs w:val="21"/>
                <w:highlight w:val="none"/>
                <w:lang w:val="en-US" w:eastAsia="zh-CN"/>
              </w:rPr>
            </w:pPr>
          </w:p>
          <w:p w14:paraId="2D8759C6">
            <w:pPr>
              <w:spacing w:line="0" w:lineRule="atLeast"/>
              <w:jc w:val="center"/>
              <w:rPr>
                <w:rFonts w:hint="eastAsia" w:ascii="宋体" w:hAnsi="宋体" w:eastAsia="宋体"/>
                <w:color w:val="auto"/>
                <w:szCs w:val="21"/>
                <w:highlight w:val="none"/>
                <w:lang w:val="en-US" w:eastAsia="zh-CN"/>
              </w:rPr>
            </w:pPr>
          </w:p>
          <w:p w14:paraId="1BAD376C">
            <w:pPr>
              <w:spacing w:line="0" w:lineRule="atLeast"/>
              <w:jc w:val="center"/>
              <w:rPr>
                <w:rFonts w:hint="eastAsia" w:ascii="宋体" w:hAnsi="宋体" w:eastAsia="宋体"/>
                <w:color w:val="auto"/>
                <w:szCs w:val="21"/>
                <w:highlight w:val="none"/>
                <w:lang w:val="en-US" w:eastAsia="zh-CN"/>
              </w:rPr>
            </w:pPr>
          </w:p>
          <w:p w14:paraId="492639C1">
            <w:pPr>
              <w:spacing w:line="0" w:lineRule="atLeast"/>
              <w:jc w:val="center"/>
              <w:rPr>
                <w:rFonts w:hint="eastAsia" w:ascii="宋体" w:hAnsi="宋体" w:eastAsia="宋体"/>
                <w:color w:val="auto"/>
                <w:szCs w:val="21"/>
                <w:highlight w:val="none"/>
                <w:lang w:val="en-US" w:eastAsia="zh-CN"/>
              </w:rPr>
            </w:pPr>
          </w:p>
          <w:p w14:paraId="126F825F">
            <w:pPr>
              <w:spacing w:line="0" w:lineRule="atLeast"/>
              <w:jc w:val="center"/>
              <w:rPr>
                <w:rFonts w:hint="eastAsia" w:ascii="宋体" w:hAnsi="宋体" w:eastAsia="宋体"/>
                <w:color w:val="auto"/>
                <w:szCs w:val="21"/>
                <w:highlight w:val="none"/>
                <w:lang w:val="en-US" w:eastAsia="zh-CN"/>
              </w:rPr>
            </w:pPr>
          </w:p>
          <w:p w14:paraId="6A60B01B">
            <w:pPr>
              <w:spacing w:line="0" w:lineRule="atLeast"/>
              <w:jc w:val="center"/>
              <w:rPr>
                <w:rFonts w:hint="eastAsia" w:ascii="宋体" w:hAnsi="宋体" w:eastAsia="宋体"/>
                <w:color w:val="auto"/>
                <w:szCs w:val="21"/>
                <w:highlight w:val="none"/>
                <w:lang w:val="en-US" w:eastAsia="zh-CN"/>
              </w:rPr>
            </w:pPr>
          </w:p>
          <w:p w14:paraId="2DF75F5C">
            <w:pPr>
              <w:spacing w:line="0" w:lineRule="atLeast"/>
              <w:jc w:val="center"/>
              <w:rPr>
                <w:rFonts w:hint="eastAsia" w:ascii="宋体" w:hAnsi="宋体" w:eastAsia="宋体"/>
                <w:color w:val="auto"/>
                <w:szCs w:val="21"/>
                <w:highlight w:val="none"/>
                <w:lang w:val="en-US" w:eastAsia="zh-CN"/>
              </w:rPr>
            </w:pPr>
          </w:p>
          <w:p w14:paraId="05D596C3">
            <w:pPr>
              <w:spacing w:line="0" w:lineRule="atLeast"/>
              <w:jc w:val="center"/>
              <w:rPr>
                <w:rFonts w:hint="eastAsia" w:ascii="宋体" w:hAnsi="宋体" w:eastAsia="宋体"/>
                <w:color w:val="auto"/>
                <w:szCs w:val="21"/>
                <w:highlight w:val="none"/>
                <w:lang w:val="en-US" w:eastAsia="zh-CN"/>
              </w:rPr>
            </w:pPr>
          </w:p>
          <w:p w14:paraId="097A093D">
            <w:pPr>
              <w:spacing w:line="0" w:lineRule="atLeast"/>
              <w:jc w:val="center"/>
              <w:rPr>
                <w:rFonts w:hint="eastAsia" w:ascii="宋体" w:hAnsi="宋体" w:eastAsia="宋体"/>
                <w:color w:val="auto"/>
                <w:szCs w:val="21"/>
                <w:highlight w:val="none"/>
                <w:lang w:val="en-US" w:eastAsia="zh-CN"/>
              </w:rPr>
            </w:pPr>
          </w:p>
          <w:p w14:paraId="6D602358">
            <w:pPr>
              <w:spacing w:line="0" w:lineRule="atLeast"/>
              <w:jc w:val="center"/>
              <w:rPr>
                <w:rFonts w:hint="eastAsia" w:ascii="宋体" w:hAnsi="宋体" w:eastAsia="宋体"/>
                <w:color w:val="auto"/>
                <w:szCs w:val="21"/>
                <w:highlight w:val="none"/>
                <w:lang w:val="en-US" w:eastAsia="zh-CN"/>
              </w:rPr>
            </w:pPr>
          </w:p>
          <w:p w14:paraId="5A492C40">
            <w:pPr>
              <w:spacing w:line="0" w:lineRule="atLeast"/>
              <w:jc w:val="center"/>
              <w:rPr>
                <w:rFonts w:hint="eastAsia" w:ascii="宋体" w:hAnsi="宋体" w:eastAsia="宋体"/>
                <w:color w:val="auto"/>
                <w:szCs w:val="21"/>
                <w:highlight w:val="none"/>
                <w:lang w:val="en-US" w:eastAsia="zh-CN"/>
              </w:rPr>
            </w:pPr>
          </w:p>
          <w:p w14:paraId="507232CF">
            <w:pPr>
              <w:spacing w:line="0" w:lineRule="atLeast"/>
              <w:jc w:val="center"/>
              <w:rPr>
                <w:rFonts w:hint="eastAsia" w:ascii="宋体" w:hAnsi="宋体" w:eastAsia="宋体"/>
                <w:color w:val="auto"/>
                <w:szCs w:val="21"/>
                <w:highlight w:val="none"/>
                <w:lang w:val="en-US" w:eastAsia="zh-CN"/>
              </w:rPr>
            </w:pPr>
          </w:p>
          <w:p w14:paraId="08EE4606">
            <w:pPr>
              <w:spacing w:line="0" w:lineRule="atLeast"/>
              <w:jc w:val="center"/>
              <w:rPr>
                <w:rFonts w:hint="eastAsia" w:ascii="宋体" w:hAnsi="宋体" w:eastAsia="宋体"/>
                <w:color w:val="auto"/>
                <w:szCs w:val="21"/>
                <w:highlight w:val="none"/>
                <w:lang w:val="en-US" w:eastAsia="zh-CN"/>
              </w:rPr>
            </w:pPr>
          </w:p>
          <w:p w14:paraId="228B588C">
            <w:pPr>
              <w:spacing w:line="0" w:lineRule="atLeast"/>
              <w:jc w:val="center"/>
              <w:rPr>
                <w:rFonts w:hint="eastAsia" w:ascii="宋体" w:hAnsi="宋体" w:eastAsia="宋体"/>
                <w:color w:val="auto"/>
                <w:szCs w:val="21"/>
                <w:highlight w:val="none"/>
                <w:lang w:val="en-US" w:eastAsia="zh-CN"/>
              </w:rPr>
            </w:pPr>
          </w:p>
          <w:p w14:paraId="5DA1F35E">
            <w:pPr>
              <w:spacing w:line="0" w:lineRule="atLeast"/>
              <w:jc w:val="center"/>
              <w:rPr>
                <w:rFonts w:hint="eastAsia" w:ascii="宋体" w:hAnsi="宋体" w:eastAsia="宋体"/>
                <w:color w:val="auto"/>
                <w:szCs w:val="21"/>
                <w:highlight w:val="none"/>
                <w:lang w:val="en-US" w:eastAsia="zh-CN"/>
              </w:rPr>
            </w:pPr>
          </w:p>
          <w:p w14:paraId="1AEEE752">
            <w:pPr>
              <w:spacing w:line="0" w:lineRule="atLeast"/>
              <w:jc w:val="center"/>
              <w:rPr>
                <w:rFonts w:hint="eastAsia" w:ascii="宋体" w:hAnsi="宋体" w:eastAsia="宋体"/>
                <w:color w:val="auto"/>
                <w:szCs w:val="21"/>
                <w:highlight w:val="none"/>
                <w:lang w:val="en-US" w:eastAsia="zh-CN"/>
              </w:rPr>
            </w:pPr>
          </w:p>
          <w:p w14:paraId="26FC696D">
            <w:pPr>
              <w:spacing w:line="0" w:lineRule="atLeast"/>
              <w:jc w:val="center"/>
              <w:rPr>
                <w:rFonts w:hint="eastAsia" w:ascii="Times New Roman" w:hAnsi="Times New Roman" w:eastAsia="宋体" w:cs="Times New Roman"/>
                <w:bCs/>
                <w:kern w:val="0"/>
                <w:sz w:val="22"/>
                <w:szCs w:val="22"/>
                <w:lang w:val="en-US" w:eastAsia="zh-CN" w:bidi="ar"/>
              </w:rPr>
            </w:pPr>
            <w:r>
              <w:rPr>
                <w:rFonts w:hint="eastAsia" w:ascii="宋体" w:hAnsi="宋体" w:eastAsia="宋体"/>
                <w:color w:val="auto"/>
                <w:szCs w:val="21"/>
                <w:highlight w:val="none"/>
                <w:lang w:val="en-US" w:eastAsia="zh-CN"/>
              </w:rPr>
              <w:t>40</w:t>
            </w:r>
            <w:r>
              <w:rPr>
                <w:rFonts w:hint="eastAsia" w:ascii="宋体" w:hAnsi="宋体"/>
                <w:color w:val="auto"/>
                <w:szCs w:val="21"/>
                <w:highlight w:val="none"/>
                <w:lang w:val="en-US" w:eastAsia="zh-CN"/>
              </w:rPr>
              <w:t>分</w:t>
            </w:r>
          </w:p>
        </w:tc>
        <w:tc>
          <w:tcPr>
            <w:tcW w:w="4344" w:type="dxa"/>
            <w:tcBorders>
              <w:tl2br w:val="nil"/>
              <w:tr2bl w:val="nil"/>
            </w:tcBorders>
            <w:noWrap w:val="0"/>
            <w:vAlign w:val="center"/>
          </w:tcPr>
          <w:p w14:paraId="57417EE5">
            <w:pPr>
              <w:spacing w:line="0" w:lineRule="atLeast"/>
              <w:rPr>
                <w:rFonts w:hint="eastAsia" w:ascii="宋体" w:hAnsi="宋体"/>
                <w:bCs/>
                <w:color w:val="auto"/>
                <w:spacing w:val="-10"/>
                <w:szCs w:val="21"/>
                <w:highlight w:val="none"/>
                <w:lang w:val="en-US" w:eastAsia="zh-CN"/>
              </w:rPr>
            </w:pPr>
            <w:r>
              <w:rPr>
                <w:rFonts w:hint="eastAsia" w:ascii="宋体" w:hAnsi="宋体"/>
                <w:bCs/>
                <w:color w:val="auto"/>
                <w:spacing w:val="-10"/>
                <w:szCs w:val="21"/>
                <w:highlight w:val="none"/>
                <w:lang w:val="en-US" w:eastAsia="zh-CN"/>
              </w:rPr>
              <w:t>设备、劳动力配备计划6分。</w:t>
            </w:r>
          </w:p>
          <w:p w14:paraId="3592582B">
            <w:pPr>
              <w:spacing w:line="0" w:lineRule="atLeast"/>
              <w:rPr>
                <w:rFonts w:hint="default" w:ascii="宋体" w:hAnsi="宋体"/>
                <w:bCs/>
                <w:color w:val="auto"/>
                <w:spacing w:val="-10"/>
                <w:szCs w:val="21"/>
                <w:highlight w:val="none"/>
                <w:lang w:val="en-US" w:eastAsia="zh-CN"/>
              </w:rPr>
            </w:pPr>
            <w:r>
              <w:rPr>
                <w:rFonts w:hint="eastAsia" w:ascii="宋体" w:hAnsi="宋体"/>
                <w:bCs/>
                <w:color w:val="auto"/>
                <w:spacing w:val="-10"/>
                <w:szCs w:val="21"/>
                <w:highlight w:val="none"/>
                <w:lang w:eastAsia="zh-CN"/>
              </w:rPr>
              <w:t xml:space="preserve">符合本工程特点全面具体、科学可行、有针对性得 </w:t>
            </w:r>
            <w:r>
              <w:rPr>
                <w:rFonts w:hint="eastAsia" w:ascii="宋体" w:hAnsi="宋体"/>
                <w:bCs/>
                <w:color w:val="auto"/>
                <w:spacing w:val="-10"/>
                <w:szCs w:val="21"/>
                <w:highlight w:val="none"/>
                <w:lang w:val="en-US" w:eastAsia="zh-CN"/>
              </w:rPr>
              <w:t>6</w:t>
            </w:r>
            <w:r>
              <w:rPr>
                <w:rFonts w:hint="eastAsia" w:ascii="宋体" w:hAnsi="宋体"/>
                <w:bCs/>
                <w:color w:val="auto"/>
                <w:spacing w:val="-10"/>
                <w:szCs w:val="21"/>
                <w:highlight w:val="none"/>
                <w:lang w:eastAsia="zh-CN"/>
              </w:rPr>
              <w:t xml:space="preserve"> 分，基本合理得</w:t>
            </w:r>
            <w:r>
              <w:rPr>
                <w:rFonts w:hint="eastAsia" w:ascii="宋体" w:hAnsi="宋体"/>
                <w:bCs/>
                <w:color w:val="auto"/>
                <w:spacing w:val="-10"/>
                <w:szCs w:val="21"/>
                <w:highlight w:val="none"/>
                <w:lang w:val="en-US" w:eastAsia="zh-CN"/>
              </w:rPr>
              <w:t>1-6（不含6）</w:t>
            </w:r>
            <w:r>
              <w:rPr>
                <w:rFonts w:hint="eastAsia" w:ascii="宋体" w:hAnsi="宋体"/>
                <w:bCs/>
                <w:color w:val="auto"/>
                <w:spacing w:val="-10"/>
                <w:szCs w:val="21"/>
                <w:highlight w:val="none"/>
                <w:lang w:eastAsia="zh-CN"/>
              </w:rPr>
              <w:t>分</w:t>
            </w:r>
            <w:r>
              <w:rPr>
                <w:rFonts w:hint="eastAsia" w:ascii="宋体" w:hAnsi="宋体"/>
                <w:bCs/>
                <w:color w:val="auto"/>
                <w:spacing w:val="-10"/>
                <w:szCs w:val="21"/>
                <w:highlight w:val="none"/>
                <w:lang w:val="en-US" w:eastAsia="zh-CN"/>
              </w:rPr>
              <w:t>，不提供不得分。</w:t>
            </w:r>
          </w:p>
        </w:tc>
      </w:tr>
      <w:tr w14:paraId="5B52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15" w:type="dxa"/>
            <w:vMerge w:val="continue"/>
            <w:tcBorders>
              <w:tl2br w:val="nil"/>
              <w:tr2bl w:val="nil"/>
            </w:tcBorders>
            <w:noWrap w:val="0"/>
            <w:vAlign w:val="center"/>
          </w:tcPr>
          <w:p w14:paraId="3E69899C">
            <w:pPr>
              <w:widowControl/>
              <w:spacing w:before="100" w:beforeAutospacing="1" w:after="100" w:afterAutospacing="1"/>
              <w:jc w:val="center"/>
              <w:rPr>
                <w:rFonts w:hint="default" w:ascii="Times New Roman" w:hAnsi="Times New Roman" w:cs="Times New Roman"/>
                <w:kern w:val="0"/>
                <w:sz w:val="22"/>
                <w:szCs w:val="22"/>
                <w:lang w:bidi="ar"/>
              </w:rPr>
            </w:pPr>
          </w:p>
        </w:tc>
        <w:tc>
          <w:tcPr>
            <w:tcW w:w="1169" w:type="dxa"/>
            <w:vMerge w:val="continue"/>
            <w:tcBorders>
              <w:tl2br w:val="nil"/>
              <w:tr2bl w:val="nil"/>
            </w:tcBorders>
            <w:noWrap w:val="0"/>
            <w:vAlign w:val="center"/>
          </w:tcPr>
          <w:p w14:paraId="3ACCC554">
            <w:pPr>
              <w:widowControl/>
              <w:spacing w:beforeAutospacing="0" w:after="100" w:afterAutospacing="1"/>
              <w:jc w:val="center"/>
              <w:rPr>
                <w:rFonts w:hint="eastAsia" w:ascii="宋体" w:hAnsi="宋体"/>
                <w:color w:val="auto"/>
                <w:szCs w:val="21"/>
                <w:highlight w:val="none"/>
              </w:rPr>
            </w:pPr>
          </w:p>
        </w:tc>
        <w:tc>
          <w:tcPr>
            <w:tcW w:w="519" w:type="dxa"/>
            <w:vMerge w:val="continue"/>
            <w:tcBorders>
              <w:tl2br w:val="nil"/>
              <w:tr2bl w:val="nil"/>
            </w:tcBorders>
            <w:noWrap w:val="0"/>
            <w:vAlign w:val="center"/>
          </w:tcPr>
          <w:p w14:paraId="12F32E57">
            <w:pPr>
              <w:spacing w:line="0" w:lineRule="atLeast"/>
              <w:jc w:val="center"/>
              <w:rPr>
                <w:rFonts w:hint="eastAsia" w:ascii="宋体" w:hAnsi="宋体"/>
                <w:color w:val="auto"/>
                <w:szCs w:val="21"/>
                <w:highlight w:val="none"/>
              </w:rPr>
            </w:pPr>
          </w:p>
        </w:tc>
        <w:tc>
          <w:tcPr>
            <w:tcW w:w="1039" w:type="dxa"/>
            <w:vMerge w:val="continue"/>
            <w:tcBorders>
              <w:tl2br w:val="nil"/>
              <w:tr2bl w:val="nil"/>
            </w:tcBorders>
            <w:noWrap w:val="0"/>
            <w:vAlign w:val="center"/>
          </w:tcPr>
          <w:p w14:paraId="3EFDA25B">
            <w:pPr>
              <w:spacing w:line="0" w:lineRule="atLeast"/>
              <w:jc w:val="center"/>
              <w:rPr>
                <w:rFonts w:hint="eastAsia" w:ascii="Arial" w:hAnsi="Arial" w:cs="Arial"/>
                <w:bCs/>
                <w:color w:val="auto"/>
                <w:kern w:val="0"/>
                <w:szCs w:val="21"/>
                <w:highlight w:val="none"/>
              </w:rPr>
            </w:pPr>
          </w:p>
        </w:tc>
        <w:tc>
          <w:tcPr>
            <w:tcW w:w="653" w:type="dxa"/>
            <w:vMerge w:val="continue"/>
            <w:tcBorders>
              <w:tl2br w:val="nil"/>
              <w:tr2bl w:val="nil"/>
            </w:tcBorders>
            <w:noWrap w:val="0"/>
            <w:vAlign w:val="center"/>
          </w:tcPr>
          <w:p w14:paraId="3787ED03">
            <w:pPr>
              <w:spacing w:line="0" w:lineRule="atLeast"/>
              <w:jc w:val="center"/>
              <w:rPr>
                <w:rFonts w:hint="eastAsia" w:ascii="宋体" w:hAnsi="宋体"/>
                <w:color w:val="auto"/>
                <w:szCs w:val="21"/>
                <w:highlight w:val="none"/>
              </w:rPr>
            </w:pPr>
          </w:p>
        </w:tc>
        <w:tc>
          <w:tcPr>
            <w:tcW w:w="4344" w:type="dxa"/>
            <w:tcBorders>
              <w:tl2br w:val="nil"/>
              <w:tr2bl w:val="nil"/>
            </w:tcBorders>
            <w:noWrap w:val="0"/>
            <w:vAlign w:val="center"/>
          </w:tcPr>
          <w:p w14:paraId="6C85315E">
            <w:pPr>
              <w:spacing w:line="0" w:lineRule="atLeast"/>
              <w:rPr>
                <w:rFonts w:hint="default" w:ascii="宋体" w:hAnsi="宋体"/>
                <w:bCs/>
                <w:color w:val="auto"/>
                <w:spacing w:val="-10"/>
                <w:szCs w:val="21"/>
                <w:highlight w:val="none"/>
                <w:lang w:val="en-US" w:eastAsia="zh-CN"/>
              </w:rPr>
            </w:pPr>
            <w:r>
              <w:rPr>
                <w:rFonts w:hint="default" w:ascii="宋体" w:hAnsi="宋体"/>
                <w:bCs/>
                <w:color w:val="auto"/>
                <w:spacing w:val="-10"/>
                <w:szCs w:val="21"/>
                <w:highlight w:val="none"/>
                <w:lang w:val="en-US" w:eastAsia="zh-CN"/>
              </w:rPr>
              <w:t>工程半成品和成品保护措施</w:t>
            </w:r>
            <w:r>
              <w:rPr>
                <w:rFonts w:hint="eastAsia" w:ascii="宋体" w:hAnsi="宋体"/>
                <w:bCs/>
                <w:color w:val="auto"/>
                <w:spacing w:val="-10"/>
                <w:szCs w:val="21"/>
                <w:highlight w:val="none"/>
                <w:lang w:val="en-US" w:eastAsia="zh-CN"/>
              </w:rPr>
              <w:t>3</w:t>
            </w:r>
            <w:r>
              <w:rPr>
                <w:rFonts w:hint="default" w:ascii="宋体" w:hAnsi="宋体"/>
                <w:bCs/>
                <w:color w:val="auto"/>
                <w:spacing w:val="-10"/>
                <w:szCs w:val="21"/>
                <w:highlight w:val="none"/>
                <w:lang w:val="en-US" w:eastAsia="zh-CN"/>
              </w:rPr>
              <w:t>分</w:t>
            </w:r>
            <w:r>
              <w:rPr>
                <w:rFonts w:hint="eastAsia" w:ascii="宋体" w:hAnsi="宋体"/>
                <w:bCs/>
                <w:color w:val="auto"/>
                <w:spacing w:val="-10"/>
                <w:szCs w:val="21"/>
                <w:highlight w:val="none"/>
                <w:lang w:val="en-US" w:eastAsia="zh-CN"/>
              </w:rPr>
              <w:t>。</w:t>
            </w:r>
            <w:r>
              <w:rPr>
                <w:rFonts w:hint="default" w:ascii="宋体" w:hAnsi="宋体"/>
                <w:bCs/>
                <w:color w:val="auto"/>
                <w:spacing w:val="-10"/>
                <w:szCs w:val="21"/>
                <w:highlight w:val="none"/>
                <w:lang w:val="en-US" w:eastAsia="zh-CN"/>
              </w:rPr>
              <w:tab/>
            </w:r>
          </w:p>
          <w:p w14:paraId="568E42B0">
            <w:pPr>
              <w:spacing w:line="0" w:lineRule="atLeast"/>
              <w:rPr>
                <w:rFonts w:hint="default" w:ascii="宋体" w:hAnsi="宋体"/>
                <w:bCs/>
                <w:color w:val="auto"/>
                <w:spacing w:val="-10"/>
                <w:szCs w:val="21"/>
                <w:highlight w:val="none"/>
                <w:lang w:val="en-US" w:eastAsia="zh-CN"/>
              </w:rPr>
            </w:pPr>
            <w:r>
              <w:rPr>
                <w:rFonts w:hint="default" w:ascii="宋体" w:hAnsi="宋体"/>
                <w:bCs/>
                <w:color w:val="auto"/>
                <w:spacing w:val="-10"/>
                <w:szCs w:val="21"/>
                <w:highlight w:val="none"/>
                <w:lang w:val="en-US" w:eastAsia="zh-CN"/>
              </w:rPr>
              <w:t>有工程半成品和成品保护措施，且措施合理可行、有针对性、符合本工程特点得</w:t>
            </w:r>
            <w:r>
              <w:rPr>
                <w:rFonts w:hint="eastAsia" w:ascii="宋体" w:hAnsi="宋体"/>
                <w:bCs/>
                <w:color w:val="auto"/>
                <w:spacing w:val="-10"/>
                <w:szCs w:val="21"/>
                <w:highlight w:val="none"/>
                <w:lang w:val="en-US" w:eastAsia="zh-CN"/>
              </w:rPr>
              <w:t>3</w:t>
            </w:r>
            <w:r>
              <w:rPr>
                <w:rFonts w:hint="default" w:ascii="宋体" w:hAnsi="宋体"/>
                <w:bCs/>
                <w:color w:val="auto"/>
                <w:spacing w:val="-10"/>
                <w:szCs w:val="21"/>
                <w:highlight w:val="none"/>
                <w:lang w:val="en-US" w:eastAsia="zh-CN"/>
              </w:rPr>
              <w:t>分；措施不合理不可行、没有针对性、不符合本工程特点扣</w:t>
            </w:r>
            <w:r>
              <w:rPr>
                <w:rFonts w:hint="eastAsia" w:ascii="宋体" w:hAnsi="宋体"/>
                <w:bCs/>
                <w:color w:val="auto"/>
                <w:spacing w:val="-10"/>
                <w:szCs w:val="21"/>
                <w:highlight w:val="none"/>
                <w:lang w:val="en-US" w:eastAsia="zh-CN"/>
              </w:rPr>
              <w:t>1-3（不含3）</w:t>
            </w:r>
            <w:r>
              <w:rPr>
                <w:rFonts w:hint="default" w:ascii="宋体" w:hAnsi="宋体"/>
                <w:bCs/>
                <w:color w:val="auto"/>
                <w:spacing w:val="-10"/>
                <w:szCs w:val="21"/>
                <w:highlight w:val="none"/>
                <w:lang w:val="en-US" w:eastAsia="zh-CN"/>
              </w:rPr>
              <w:t>分；没有得0分。</w:t>
            </w:r>
          </w:p>
        </w:tc>
      </w:tr>
      <w:tr w14:paraId="120D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54" w:hRule="atLeast"/>
          <w:jc w:val="center"/>
        </w:trPr>
        <w:tc>
          <w:tcPr>
            <w:tcW w:w="1215" w:type="dxa"/>
            <w:vMerge w:val="continue"/>
            <w:tcBorders>
              <w:tl2br w:val="nil"/>
              <w:tr2bl w:val="nil"/>
            </w:tcBorders>
            <w:noWrap w:val="0"/>
            <w:vAlign w:val="center"/>
          </w:tcPr>
          <w:p w14:paraId="3AAF0FF6">
            <w:pPr>
              <w:widowControl/>
              <w:spacing w:before="100" w:beforeAutospacing="1" w:after="100" w:afterAutospacing="1"/>
              <w:jc w:val="center"/>
              <w:rPr>
                <w:rFonts w:hint="default" w:ascii="Times New Roman" w:hAnsi="Times New Roman" w:cs="Times New Roman"/>
                <w:kern w:val="0"/>
                <w:sz w:val="22"/>
                <w:szCs w:val="22"/>
                <w:lang w:bidi="ar"/>
              </w:rPr>
            </w:pPr>
          </w:p>
        </w:tc>
        <w:tc>
          <w:tcPr>
            <w:tcW w:w="1169" w:type="dxa"/>
            <w:vMerge w:val="continue"/>
            <w:tcBorders>
              <w:tl2br w:val="nil"/>
              <w:tr2bl w:val="nil"/>
            </w:tcBorders>
            <w:noWrap w:val="0"/>
            <w:vAlign w:val="center"/>
          </w:tcPr>
          <w:p w14:paraId="54EB279F">
            <w:pPr>
              <w:widowControl/>
              <w:spacing w:beforeAutospacing="0" w:after="100" w:afterAutospacing="1"/>
              <w:jc w:val="center"/>
              <w:rPr>
                <w:rFonts w:hint="eastAsia" w:ascii="宋体" w:hAnsi="宋体"/>
                <w:color w:val="auto"/>
                <w:szCs w:val="21"/>
                <w:highlight w:val="none"/>
              </w:rPr>
            </w:pPr>
          </w:p>
        </w:tc>
        <w:tc>
          <w:tcPr>
            <w:tcW w:w="519" w:type="dxa"/>
            <w:vMerge w:val="continue"/>
            <w:tcBorders>
              <w:tl2br w:val="nil"/>
              <w:tr2bl w:val="nil"/>
            </w:tcBorders>
            <w:noWrap w:val="0"/>
            <w:vAlign w:val="center"/>
          </w:tcPr>
          <w:p w14:paraId="5EFA4492">
            <w:pPr>
              <w:spacing w:line="0" w:lineRule="atLeast"/>
              <w:jc w:val="center"/>
              <w:rPr>
                <w:rFonts w:hint="eastAsia" w:ascii="宋体" w:hAnsi="宋体"/>
                <w:color w:val="auto"/>
                <w:szCs w:val="21"/>
                <w:highlight w:val="none"/>
              </w:rPr>
            </w:pPr>
          </w:p>
        </w:tc>
        <w:tc>
          <w:tcPr>
            <w:tcW w:w="1039" w:type="dxa"/>
            <w:vMerge w:val="continue"/>
            <w:tcBorders>
              <w:tl2br w:val="nil"/>
              <w:tr2bl w:val="nil"/>
            </w:tcBorders>
            <w:noWrap w:val="0"/>
            <w:vAlign w:val="center"/>
          </w:tcPr>
          <w:p w14:paraId="769E2354">
            <w:pPr>
              <w:spacing w:line="0" w:lineRule="atLeast"/>
              <w:jc w:val="center"/>
              <w:rPr>
                <w:rFonts w:hint="eastAsia" w:ascii="Arial" w:hAnsi="Arial" w:cs="Arial"/>
                <w:bCs/>
                <w:color w:val="auto"/>
                <w:kern w:val="0"/>
                <w:szCs w:val="21"/>
                <w:highlight w:val="none"/>
              </w:rPr>
            </w:pPr>
          </w:p>
        </w:tc>
        <w:tc>
          <w:tcPr>
            <w:tcW w:w="653" w:type="dxa"/>
            <w:vMerge w:val="continue"/>
            <w:tcBorders>
              <w:tl2br w:val="nil"/>
              <w:tr2bl w:val="nil"/>
            </w:tcBorders>
            <w:noWrap w:val="0"/>
            <w:vAlign w:val="center"/>
          </w:tcPr>
          <w:p w14:paraId="354D067F">
            <w:pPr>
              <w:spacing w:line="0" w:lineRule="atLeast"/>
              <w:jc w:val="center"/>
              <w:rPr>
                <w:rFonts w:hint="eastAsia" w:ascii="宋体" w:hAnsi="宋体"/>
                <w:color w:val="auto"/>
                <w:szCs w:val="21"/>
                <w:highlight w:val="none"/>
              </w:rPr>
            </w:pPr>
          </w:p>
        </w:tc>
        <w:tc>
          <w:tcPr>
            <w:tcW w:w="4344" w:type="dxa"/>
            <w:tcBorders>
              <w:tl2br w:val="nil"/>
              <w:tr2bl w:val="nil"/>
            </w:tcBorders>
            <w:noWrap w:val="0"/>
            <w:vAlign w:val="center"/>
          </w:tcPr>
          <w:p w14:paraId="356BD07F">
            <w:pPr>
              <w:spacing w:line="0" w:lineRule="atLeast"/>
              <w:rPr>
                <w:rFonts w:hint="eastAsia" w:ascii="宋体" w:hAnsi="宋体"/>
                <w:bCs/>
                <w:color w:val="auto"/>
                <w:spacing w:val="-10"/>
                <w:szCs w:val="21"/>
                <w:highlight w:val="none"/>
                <w:lang w:val="en-US" w:eastAsia="zh-CN"/>
              </w:rPr>
            </w:pPr>
            <w:r>
              <w:rPr>
                <w:rFonts w:hint="eastAsia" w:ascii="宋体" w:hAnsi="宋体"/>
                <w:bCs/>
                <w:color w:val="auto"/>
                <w:spacing w:val="-10"/>
                <w:szCs w:val="21"/>
                <w:highlight w:val="none"/>
                <w:lang w:val="en-US" w:eastAsia="zh-CN"/>
              </w:rPr>
              <w:t>环保、水保、文明、文物措施4分。</w:t>
            </w:r>
            <w:r>
              <w:rPr>
                <w:rFonts w:hint="eastAsia" w:ascii="宋体" w:hAnsi="宋体"/>
                <w:bCs/>
                <w:color w:val="auto"/>
                <w:spacing w:val="-10"/>
                <w:szCs w:val="21"/>
                <w:highlight w:val="none"/>
                <w:lang w:eastAsia="zh-CN"/>
              </w:rPr>
              <w:t xml:space="preserve">符合本工程特点全面具体、科学可行、有针对性得 </w:t>
            </w:r>
            <w:r>
              <w:rPr>
                <w:rFonts w:hint="eastAsia" w:ascii="宋体" w:hAnsi="宋体"/>
                <w:bCs/>
                <w:color w:val="auto"/>
                <w:spacing w:val="-10"/>
                <w:szCs w:val="21"/>
                <w:highlight w:val="none"/>
                <w:lang w:val="en-US" w:eastAsia="zh-CN"/>
              </w:rPr>
              <w:t>4</w:t>
            </w:r>
            <w:r>
              <w:rPr>
                <w:rFonts w:hint="eastAsia" w:ascii="宋体" w:hAnsi="宋体"/>
                <w:bCs/>
                <w:color w:val="auto"/>
                <w:spacing w:val="-10"/>
                <w:szCs w:val="21"/>
                <w:highlight w:val="none"/>
                <w:lang w:eastAsia="zh-CN"/>
              </w:rPr>
              <w:t>分，基本合理得</w:t>
            </w:r>
            <w:r>
              <w:rPr>
                <w:rFonts w:hint="eastAsia" w:ascii="宋体" w:hAnsi="宋体"/>
                <w:bCs/>
                <w:color w:val="auto"/>
                <w:spacing w:val="-10"/>
                <w:szCs w:val="21"/>
                <w:highlight w:val="none"/>
                <w:lang w:val="en-US" w:eastAsia="zh-CN"/>
              </w:rPr>
              <w:t>1-4（不含4）</w:t>
            </w:r>
            <w:r>
              <w:rPr>
                <w:rFonts w:hint="eastAsia" w:ascii="宋体" w:hAnsi="宋体"/>
                <w:bCs/>
                <w:color w:val="auto"/>
                <w:spacing w:val="-10"/>
                <w:szCs w:val="21"/>
                <w:highlight w:val="none"/>
                <w:lang w:eastAsia="zh-CN"/>
              </w:rPr>
              <w:t>分</w:t>
            </w:r>
            <w:r>
              <w:rPr>
                <w:rFonts w:hint="eastAsia" w:ascii="宋体" w:hAnsi="宋体"/>
                <w:bCs/>
                <w:color w:val="auto"/>
                <w:spacing w:val="-10"/>
                <w:szCs w:val="21"/>
                <w:highlight w:val="none"/>
                <w:lang w:val="en-US" w:eastAsia="zh-CN"/>
              </w:rPr>
              <w:t>，不提供不得分。</w:t>
            </w:r>
          </w:p>
        </w:tc>
      </w:tr>
      <w:tr w14:paraId="7EBF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54" w:hRule="atLeast"/>
          <w:jc w:val="center"/>
        </w:trPr>
        <w:tc>
          <w:tcPr>
            <w:tcW w:w="1215" w:type="dxa"/>
            <w:vMerge w:val="continue"/>
            <w:tcBorders>
              <w:tl2br w:val="nil"/>
              <w:tr2bl w:val="nil"/>
            </w:tcBorders>
            <w:noWrap w:val="0"/>
            <w:vAlign w:val="center"/>
          </w:tcPr>
          <w:p w14:paraId="79E42E15">
            <w:pPr>
              <w:widowControl/>
              <w:spacing w:before="100" w:beforeAutospacing="1" w:after="100" w:afterAutospacing="1"/>
              <w:jc w:val="center"/>
              <w:rPr>
                <w:rFonts w:hint="default" w:ascii="Times New Roman" w:hAnsi="Times New Roman" w:cs="Times New Roman"/>
                <w:kern w:val="0"/>
                <w:sz w:val="22"/>
                <w:szCs w:val="22"/>
                <w:lang w:bidi="ar"/>
              </w:rPr>
            </w:pPr>
          </w:p>
        </w:tc>
        <w:tc>
          <w:tcPr>
            <w:tcW w:w="1169" w:type="dxa"/>
            <w:vMerge w:val="continue"/>
            <w:tcBorders>
              <w:tl2br w:val="nil"/>
              <w:tr2bl w:val="nil"/>
            </w:tcBorders>
            <w:noWrap w:val="0"/>
            <w:vAlign w:val="center"/>
          </w:tcPr>
          <w:p w14:paraId="07AE20F2">
            <w:pPr>
              <w:widowControl/>
              <w:spacing w:beforeAutospacing="0" w:after="100" w:afterAutospacing="1"/>
              <w:jc w:val="center"/>
              <w:rPr>
                <w:rFonts w:hint="eastAsia" w:ascii="宋体" w:hAnsi="宋体"/>
                <w:color w:val="auto"/>
                <w:szCs w:val="21"/>
                <w:highlight w:val="none"/>
              </w:rPr>
            </w:pPr>
          </w:p>
        </w:tc>
        <w:tc>
          <w:tcPr>
            <w:tcW w:w="519" w:type="dxa"/>
            <w:vMerge w:val="continue"/>
            <w:tcBorders>
              <w:tl2br w:val="nil"/>
              <w:tr2bl w:val="nil"/>
            </w:tcBorders>
            <w:noWrap w:val="0"/>
            <w:vAlign w:val="center"/>
          </w:tcPr>
          <w:p w14:paraId="025AECED">
            <w:pPr>
              <w:spacing w:line="0" w:lineRule="atLeast"/>
              <w:jc w:val="center"/>
              <w:rPr>
                <w:rFonts w:hint="eastAsia" w:ascii="宋体" w:hAnsi="宋体"/>
                <w:color w:val="auto"/>
                <w:szCs w:val="21"/>
                <w:highlight w:val="none"/>
              </w:rPr>
            </w:pPr>
          </w:p>
        </w:tc>
        <w:tc>
          <w:tcPr>
            <w:tcW w:w="1039" w:type="dxa"/>
            <w:vMerge w:val="continue"/>
            <w:tcBorders>
              <w:tl2br w:val="nil"/>
              <w:tr2bl w:val="nil"/>
            </w:tcBorders>
            <w:noWrap w:val="0"/>
            <w:vAlign w:val="center"/>
          </w:tcPr>
          <w:p w14:paraId="0DC1A6F4">
            <w:pPr>
              <w:spacing w:line="0" w:lineRule="atLeast"/>
              <w:jc w:val="center"/>
              <w:rPr>
                <w:rFonts w:hint="eastAsia" w:ascii="Arial" w:hAnsi="Arial" w:cs="Arial"/>
                <w:bCs/>
                <w:color w:val="auto"/>
                <w:kern w:val="0"/>
                <w:szCs w:val="21"/>
                <w:highlight w:val="none"/>
              </w:rPr>
            </w:pPr>
          </w:p>
        </w:tc>
        <w:tc>
          <w:tcPr>
            <w:tcW w:w="653" w:type="dxa"/>
            <w:vMerge w:val="continue"/>
            <w:tcBorders>
              <w:tl2br w:val="nil"/>
              <w:tr2bl w:val="nil"/>
            </w:tcBorders>
            <w:noWrap w:val="0"/>
            <w:vAlign w:val="center"/>
          </w:tcPr>
          <w:p w14:paraId="509FCCD7">
            <w:pPr>
              <w:spacing w:line="0" w:lineRule="atLeast"/>
              <w:jc w:val="center"/>
              <w:rPr>
                <w:rFonts w:hint="eastAsia" w:ascii="宋体" w:hAnsi="宋体"/>
                <w:color w:val="auto"/>
                <w:szCs w:val="21"/>
                <w:highlight w:val="none"/>
              </w:rPr>
            </w:pPr>
          </w:p>
        </w:tc>
        <w:tc>
          <w:tcPr>
            <w:tcW w:w="4344" w:type="dxa"/>
            <w:tcBorders>
              <w:tl2br w:val="nil"/>
              <w:tr2bl w:val="nil"/>
            </w:tcBorders>
            <w:noWrap w:val="0"/>
            <w:vAlign w:val="center"/>
          </w:tcPr>
          <w:p w14:paraId="23693F76">
            <w:pPr>
              <w:spacing w:line="0" w:lineRule="atLeast"/>
              <w:rPr>
                <w:rFonts w:hint="eastAsia" w:ascii="宋体" w:hAnsi="宋体"/>
                <w:bCs/>
                <w:color w:val="auto"/>
                <w:spacing w:val="-10"/>
                <w:szCs w:val="21"/>
                <w:highlight w:val="none"/>
                <w:lang w:eastAsia="zh-CN"/>
              </w:rPr>
            </w:pPr>
            <w:r>
              <w:rPr>
                <w:rFonts w:hint="eastAsia" w:ascii="宋体" w:hAnsi="宋体"/>
                <w:bCs/>
                <w:color w:val="auto"/>
                <w:spacing w:val="-10"/>
                <w:szCs w:val="21"/>
                <w:highlight w:val="none"/>
                <w:lang w:eastAsia="zh-CN"/>
              </w:rPr>
              <w:t xml:space="preserve">总体施工组织布置及规划 </w:t>
            </w:r>
            <w:r>
              <w:rPr>
                <w:rFonts w:hint="eastAsia" w:ascii="宋体" w:hAnsi="宋体"/>
                <w:bCs/>
                <w:color w:val="auto"/>
                <w:spacing w:val="-10"/>
                <w:szCs w:val="21"/>
                <w:highlight w:val="none"/>
                <w:lang w:val="en-US" w:eastAsia="zh-CN"/>
              </w:rPr>
              <w:t>3</w:t>
            </w:r>
            <w:r>
              <w:rPr>
                <w:rFonts w:hint="eastAsia" w:ascii="宋体" w:hAnsi="宋体"/>
                <w:bCs/>
                <w:color w:val="auto"/>
                <w:spacing w:val="-10"/>
                <w:szCs w:val="21"/>
                <w:highlight w:val="none"/>
                <w:lang w:eastAsia="zh-CN"/>
              </w:rPr>
              <w:t xml:space="preserve"> 分。</w:t>
            </w:r>
          </w:p>
          <w:p w14:paraId="6051CB1F">
            <w:pPr>
              <w:spacing w:line="0" w:lineRule="atLeast"/>
              <w:rPr>
                <w:rFonts w:hint="eastAsia" w:ascii="宋体" w:hAnsi="宋体"/>
                <w:bCs/>
                <w:color w:val="auto"/>
                <w:spacing w:val="-10"/>
                <w:szCs w:val="21"/>
                <w:highlight w:val="none"/>
                <w:lang w:eastAsia="zh-CN"/>
              </w:rPr>
            </w:pPr>
            <w:r>
              <w:rPr>
                <w:rFonts w:hint="eastAsia" w:ascii="宋体" w:hAnsi="宋体"/>
                <w:bCs/>
                <w:color w:val="auto"/>
                <w:spacing w:val="-10"/>
                <w:szCs w:val="21"/>
                <w:highlight w:val="none"/>
                <w:lang w:eastAsia="zh-CN"/>
              </w:rPr>
              <w:t xml:space="preserve">符合本工程特点全面具体、科学可行、有针对性得 </w:t>
            </w:r>
            <w:r>
              <w:rPr>
                <w:rFonts w:hint="eastAsia" w:ascii="宋体" w:hAnsi="宋体"/>
                <w:bCs/>
                <w:color w:val="auto"/>
                <w:spacing w:val="-10"/>
                <w:szCs w:val="21"/>
                <w:highlight w:val="none"/>
                <w:lang w:val="en-US" w:eastAsia="zh-CN"/>
              </w:rPr>
              <w:t>3</w:t>
            </w:r>
            <w:r>
              <w:rPr>
                <w:rFonts w:hint="eastAsia" w:ascii="宋体" w:hAnsi="宋体"/>
                <w:bCs/>
                <w:color w:val="auto"/>
                <w:spacing w:val="-10"/>
                <w:szCs w:val="21"/>
                <w:highlight w:val="none"/>
                <w:lang w:eastAsia="zh-CN"/>
              </w:rPr>
              <w:t xml:space="preserve"> 分，一般得</w:t>
            </w:r>
            <w:r>
              <w:rPr>
                <w:rFonts w:hint="eastAsia" w:ascii="宋体" w:hAnsi="宋体"/>
                <w:bCs/>
                <w:color w:val="auto"/>
                <w:spacing w:val="-10"/>
                <w:szCs w:val="21"/>
                <w:highlight w:val="none"/>
                <w:lang w:val="en-US" w:eastAsia="zh-CN"/>
              </w:rPr>
              <w:t>1-3（不含3）</w:t>
            </w:r>
            <w:r>
              <w:rPr>
                <w:rFonts w:hint="eastAsia" w:ascii="宋体" w:hAnsi="宋体"/>
                <w:bCs/>
                <w:color w:val="auto"/>
                <w:spacing w:val="-10"/>
                <w:szCs w:val="21"/>
                <w:highlight w:val="none"/>
                <w:lang w:eastAsia="zh-CN"/>
              </w:rPr>
              <w:t xml:space="preserve">分，基本可行的得 </w:t>
            </w:r>
            <w:r>
              <w:rPr>
                <w:rFonts w:hint="eastAsia" w:ascii="宋体" w:hAnsi="宋体"/>
                <w:bCs/>
                <w:color w:val="auto"/>
                <w:spacing w:val="-10"/>
                <w:szCs w:val="21"/>
                <w:highlight w:val="none"/>
                <w:lang w:val="en-US" w:eastAsia="zh-CN"/>
              </w:rPr>
              <w:t>0.1-1（不含1）</w:t>
            </w:r>
            <w:r>
              <w:rPr>
                <w:rFonts w:hint="eastAsia" w:ascii="宋体" w:hAnsi="宋体"/>
                <w:bCs/>
                <w:color w:val="auto"/>
                <w:spacing w:val="-10"/>
                <w:szCs w:val="21"/>
                <w:highlight w:val="none"/>
                <w:lang w:eastAsia="zh-CN"/>
              </w:rPr>
              <w:t>分，没有不得分。</w:t>
            </w:r>
          </w:p>
        </w:tc>
      </w:tr>
      <w:tr w14:paraId="5C6D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1" w:hRule="atLeast"/>
          <w:jc w:val="center"/>
        </w:trPr>
        <w:tc>
          <w:tcPr>
            <w:tcW w:w="1215" w:type="dxa"/>
            <w:vMerge w:val="continue"/>
            <w:tcBorders>
              <w:tl2br w:val="nil"/>
              <w:tr2bl w:val="nil"/>
            </w:tcBorders>
            <w:noWrap w:val="0"/>
            <w:vAlign w:val="center"/>
          </w:tcPr>
          <w:p w14:paraId="4E22CA49">
            <w:pPr>
              <w:widowControl/>
              <w:spacing w:before="100" w:beforeAutospacing="1" w:after="100" w:afterAutospacing="1"/>
              <w:jc w:val="center"/>
              <w:rPr>
                <w:rFonts w:hint="default" w:ascii="Times New Roman" w:hAnsi="Times New Roman" w:cs="Times New Roman"/>
                <w:kern w:val="0"/>
                <w:sz w:val="22"/>
                <w:szCs w:val="22"/>
                <w:lang w:bidi="ar"/>
              </w:rPr>
            </w:pPr>
          </w:p>
        </w:tc>
        <w:tc>
          <w:tcPr>
            <w:tcW w:w="1169" w:type="dxa"/>
            <w:vMerge w:val="continue"/>
            <w:tcBorders>
              <w:tl2br w:val="nil"/>
              <w:tr2bl w:val="nil"/>
            </w:tcBorders>
            <w:noWrap w:val="0"/>
            <w:vAlign w:val="center"/>
          </w:tcPr>
          <w:p w14:paraId="1E30238A">
            <w:pPr>
              <w:widowControl/>
              <w:spacing w:beforeAutospacing="0" w:after="100" w:afterAutospacing="1"/>
              <w:jc w:val="center"/>
              <w:rPr>
                <w:rFonts w:hint="eastAsia" w:ascii="宋体" w:hAnsi="宋体"/>
                <w:color w:val="auto"/>
                <w:szCs w:val="21"/>
                <w:highlight w:val="none"/>
              </w:rPr>
            </w:pPr>
          </w:p>
        </w:tc>
        <w:tc>
          <w:tcPr>
            <w:tcW w:w="519" w:type="dxa"/>
            <w:vMerge w:val="continue"/>
            <w:tcBorders>
              <w:tl2br w:val="nil"/>
              <w:tr2bl w:val="nil"/>
            </w:tcBorders>
            <w:noWrap w:val="0"/>
            <w:vAlign w:val="center"/>
          </w:tcPr>
          <w:p w14:paraId="641817A6">
            <w:pPr>
              <w:spacing w:line="0" w:lineRule="atLeast"/>
              <w:jc w:val="center"/>
              <w:rPr>
                <w:rFonts w:hint="eastAsia" w:ascii="宋体" w:hAnsi="宋体"/>
                <w:color w:val="auto"/>
                <w:szCs w:val="21"/>
                <w:highlight w:val="none"/>
              </w:rPr>
            </w:pPr>
          </w:p>
        </w:tc>
        <w:tc>
          <w:tcPr>
            <w:tcW w:w="1039" w:type="dxa"/>
            <w:vMerge w:val="continue"/>
            <w:tcBorders>
              <w:tl2br w:val="nil"/>
              <w:tr2bl w:val="nil"/>
            </w:tcBorders>
            <w:noWrap w:val="0"/>
            <w:vAlign w:val="center"/>
          </w:tcPr>
          <w:p w14:paraId="704B2C88">
            <w:pPr>
              <w:spacing w:line="0" w:lineRule="atLeast"/>
              <w:jc w:val="center"/>
              <w:rPr>
                <w:rFonts w:hint="eastAsia" w:ascii="Arial" w:hAnsi="Arial" w:cs="Arial"/>
                <w:bCs/>
                <w:color w:val="auto"/>
                <w:kern w:val="0"/>
                <w:szCs w:val="21"/>
                <w:highlight w:val="none"/>
              </w:rPr>
            </w:pPr>
          </w:p>
        </w:tc>
        <w:tc>
          <w:tcPr>
            <w:tcW w:w="653" w:type="dxa"/>
            <w:vMerge w:val="continue"/>
            <w:tcBorders>
              <w:tl2br w:val="nil"/>
              <w:tr2bl w:val="nil"/>
            </w:tcBorders>
            <w:noWrap w:val="0"/>
            <w:vAlign w:val="center"/>
          </w:tcPr>
          <w:p w14:paraId="2030B08D">
            <w:pPr>
              <w:spacing w:line="0" w:lineRule="atLeast"/>
              <w:jc w:val="center"/>
              <w:rPr>
                <w:rFonts w:hint="eastAsia" w:ascii="宋体" w:hAnsi="宋体"/>
                <w:color w:val="auto"/>
                <w:szCs w:val="21"/>
                <w:highlight w:val="none"/>
              </w:rPr>
            </w:pPr>
          </w:p>
        </w:tc>
        <w:tc>
          <w:tcPr>
            <w:tcW w:w="4344" w:type="dxa"/>
            <w:tcBorders>
              <w:tl2br w:val="nil"/>
              <w:tr2bl w:val="nil"/>
            </w:tcBorders>
            <w:noWrap w:val="0"/>
            <w:vAlign w:val="center"/>
          </w:tcPr>
          <w:p w14:paraId="38B0DBD3">
            <w:pPr>
              <w:spacing w:line="0" w:lineRule="atLeast"/>
              <w:rPr>
                <w:rFonts w:hint="eastAsia" w:ascii="宋体" w:hAnsi="宋体"/>
                <w:bCs/>
                <w:color w:val="auto"/>
                <w:spacing w:val="-10"/>
                <w:szCs w:val="21"/>
                <w:highlight w:val="none"/>
                <w:lang w:eastAsia="zh-CN"/>
              </w:rPr>
            </w:pPr>
            <w:r>
              <w:rPr>
                <w:rFonts w:hint="eastAsia" w:ascii="宋体" w:hAnsi="宋体"/>
                <w:bCs/>
                <w:color w:val="auto"/>
                <w:spacing w:val="-10"/>
                <w:szCs w:val="21"/>
                <w:highlight w:val="none"/>
                <w:lang w:eastAsia="zh-CN"/>
              </w:rPr>
              <w:t>重点、关键和难点工程的施工方案</w:t>
            </w:r>
            <w:r>
              <w:rPr>
                <w:rFonts w:hint="eastAsia" w:ascii="宋体" w:hAnsi="宋体"/>
                <w:bCs/>
                <w:color w:val="auto"/>
                <w:spacing w:val="-10"/>
                <w:szCs w:val="21"/>
                <w:highlight w:val="none"/>
                <w:lang w:val="en-US" w:eastAsia="zh-CN"/>
              </w:rPr>
              <w:t>4</w:t>
            </w:r>
            <w:r>
              <w:rPr>
                <w:rFonts w:hint="eastAsia" w:ascii="宋体" w:hAnsi="宋体"/>
                <w:bCs/>
                <w:color w:val="auto"/>
                <w:spacing w:val="-10"/>
                <w:szCs w:val="21"/>
                <w:highlight w:val="none"/>
                <w:lang w:eastAsia="zh-CN"/>
              </w:rPr>
              <w:t>分。</w:t>
            </w:r>
          </w:p>
          <w:p w14:paraId="21014616">
            <w:pPr>
              <w:spacing w:line="0" w:lineRule="atLeast"/>
              <w:rPr>
                <w:rFonts w:hint="default" w:ascii="宋体" w:hAnsi="宋体"/>
                <w:bCs/>
                <w:color w:val="auto"/>
                <w:spacing w:val="-10"/>
                <w:szCs w:val="21"/>
                <w:highlight w:val="none"/>
                <w:lang w:eastAsia="zh-CN"/>
              </w:rPr>
            </w:pPr>
            <w:r>
              <w:rPr>
                <w:rFonts w:hint="eastAsia" w:ascii="宋体" w:hAnsi="宋体"/>
                <w:bCs/>
                <w:color w:val="auto"/>
                <w:spacing w:val="-10"/>
                <w:szCs w:val="21"/>
                <w:highlight w:val="none"/>
                <w:lang w:eastAsia="zh-CN"/>
              </w:rPr>
              <w:t xml:space="preserve">重点突出，方案具体可行得 </w:t>
            </w:r>
            <w:r>
              <w:rPr>
                <w:rFonts w:hint="eastAsia" w:ascii="宋体" w:hAnsi="宋体"/>
                <w:bCs/>
                <w:color w:val="auto"/>
                <w:spacing w:val="-10"/>
                <w:szCs w:val="21"/>
                <w:highlight w:val="none"/>
                <w:lang w:val="en-US" w:eastAsia="zh-CN"/>
              </w:rPr>
              <w:t>4</w:t>
            </w:r>
            <w:r>
              <w:rPr>
                <w:rFonts w:hint="eastAsia" w:ascii="宋体" w:hAnsi="宋体"/>
                <w:bCs/>
                <w:color w:val="auto"/>
                <w:spacing w:val="-10"/>
                <w:szCs w:val="21"/>
                <w:highlight w:val="none"/>
                <w:lang w:eastAsia="zh-CN"/>
              </w:rPr>
              <w:t>分，一般得</w:t>
            </w:r>
            <w:r>
              <w:rPr>
                <w:rFonts w:hint="eastAsia" w:ascii="宋体" w:hAnsi="宋体"/>
                <w:bCs/>
                <w:color w:val="auto"/>
                <w:spacing w:val="-10"/>
                <w:szCs w:val="21"/>
                <w:highlight w:val="none"/>
                <w:lang w:val="en-US" w:eastAsia="zh-CN"/>
              </w:rPr>
              <w:t>1-4（不含4）</w:t>
            </w:r>
            <w:r>
              <w:rPr>
                <w:rFonts w:hint="eastAsia" w:ascii="宋体" w:hAnsi="宋体"/>
                <w:bCs/>
                <w:color w:val="auto"/>
                <w:spacing w:val="-10"/>
                <w:szCs w:val="21"/>
                <w:highlight w:val="none"/>
                <w:lang w:eastAsia="zh-CN"/>
              </w:rPr>
              <w:t xml:space="preserve"> 分，基本可行的得 </w:t>
            </w:r>
            <w:r>
              <w:rPr>
                <w:rFonts w:hint="eastAsia" w:ascii="宋体" w:hAnsi="宋体"/>
                <w:bCs/>
                <w:color w:val="auto"/>
                <w:spacing w:val="-10"/>
                <w:szCs w:val="21"/>
                <w:highlight w:val="none"/>
                <w:lang w:val="en-US" w:eastAsia="zh-CN"/>
              </w:rPr>
              <w:t>0.1-1（不含1）</w:t>
            </w:r>
            <w:r>
              <w:rPr>
                <w:rFonts w:hint="eastAsia" w:ascii="宋体" w:hAnsi="宋体"/>
                <w:bCs/>
                <w:color w:val="auto"/>
                <w:spacing w:val="-10"/>
                <w:szCs w:val="21"/>
                <w:highlight w:val="none"/>
                <w:lang w:eastAsia="zh-CN"/>
              </w:rPr>
              <w:t>分，没有不得分。</w:t>
            </w:r>
          </w:p>
        </w:tc>
      </w:tr>
      <w:tr w14:paraId="706EF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01" w:hRule="atLeast"/>
          <w:jc w:val="center"/>
        </w:trPr>
        <w:tc>
          <w:tcPr>
            <w:tcW w:w="1215" w:type="dxa"/>
            <w:vMerge w:val="continue"/>
            <w:tcBorders>
              <w:tl2br w:val="nil"/>
              <w:tr2bl w:val="nil"/>
            </w:tcBorders>
            <w:noWrap w:val="0"/>
            <w:vAlign w:val="center"/>
          </w:tcPr>
          <w:p w14:paraId="732B07C9">
            <w:pPr>
              <w:widowControl/>
              <w:spacing w:before="100" w:beforeAutospacing="1" w:after="100" w:afterAutospacing="1"/>
              <w:jc w:val="center"/>
              <w:rPr>
                <w:rFonts w:hint="default" w:ascii="Times New Roman" w:hAnsi="Times New Roman" w:cs="Times New Roman"/>
                <w:kern w:val="0"/>
                <w:sz w:val="22"/>
                <w:szCs w:val="22"/>
                <w:lang w:bidi="ar"/>
              </w:rPr>
            </w:pPr>
          </w:p>
        </w:tc>
        <w:tc>
          <w:tcPr>
            <w:tcW w:w="1169" w:type="dxa"/>
            <w:vMerge w:val="continue"/>
            <w:tcBorders>
              <w:tl2br w:val="nil"/>
              <w:tr2bl w:val="nil"/>
            </w:tcBorders>
            <w:noWrap w:val="0"/>
            <w:vAlign w:val="center"/>
          </w:tcPr>
          <w:p w14:paraId="22FE3585">
            <w:pPr>
              <w:widowControl/>
              <w:spacing w:beforeAutospacing="0" w:after="100" w:afterAutospacing="1"/>
              <w:jc w:val="center"/>
              <w:rPr>
                <w:rFonts w:hint="eastAsia" w:ascii="宋体" w:hAnsi="宋体"/>
                <w:color w:val="auto"/>
                <w:szCs w:val="21"/>
                <w:highlight w:val="none"/>
              </w:rPr>
            </w:pPr>
          </w:p>
        </w:tc>
        <w:tc>
          <w:tcPr>
            <w:tcW w:w="519" w:type="dxa"/>
            <w:vMerge w:val="continue"/>
            <w:tcBorders>
              <w:tl2br w:val="nil"/>
              <w:tr2bl w:val="nil"/>
            </w:tcBorders>
            <w:noWrap w:val="0"/>
            <w:vAlign w:val="center"/>
          </w:tcPr>
          <w:p w14:paraId="1CC222F3">
            <w:pPr>
              <w:spacing w:line="0" w:lineRule="atLeast"/>
              <w:jc w:val="center"/>
              <w:rPr>
                <w:rFonts w:hint="eastAsia" w:ascii="宋体" w:hAnsi="宋体"/>
                <w:color w:val="auto"/>
                <w:szCs w:val="21"/>
                <w:highlight w:val="none"/>
              </w:rPr>
            </w:pPr>
          </w:p>
        </w:tc>
        <w:tc>
          <w:tcPr>
            <w:tcW w:w="1039" w:type="dxa"/>
            <w:vMerge w:val="continue"/>
            <w:tcBorders>
              <w:tl2br w:val="nil"/>
              <w:tr2bl w:val="nil"/>
            </w:tcBorders>
            <w:noWrap w:val="0"/>
            <w:vAlign w:val="center"/>
          </w:tcPr>
          <w:p w14:paraId="3175BEB7">
            <w:pPr>
              <w:spacing w:line="0" w:lineRule="atLeast"/>
              <w:jc w:val="center"/>
              <w:rPr>
                <w:rFonts w:hint="eastAsia" w:ascii="Arial" w:hAnsi="Arial" w:cs="Arial"/>
                <w:bCs/>
                <w:color w:val="auto"/>
                <w:kern w:val="0"/>
                <w:szCs w:val="21"/>
                <w:highlight w:val="none"/>
              </w:rPr>
            </w:pPr>
          </w:p>
        </w:tc>
        <w:tc>
          <w:tcPr>
            <w:tcW w:w="653" w:type="dxa"/>
            <w:vMerge w:val="continue"/>
            <w:tcBorders>
              <w:tl2br w:val="nil"/>
              <w:tr2bl w:val="nil"/>
            </w:tcBorders>
            <w:noWrap w:val="0"/>
            <w:vAlign w:val="center"/>
          </w:tcPr>
          <w:p w14:paraId="1E03D7B8">
            <w:pPr>
              <w:spacing w:line="0" w:lineRule="atLeast"/>
              <w:jc w:val="center"/>
              <w:rPr>
                <w:rFonts w:hint="eastAsia" w:ascii="宋体" w:hAnsi="宋体"/>
                <w:color w:val="auto"/>
                <w:szCs w:val="21"/>
                <w:highlight w:val="none"/>
              </w:rPr>
            </w:pPr>
          </w:p>
        </w:tc>
        <w:tc>
          <w:tcPr>
            <w:tcW w:w="4344" w:type="dxa"/>
            <w:tcBorders>
              <w:tl2br w:val="nil"/>
              <w:tr2bl w:val="nil"/>
            </w:tcBorders>
            <w:noWrap w:val="0"/>
            <w:vAlign w:val="center"/>
          </w:tcPr>
          <w:p w14:paraId="7F97EF7A">
            <w:pPr>
              <w:spacing w:line="0" w:lineRule="atLeast"/>
              <w:rPr>
                <w:rFonts w:hint="eastAsia" w:ascii="宋体" w:hAnsi="宋体"/>
                <w:bCs/>
                <w:color w:val="auto"/>
                <w:spacing w:val="-10"/>
                <w:szCs w:val="21"/>
                <w:highlight w:val="none"/>
                <w:lang w:eastAsia="zh-CN"/>
              </w:rPr>
            </w:pPr>
            <w:r>
              <w:rPr>
                <w:rFonts w:hint="eastAsia" w:ascii="宋体" w:hAnsi="宋体"/>
                <w:bCs/>
                <w:color w:val="auto"/>
                <w:spacing w:val="-10"/>
                <w:szCs w:val="21"/>
                <w:highlight w:val="none"/>
                <w:lang w:eastAsia="zh-CN"/>
              </w:rPr>
              <w:t>工期关键线路图及保证措施 5 分。</w:t>
            </w:r>
          </w:p>
          <w:p w14:paraId="21B6E37B">
            <w:pPr>
              <w:spacing w:line="0" w:lineRule="atLeast"/>
              <w:rPr>
                <w:rFonts w:hint="eastAsia" w:ascii="宋体" w:hAnsi="宋体"/>
                <w:bCs/>
                <w:color w:val="auto"/>
                <w:spacing w:val="-10"/>
                <w:szCs w:val="21"/>
                <w:highlight w:val="none"/>
                <w:lang w:eastAsia="zh-CN"/>
              </w:rPr>
            </w:pPr>
            <w:r>
              <w:rPr>
                <w:rFonts w:hint="eastAsia" w:ascii="宋体" w:hAnsi="宋体"/>
                <w:bCs/>
                <w:color w:val="auto"/>
                <w:spacing w:val="-10"/>
                <w:szCs w:val="21"/>
                <w:highlight w:val="none"/>
                <w:lang w:eastAsia="zh-CN"/>
              </w:rPr>
              <w:t xml:space="preserve">工期关键线路图科学可行、有针对性、具体可行得 2 分，有此项但不完善者得 </w:t>
            </w:r>
            <w:r>
              <w:rPr>
                <w:rFonts w:hint="eastAsia" w:ascii="宋体" w:hAnsi="宋体"/>
                <w:bCs/>
                <w:color w:val="auto"/>
                <w:spacing w:val="-10"/>
                <w:szCs w:val="21"/>
                <w:highlight w:val="none"/>
                <w:lang w:val="en-US" w:eastAsia="zh-CN"/>
              </w:rPr>
              <w:t>1-2（不含2）</w:t>
            </w:r>
            <w:r>
              <w:rPr>
                <w:rFonts w:hint="eastAsia" w:ascii="宋体" w:hAnsi="宋体"/>
                <w:bCs/>
                <w:color w:val="auto"/>
                <w:spacing w:val="-10"/>
                <w:szCs w:val="21"/>
                <w:highlight w:val="none"/>
                <w:lang w:eastAsia="zh-CN"/>
              </w:rPr>
              <w:t>分，无此项者不得分；</w:t>
            </w:r>
          </w:p>
          <w:p w14:paraId="644EA736">
            <w:pPr>
              <w:spacing w:line="0" w:lineRule="atLeast"/>
              <w:rPr>
                <w:rFonts w:hint="default" w:ascii="宋体" w:hAnsi="宋体"/>
                <w:bCs/>
                <w:color w:val="auto"/>
                <w:spacing w:val="-10"/>
                <w:szCs w:val="21"/>
                <w:highlight w:val="none"/>
                <w:lang w:eastAsia="zh-CN"/>
              </w:rPr>
            </w:pPr>
            <w:r>
              <w:rPr>
                <w:rFonts w:hint="eastAsia" w:ascii="宋体" w:hAnsi="宋体"/>
                <w:bCs/>
                <w:color w:val="auto"/>
                <w:spacing w:val="-10"/>
                <w:szCs w:val="21"/>
                <w:highlight w:val="none"/>
                <w:lang w:eastAsia="zh-CN"/>
              </w:rPr>
              <w:t>有保证工期组织机构并保证工期措施有针对性并切实可行得 3 分，有此项但不完善者得 1</w:t>
            </w:r>
            <w:r>
              <w:rPr>
                <w:rFonts w:hint="eastAsia" w:ascii="宋体" w:hAnsi="宋体"/>
                <w:bCs/>
                <w:color w:val="auto"/>
                <w:spacing w:val="-10"/>
                <w:szCs w:val="21"/>
                <w:highlight w:val="none"/>
                <w:lang w:val="en-US" w:eastAsia="zh-CN"/>
              </w:rPr>
              <w:t>-3（不含3）</w:t>
            </w:r>
            <w:r>
              <w:rPr>
                <w:rFonts w:hint="eastAsia" w:ascii="宋体" w:hAnsi="宋体"/>
                <w:bCs/>
                <w:color w:val="auto"/>
                <w:spacing w:val="-10"/>
                <w:szCs w:val="21"/>
                <w:highlight w:val="none"/>
                <w:lang w:eastAsia="zh-CN"/>
              </w:rPr>
              <w:t xml:space="preserve"> 分，无此项者不得分。</w:t>
            </w:r>
          </w:p>
        </w:tc>
      </w:tr>
      <w:tr w14:paraId="1E2E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31" w:hRule="atLeast"/>
          <w:jc w:val="center"/>
        </w:trPr>
        <w:tc>
          <w:tcPr>
            <w:tcW w:w="1215" w:type="dxa"/>
            <w:vMerge w:val="continue"/>
            <w:tcBorders>
              <w:tl2br w:val="nil"/>
              <w:tr2bl w:val="nil"/>
            </w:tcBorders>
            <w:noWrap w:val="0"/>
            <w:vAlign w:val="center"/>
          </w:tcPr>
          <w:p w14:paraId="52BA53B4">
            <w:pPr>
              <w:widowControl/>
              <w:spacing w:before="100" w:beforeAutospacing="1" w:after="100" w:afterAutospacing="1"/>
              <w:jc w:val="center"/>
              <w:rPr>
                <w:rFonts w:hint="default" w:ascii="Times New Roman" w:hAnsi="Times New Roman" w:cs="Times New Roman"/>
                <w:kern w:val="0"/>
                <w:sz w:val="22"/>
                <w:szCs w:val="22"/>
                <w:lang w:bidi="ar"/>
              </w:rPr>
            </w:pPr>
          </w:p>
        </w:tc>
        <w:tc>
          <w:tcPr>
            <w:tcW w:w="1169" w:type="dxa"/>
            <w:vMerge w:val="continue"/>
            <w:tcBorders>
              <w:tl2br w:val="nil"/>
              <w:tr2bl w:val="nil"/>
            </w:tcBorders>
            <w:noWrap w:val="0"/>
            <w:vAlign w:val="center"/>
          </w:tcPr>
          <w:p w14:paraId="03F11CE8">
            <w:pPr>
              <w:widowControl/>
              <w:spacing w:beforeAutospacing="0" w:after="100" w:afterAutospacing="1"/>
              <w:jc w:val="center"/>
              <w:rPr>
                <w:rFonts w:hint="eastAsia" w:ascii="宋体" w:hAnsi="宋体"/>
                <w:color w:val="auto"/>
                <w:szCs w:val="21"/>
                <w:highlight w:val="none"/>
              </w:rPr>
            </w:pPr>
          </w:p>
        </w:tc>
        <w:tc>
          <w:tcPr>
            <w:tcW w:w="519" w:type="dxa"/>
            <w:vMerge w:val="continue"/>
            <w:tcBorders>
              <w:tl2br w:val="nil"/>
              <w:tr2bl w:val="nil"/>
            </w:tcBorders>
            <w:noWrap w:val="0"/>
            <w:vAlign w:val="center"/>
          </w:tcPr>
          <w:p w14:paraId="7EF43EF8">
            <w:pPr>
              <w:spacing w:line="0" w:lineRule="atLeast"/>
              <w:jc w:val="center"/>
              <w:rPr>
                <w:rFonts w:hint="eastAsia" w:ascii="宋体" w:hAnsi="宋体"/>
                <w:color w:val="auto"/>
                <w:szCs w:val="21"/>
                <w:highlight w:val="none"/>
              </w:rPr>
            </w:pPr>
          </w:p>
        </w:tc>
        <w:tc>
          <w:tcPr>
            <w:tcW w:w="1039" w:type="dxa"/>
            <w:vMerge w:val="continue"/>
            <w:tcBorders>
              <w:tl2br w:val="nil"/>
              <w:tr2bl w:val="nil"/>
            </w:tcBorders>
            <w:noWrap w:val="0"/>
            <w:vAlign w:val="center"/>
          </w:tcPr>
          <w:p w14:paraId="0196AA30">
            <w:pPr>
              <w:spacing w:line="0" w:lineRule="atLeast"/>
              <w:jc w:val="center"/>
              <w:rPr>
                <w:rFonts w:hint="eastAsia" w:ascii="Arial" w:hAnsi="Arial" w:cs="Arial"/>
                <w:bCs/>
                <w:color w:val="auto"/>
                <w:kern w:val="0"/>
                <w:szCs w:val="21"/>
                <w:highlight w:val="none"/>
              </w:rPr>
            </w:pPr>
          </w:p>
        </w:tc>
        <w:tc>
          <w:tcPr>
            <w:tcW w:w="653" w:type="dxa"/>
            <w:vMerge w:val="continue"/>
            <w:tcBorders>
              <w:tl2br w:val="nil"/>
              <w:tr2bl w:val="nil"/>
            </w:tcBorders>
            <w:noWrap w:val="0"/>
            <w:vAlign w:val="center"/>
          </w:tcPr>
          <w:p w14:paraId="67B48E33">
            <w:pPr>
              <w:spacing w:line="0" w:lineRule="atLeast"/>
              <w:jc w:val="center"/>
              <w:rPr>
                <w:rFonts w:hint="eastAsia" w:ascii="宋体" w:hAnsi="宋体"/>
                <w:color w:val="auto"/>
                <w:szCs w:val="21"/>
                <w:highlight w:val="none"/>
              </w:rPr>
            </w:pPr>
          </w:p>
        </w:tc>
        <w:tc>
          <w:tcPr>
            <w:tcW w:w="4344" w:type="dxa"/>
            <w:tcBorders>
              <w:tl2br w:val="nil"/>
              <w:tr2bl w:val="nil"/>
            </w:tcBorders>
            <w:noWrap w:val="0"/>
            <w:vAlign w:val="center"/>
          </w:tcPr>
          <w:p w14:paraId="1041F31C">
            <w:pPr>
              <w:spacing w:line="0" w:lineRule="atLeast"/>
              <w:rPr>
                <w:rFonts w:hint="eastAsia" w:ascii="宋体" w:hAnsi="宋体"/>
                <w:bCs/>
                <w:color w:val="auto"/>
                <w:spacing w:val="-10"/>
                <w:szCs w:val="21"/>
                <w:highlight w:val="none"/>
                <w:lang w:eastAsia="zh-CN"/>
              </w:rPr>
            </w:pPr>
            <w:r>
              <w:rPr>
                <w:rFonts w:hint="eastAsia" w:ascii="宋体" w:hAnsi="宋体"/>
                <w:bCs/>
                <w:color w:val="auto"/>
                <w:spacing w:val="-10"/>
                <w:szCs w:val="21"/>
                <w:highlight w:val="none"/>
                <w:lang w:eastAsia="zh-CN"/>
              </w:rPr>
              <w:t>关键工程质量保证措施 5 分。</w:t>
            </w:r>
          </w:p>
          <w:p w14:paraId="23BA520C">
            <w:pPr>
              <w:spacing w:line="0" w:lineRule="atLeast"/>
              <w:rPr>
                <w:rFonts w:hint="eastAsia" w:ascii="宋体" w:hAnsi="宋体"/>
                <w:bCs/>
                <w:color w:val="auto"/>
                <w:spacing w:val="-10"/>
                <w:szCs w:val="21"/>
                <w:highlight w:val="none"/>
                <w:lang w:eastAsia="zh-CN"/>
              </w:rPr>
            </w:pPr>
            <w:r>
              <w:rPr>
                <w:rFonts w:hint="eastAsia" w:ascii="宋体" w:hAnsi="宋体"/>
                <w:bCs/>
                <w:color w:val="auto"/>
                <w:spacing w:val="-10"/>
                <w:szCs w:val="21"/>
                <w:highlight w:val="none"/>
                <w:lang w:eastAsia="zh-CN"/>
              </w:rPr>
              <w:t>组织机构完整并切实可行(包括质量管理、技术管理、质量保证的组织机构)得2分，有此项但不完善者得</w:t>
            </w:r>
            <w:r>
              <w:rPr>
                <w:rFonts w:hint="eastAsia" w:ascii="宋体" w:hAnsi="宋体"/>
                <w:bCs/>
                <w:color w:val="auto"/>
                <w:spacing w:val="-10"/>
                <w:szCs w:val="21"/>
                <w:highlight w:val="none"/>
                <w:lang w:val="en-US" w:eastAsia="zh-CN"/>
              </w:rPr>
              <w:t>1-2</w:t>
            </w:r>
            <w:r>
              <w:rPr>
                <w:rFonts w:hint="eastAsia" w:ascii="宋体" w:hAnsi="宋体"/>
                <w:bCs/>
                <w:color w:val="auto"/>
                <w:spacing w:val="-10"/>
                <w:szCs w:val="21"/>
                <w:highlight w:val="none"/>
                <w:lang w:eastAsia="zh-CN"/>
              </w:rPr>
              <w:t>分（</w:t>
            </w:r>
            <w:r>
              <w:rPr>
                <w:rFonts w:hint="eastAsia" w:ascii="宋体" w:hAnsi="宋体"/>
                <w:bCs/>
                <w:color w:val="auto"/>
                <w:spacing w:val="-10"/>
                <w:szCs w:val="21"/>
                <w:highlight w:val="none"/>
                <w:lang w:val="en-US" w:eastAsia="zh-CN"/>
              </w:rPr>
              <w:t>不含2</w:t>
            </w:r>
            <w:r>
              <w:rPr>
                <w:rFonts w:hint="eastAsia" w:ascii="宋体" w:hAnsi="宋体"/>
                <w:bCs/>
                <w:color w:val="auto"/>
                <w:spacing w:val="-10"/>
                <w:szCs w:val="21"/>
                <w:highlight w:val="none"/>
                <w:lang w:eastAsia="zh-CN"/>
              </w:rPr>
              <w:t>），无此项者不得分；</w:t>
            </w:r>
          </w:p>
          <w:p w14:paraId="4590106B">
            <w:pPr>
              <w:spacing w:line="0" w:lineRule="atLeast"/>
              <w:rPr>
                <w:rFonts w:hint="default" w:ascii="宋体" w:hAnsi="宋体"/>
                <w:bCs/>
                <w:color w:val="auto"/>
                <w:spacing w:val="-10"/>
                <w:szCs w:val="21"/>
                <w:highlight w:val="none"/>
                <w:lang w:eastAsia="zh-CN"/>
              </w:rPr>
            </w:pPr>
            <w:r>
              <w:rPr>
                <w:rFonts w:hint="eastAsia" w:ascii="宋体" w:hAnsi="宋体"/>
                <w:bCs/>
                <w:color w:val="auto"/>
                <w:spacing w:val="-10"/>
                <w:szCs w:val="21"/>
                <w:highlight w:val="none"/>
                <w:lang w:eastAsia="zh-CN"/>
              </w:rPr>
              <w:t>保证质量措施有针对性并切实可行(包括质量、技术管理制度、质量责任制、工程质量检验制度)得3分，有此项但不完善者得</w:t>
            </w:r>
            <w:r>
              <w:rPr>
                <w:rFonts w:hint="eastAsia" w:ascii="宋体" w:hAnsi="宋体"/>
                <w:bCs/>
                <w:color w:val="auto"/>
                <w:spacing w:val="-10"/>
                <w:szCs w:val="21"/>
                <w:highlight w:val="none"/>
                <w:lang w:val="en-US" w:eastAsia="zh-CN"/>
              </w:rPr>
              <w:t>1-3</w:t>
            </w:r>
            <w:r>
              <w:rPr>
                <w:rFonts w:hint="eastAsia" w:ascii="宋体" w:hAnsi="宋体"/>
                <w:bCs/>
                <w:color w:val="auto"/>
                <w:spacing w:val="-10"/>
                <w:szCs w:val="21"/>
                <w:highlight w:val="none"/>
                <w:lang w:eastAsia="zh-CN"/>
              </w:rPr>
              <w:t>分（</w:t>
            </w:r>
            <w:r>
              <w:rPr>
                <w:rFonts w:hint="eastAsia" w:ascii="宋体" w:hAnsi="宋体"/>
                <w:bCs/>
                <w:color w:val="auto"/>
                <w:spacing w:val="-10"/>
                <w:szCs w:val="21"/>
                <w:highlight w:val="none"/>
                <w:lang w:val="en-US" w:eastAsia="zh-CN"/>
              </w:rPr>
              <w:t>不含3</w:t>
            </w:r>
            <w:r>
              <w:rPr>
                <w:rFonts w:hint="eastAsia" w:ascii="宋体" w:hAnsi="宋体"/>
                <w:bCs/>
                <w:color w:val="auto"/>
                <w:spacing w:val="-10"/>
                <w:szCs w:val="21"/>
                <w:highlight w:val="none"/>
                <w:lang w:eastAsia="zh-CN"/>
              </w:rPr>
              <w:t>），无此项者不得分。</w:t>
            </w:r>
          </w:p>
        </w:tc>
      </w:tr>
      <w:tr w14:paraId="5DE6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35" w:hRule="atLeast"/>
          <w:jc w:val="center"/>
        </w:trPr>
        <w:tc>
          <w:tcPr>
            <w:tcW w:w="1215" w:type="dxa"/>
            <w:vMerge w:val="continue"/>
            <w:tcBorders>
              <w:tl2br w:val="nil"/>
              <w:tr2bl w:val="nil"/>
            </w:tcBorders>
            <w:noWrap w:val="0"/>
            <w:vAlign w:val="center"/>
          </w:tcPr>
          <w:p w14:paraId="2739BF56">
            <w:pPr>
              <w:widowControl/>
              <w:spacing w:before="100" w:beforeAutospacing="1" w:after="100" w:afterAutospacing="1"/>
              <w:jc w:val="center"/>
              <w:rPr>
                <w:rFonts w:hint="default" w:ascii="Times New Roman" w:hAnsi="Times New Roman" w:cs="Times New Roman"/>
                <w:kern w:val="0"/>
                <w:sz w:val="22"/>
                <w:szCs w:val="22"/>
                <w:lang w:bidi="ar"/>
              </w:rPr>
            </w:pPr>
          </w:p>
        </w:tc>
        <w:tc>
          <w:tcPr>
            <w:tcW w:w="1169" w:type="dxa"/>
            <w:vMerge w:val="continue"/>
            <w:tcBorders>
              <w:tl2br w:val="nil"/>
              <w:tr2bl w:val="nil"/>
            </w:tcBorders>
            <w:noWrap w:val="0"/>
            <w:vAlign w:val="center"/>
          </w:tcPr>
          <w:p w14:paraId="497BB1B5">
            <w:pPr>
              <w:widowControl/>
              <w:spacing w:beforeAutospacing="0" w:after="100" w:afterAutospacing="1"/>
              <w:jc w:val="center"/>
              <w:rPr>
                <w:rFonts w:hint="eastAsia" w:ascii="宋体" w:hAnsi="宋体"/>
                <w:color w:val="auto"/>
                <w:szCs w:val="21"/>
                <w:highlight w:val="none"/>
              </w:rPr>
            </w:pPr>
          </w:p>
        </w:tc>
        <w:tc>
          <w:tcPr>
            <w:tcW w:w="519" w:type="dxa"/>
            <w:vMerge w:val="continue"/>
            <w:tcBorders>
              <w:tl2br w:val="nil"/>
              <w:tr2bl w:val="nil"/>
            </w:tcBorders>
            <w:noWrap w:val="0"/>
            <w:vAlign w:val="center"/>
          </w:tcPr>
          <w:p w14:paraId="78B089E7">
            <w:pPr>
              <w:spacing w:line="0" w:lineRule="atLeast"/>
              <w:jc w:val="center"/>
              <w:rPr>
                <w:rFonts w:hint="eastAsia" w:ascii="宋体" w:hAnsi="宋体"/>
                <w:color w:val="auto"/>
                <w:szCs w:val="21"/>
                <w:highlight w:val="none"/>
              </w:rPr>
            </w:pPr>
          </w:p>
        </w:tc>
        <w:tc>
          <w:tcPr>
            <w:tcW w:w="1039" w:type="dxa"/>
            <w:vMerge w:val="continue"/>
            <w:tcBorders>
              <w:tl2br w:val="nil"/>
              <w:tr2bl w:val="nil"/>
            </w:tcBorders>
            <w:noWrap w:val="0"/>
            <w:vAlign w:val="center"/>
          </w:tcPr>
          <w:p w14:paraId="140B7E3A">
            <w:pPr>
              <w:spacing w:line="0" w:lineRule="atLeast"/>
              <w:jc w:val="center"/>
              <w:rPr>
                <w:rFonts w:hint="eastAsia" w:ascii="Arial" w:hAnsi="Arial" w:cs="Arial"/>
                <w:bCs/>
                <w:color w:val="auto"/>
                <w:kern w:val="0"/>
                <w:szCs w:val="21"/>
                <w:highlight w:val="none"/>
              </w:rPr>
            </w:pPr>
          </w:p>
        </w:tc>
        <w:tc>
          <w:tcPr>
            <w:tcW w:w="653" w:type="dxa"/>
            <w:vMerge w:val="continue"/>
            <w:tcBorders>
              <w:tl2br w:val="nil"/>
              <w:tr2bl w:val="nil"/>
            </w:tcBorders>
            <w:noWrap w:val="0"/>
            <w:vAlign w:val="center"/>
          </w:tcPr>
          <w:p w14:paraId="54C4F252">
            <w:pPr>
              <w:spacing w:line="0" w:lineRule="atLeast"/>
              <w:jc w:val="center"/>
              <w:rPr>
                <w:rFonts w:hint="eastAsia" w:ascii="宋体" w:hAnsi="宋体"/>
                <w:color w:val="auto"/>
                <w:szCs w:val="21"/>
                <w:highlight w:val="none"/>
              </w:rPr>
            </w:pPr>
          </w:p>
        </w:tc>
        <w:tc>
          <w:tcPr>
            <w:tcW w:w="4344" w:type="dxa"/>
            <w:tcBorders>
              <w:tl2br w:val="nil"/>
              <w:tr2bl w:val="nil"/>
            </w:tcBorders>
            <w:noWrap w:val="0"/>
            <w:vAlign w:val="center"/>
          </w:tcPr>
          <w:p w14:paraId="3A4B853B">
            <w:pPr>
              <w:spacing w:line="0" w:lineRule="atLeast"/>
              <w:rPr>
                <w:rFonts w:hint="eastAsia" w:ascii="宋体" w:hAnsi="宋体"/>
                <w:bCs/>
                <w:color w:val="auto"/>
                <w:spacing w:val="-10"/>
                <w:szCs w:val="21"/>
                <w:highlight w:val="none"/>
                <w:lang w:eastAsia="zh-CN"/>
              </w:rPr>
            </w:pPr>
            <w:r>
              <w:rPr>
                <w:rFonts w:hint="eastAsia" w:ascii="宋体" w:hAnsi="宋体"/>
                <w:bCs/>
                <w:color w:val="auto"/>
                <w:spacing w:val="-10"/>
                <w:szCs w:val="21"/>
                <w:highlight w:val="none"/>
                <w:lang w:eastAsia="zh-CN"/>
              </w:rPr>
              <w:t>安全保证措施5分。</w:t>
            </w:r>
          </w:p>
          <w:p w14:paraId="4B4161F8">
            <w:pPr>
              <w:spacing w:line="0" w:lineRule="atLeast"/>
              <w:rPr>
                <w:rFonts w:hint="eastAsia" w:ascii="宋体" w:hAnsi="宋体"/>
                <w:bCs/>
                <w:color w:val="auto"/>
                <w:spacing w:val="-10"/>
                <w:szCs w:val="21"/>
                <w:highlight w:val="none"/>
                <w:lang w:eastAsia="zh-CN"/>
              </w:rPr>
            </w:pPr>
            <w:r>
              <w:rPr>
                <w:rFonts w:hint="eastAsia" w:ascii="宋体" w:hAnsi="宋体"/>
                <w:bCs/>
                <w:color w:val="auto"/>
                <w:spacing w:val="-10"/>
                <w:szCs w:val="21"/>
                <w:highlight w:val="none"/>
                <w:lang w:eastAsia="zh-CN"/>
              </w:rPr>
              <w:t>安全生产组织机构完整并切实可行得2 分，有此项但不完善者得</w:t>
            </w:r>
            <w:r>
              <w:rPr>
                <w:rFonts w:hint="eastAsia" w:ascii="宋体" w:hAnsi="宋体"/>
                <w:bCs/>
                <w:color w:val="auto"/>
                <w:spacing w:val="-10"/>
                <w:szCs w:val="21"/>
                <w:highlight w:val="none"/>
                <w:lang w:val="en-US" w:eastAsia="zh-CN"/>
              </w:rPr>
              <w:t>1-2</w:t>
            </w:r>
            <w:r>
              <w:rPr>
                <w:rFonts w:hint="eastAsia" w:ascii="宋体" w:hAnsi="宋体"/>
                <w:bCs/>
                <w:color w:val="auto"/>
                <w:spacing w:val="-10"/>
                <w:szCs w:val="21"/>
                <w:highlight w:val="none"/>
                <w:lang w:eastAsia="zh-CN"/>
              </w:rPr>
              <w:t>分（</w:t>
            </w:r>
            <w:r>
              <w:rPr>
                <w:rFonts w:hint="eastAsia" w:ascii="宋体" w:hAnsi="宋体"/>
                <w:bCs/>
                <w:color w:val="auto"/>
                <w:spacing w:val="-10"/>
                <w:szCs w:val="21"/>
                <w:highlight w:val="none"/>
                <w:lang w:val="en-US" w:eastAsia="zh-CN"/>
              </w:rPr>
              <w:t>不含2</w:t>
            </w:r>
            <w:r>
              <w:rPr>
                <w:rFonts w:hint="eastAsia" w:ascii="宋体" w:hAnsi="宋体"/>
                <w:bCs/>
                <w:color w:val="auto"/>
                <w:spacing w:val="-10"/>
                <w:szCs w:val="21"/>
                <w:highlight w:val="none"/>
                <w:lang w:eastAsia="zh-CN"/>
              </w:rPr>
              <w:t>），无此项者不得分；</w:t>
            </w:r>
          </w:p>
          <w:p w14:paraId="7406110E">
            <w:pPr>
              <w:spacing w:line="0" w:lineRule="atLeast"/>
              <w:rPr>
                <w:rFonts w:hint="default" w:ascii="宋体" w:hAnsi="宋体"/>
                <w:bCs/>
                <w:color w:val="auto"/>
                <w:spacing w:val="-10"/>
                <w:szCs w:val="21"/>
                <w:highlight w:val="none"/>
                <w:lang w:eastAsia="zh-CN"/>
              </w:rPr>
            </w:pPr>
            <w:r>
              <w:rPr>
                <w:rFonts w:hint="eastAsia" w:ascii="宋体" w:hAnsi="宋体"/>
                <w:bCs/>
                <w:color w:val="auto"/>
                <w:spacing w:val="-10"/>
                <w:szCs w:val="21"/>
                <w:highlight w:val="none"/>
                <w:lang w:eastAsia="zh-CN"/>
              </w:rPr>
              <w:t xml:space="preserve">安全生产措施有针对性并切实可行得3 分，有此项但不完善者得 </w:t>
            </w:r>
            <w:r>
              <w:rPr>
                <w:rFonts w:hint="eastAsia" w:ascii="宋体" w:hAnsi="宋体"/>
                <w:bCs/>
                <w:color w:val="auto"/>
                <w:spacing w:val="-10"/>
                <w:szCs w:val="21"/>
                <w:highlight w:val="none"/>
                <w:lang w:val="en-US" w:eastAsia="zh-CN"/>
              </w:rPr>
              <w:t>1-3</w:t>
            </w:r>
            <w:r>
              <w:rPr>
                <w:rFonts w:hint="eastAsia" w:ascii="宋体" w:hAnsi="宋体"/>
                <w:bCs/>
                <w:color w:val="auto"/>
                <w:spacing w:val="-10"/>
                <w:szCs w:val="21"/>
                <w:highlight w:val="none"/>
                <w:lang w:eastAsia="zh-CN"/>
              </w:rPr>
              <w:t xml:space="preserve"> 分（</w:t>
            </w:r>
            <w:r>
              <w:rPr>
                <w:rFonts w:hint="eastAsia" w:ascii="宋体" w:hAnsi="宋体"/>
                <w:bCs/>
                <w:color w:val="auto"/>
                <w:spacing w:val="-10"/>
                <w:szCs w:val="21"/>
                <w:highlight w:val="none"/>
                <w:lang w:val="en-US" w:eastAsia="zh-CN"/>
              </w:rPr>
              <w:t>不含3</w:t>
            </w:r>
            <w:r>
              <w:rPr>
                <w:rFonts w:hint="eastAsia" w:ascii="宋体" w:hAnsi="宋体"/>
                <w:bCs/>
                <w:color w:val="auto"/>
                <w:spacing w:val="-10"/>
                <w:szCs w:val="21"/>
                <w:highlight w:val="none"/>
                <w:lang w:eastAsia="zh-CN"/>
              </w:rPr>
              <w:t>），无此项者不得分。</w:t>
            </w:r>
          </w:p>
        </w:tc>
      </w:tr>
      <w:tr w14:paraId="1514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07" w:hRule="atLeast"/>
          <w:jc w:val="center"/>
        </w:trPr>
        <w:tc>
          <w:tcPr>
            <w:tcW w:w="1215" w:type="dxa"/>
            <w:vMerge w:val="continue"/>
            <w:tcBorders>
              <w:tl2br w:val="nil"/>
              <w:tr2bl w:val="nil"/>
            </w:tcBorders>
            <w:noWrap w:val="0"/>
            <w:vAlign w:val="center"/>
          </w:tcPr>
          <w:p w14:paraId="228BAE88">
            <w:pPr>
              <w:widowControl/>
              <w:spacing w:before="100" w:beforeAutospacing="1" w:after="100" w:afterAutospacing="1"/>
              <w:jc w:val="center"/>
              <w:rPr>
                <w:rFonts w:hint="default" w:ascii="Times New Roman" w:hAnsi="Times New Roman" w:cs="Times New Roman"/>
                <w:kern w:val="0"/>
                <w:sz w:val="22"/>
                <w:szCs w:val="22"/>
                <w:lang w:bidi="ar"/>
              </w:rPr>
            </w:pPr>
          </w:p>
        </w:tc>
        <w:tc>
          <w:tcPr>
            <w:tcW w:w="1169" w:type="dxa"/>
            <w:vMerge w:val="continue"/>
            <w:tcBorders>
              <w:tl2br w:val="nil"/>
              <w:tr2bl w:val="nil"/>
            </w:tcBorders>
            <w:noWrap w:val="0"/>
            <w:vAlign w:val="center"/>
          </w:tcPr>
          <w:p w14:paraId="4D1B514E">
            <w:pPr>
              <w:widowControl/>
              <w:spacing w:beforeAutospacing="0" w:after="100" w:afterAutospacing="1"/>
              <w:jc w:val="center"/>
              <w:rPr>
                <w:rFonts w:hint="eastAsia" w:ascii="宋体" w:hAnsi="宋体"/>
                <w:color w:val="auto"/>
                <w:szCs w:val="21"/>
                <w:highlight w:val="none"/>
              </w:rPr>
            </w:pPr>
          </w:p>
        </w:tc>
        <w:tc>
          <w:tcPr>
            <w:tcW w:w="519" w:type="dxa"/>
            <w:vMerge w:val="continue"/>
            <w:tcBorders>
              <w:tl2br w:val="nil"/>
              <w:tr2bl w:val="nil"/>
            </w:tcBorders>
            <w:noWrap w:val="0"/>
            <w:vAlign w:val="center"/>
          </w:tcPr>
          <w:p w14:paraId="69DEA2B3">
            <w:pPr>
              <w:spacing w:line="0" w:lineRule="atLeast"/>
              <w:jc w:val="center"/>
              <w:rPr>
                <w:rFonts w:hint="eastAsia" w:ascii="宋体" w:hAnsi="宋体"/>
                <w:color w:val="auto"/>
                <w:szCs w:val="21"/>
                <w:highlight w:val="none"/>
              </w:rPr>
            </w:pPr>
          </w:p>
        </w:tc>
        <w:tc>
          <w:tcPr>
            <w:tcW w:w="1039" w:type="dxa"/>
            <w:vMerge w:val="continue"/>
            <w:tcBorders>
              <w:tl2br w:val="nil"/>
              <w:tr2bl w:val="nil"/>
            </w:tcBorders>
            <w:noWrap w:val="0"/>
            <w:vAlign w:val="center"/>
          </w:tcPr>
          <w:p w14:paraId="418891FA">
            <w:pPr>
              <w:spacing w:line="0" w:lineRule="atLeast"/>
              <w:jc w:val="center"/>
              <w:rPr>
                <w:rFonts w:hint="eastAsia" w:ascii="Arial" w:hAnsi="Arial" w:cs="Arial"/>
                <w:bCs/>
                <w:color w:val="auto"/>
                <w:kern w:val="0"/>
                <w:szCs w:val="21"/>
                <w:highlight w:val="none"/>
              </w:rPr>
            </w:pPr>
          </w:p>
        </w:tc>
        <w:tc>
          <w:tcPr>
            <w:tcW w:w="653" w:type="dxa"/>
            <w:vMerge w:val="continue"/>
            <w:tcBorders>
              <w:tl2br w:val="nil"/>
              <w:tr2bl w:val="nil"/>
            </w:tcBorders>
            <w:noWrap w:val="0"/>
            <w:vAlign w:val="center"/>
          </w:tcPr>
          <w:p w14:paraId="1F596E9B">
            <w:pPr>
              <w:spacing w:line="0" w:lineRule="atLeast"/>
              <w:jc w:val="center"/>
              <w:rPr>
                <w:rFonts w:hint="eastAsia" w:ascii="宋体" w:hAnsi="宋体"/>
                <w:color w:val="auto"/>
                <w:szCs w:val="21"/>
                <w:highlight w:val="none"/>
              </w:rPr>
            </w:pPr>
          </w:p>
        </w:tc>
        <w:tc>
          <w:tcPr>
            <w:tcW w:w="4344" w:type="dxa"/>
            <w:tcBorders>
              <w:tl2br w:val="nil"/>
              <w:tr2bl w:val="nil"/>
            </w:tcBorders>
            <w:noWrap w:val="0"/>
            <w:vAlign w:val="center"/>
          </w:tcPr>
          <w:p w14:paraId="09882874">
            <w:pPr>
              <w:spacing w:line="0" w:lineRule="atLeast"/>
              <w:rPr>
                <w:rFonts w:hint="eastAsia" w:ascii="宋体" w:hAnsi="宋体"/>
                <w:bCs/>
                <w:color w:val="auto"/>
                <w:spacing w:val="-10"/>
                <w:szCs w:val="21"/>
                <w:highlight w:val="none"/>
                <w:lang w:eastAsia="zh-CN"/>
              </w:rPr>
            </w:pPr>
            <w:r>
              <w:rPr>
                <w:rFonts w:hint="eastAsia" w:ascii="宋体" w:hAnsi="宋体"/>
                <w:bCs/>
                <w:color w:val="auto"/>
                <w:spacing w:val="-10"/>
                <w:szCs w:val="21"/>
                <w:highlight w:val="none"/>
                <w:lang w:eastAsia="zh-CN"/>
              </w:rPr>
              <w:t>项目风险预测与防范，事故应急预案5 分。</w:t>
            </w:r>
          </w:p>
          <w:p w14:paraId="0450140B">
            <w:pPr>
              <w:spacing w:line="0" w:lineRule="atLeast"/>
              <w:rPr>
                <w:rFonts w:hint="default" w:ascii="宋体" w:hAnsi="宋体"/>
                <w:bCs/>
                <w:color w:val="auto"/>
                <w:spacing w:val="-10"/>
                <w:szCs w:val="21"/>
                <w:highlight w:val="none"/>
                <w:lang w:eastAsia="zh-CN"/>
              </w:rPr>
            </w:pPr>
            <w:r>
              <w:rPr>
                <w:rFonts w:hint="eastAsia" w:ascii="宋体" w:hAnsi="宋体"/>
                <w:bCs/>
                <w:color w:val="auto"/>
                <w:spacing w:val="-10"/>
                <w:szCs w:val="21"/>
                <w:highlight w:val="none"/>
                <w:lang w:eastAsia="zh-CN"/>
              </w:rPr>
              <w:t>项目风险的处理措施、预案以及抵抗风险措施切实可行、有针对性得 5 分，有此项基本完善得</w:t>
            </w:r>
            <w:r>
              <w:rPr>
                <w:rFonts w:hint="eastAsia" w:ascii="宋体" w:hAnsi="宋体"/>
                <w:bCs/>
                <w:color w:val="auto"/>
                <w:spacing w:val="-10"/>
                <w:szCs w:val="21"/>
                <w:highlight w:val="none"/>
                <w:lang w:val="en-US" w:eastAsia="zh-CN"/>
              </w:rPr>
              <w:t>2-5</w:t>
            </w:r>
            <w:r>
              <w:rPr>
                <w:rFonts w:hint="eastAsia" w:ascii="宋体" w:hAnsi="宋体"/>
                <w:bCs/>
                <w:color w:val="auto"/>
                <w:spacing w:val="-10"/>
                <w:szCs w:val="21"/>
                <w:highlight w:val="none"/>
                <w:lang w:eastAsia="zh-CN"/>
              </w:rPr>
              <w:t>分（</w:t>
            </w:r>
            <w:r>
              <w:rPr>
                <w:rFonts w:hint="eastAsia" w:ascii="宋体" w:hAnsi="宋体"/>
                <w:bCs/>
                <w:color w:val="auto"/>
                <w:spacing w:val="-10"/>
                <w:szCs w:val="21"/>
                <w:highlight w:val="none"/>
                <w:lang w:val="en-US" w:eastAsia="zh-CN"/>
              </w:rPr>
              <w:t>不含5</w:t>
            </w:r>
            <w:r>
              <w:rPr>
                <w:rFonts w:hint="eastAsia" w:ascii="宋体" w:hAnsi="宋体"/>
                <w:bCs/>
                <w:color w:val="auto"/>
                <w:spacing w:val="-10"/>
                <w:szCs w:val="21"/>
                <w:highlight w:val="none"/>
                <w:lang w:eastAsia="zh-CN"/>
              </w:rPr>
              <w:t>），不完善得</w:t>
            </w:r>
            <w:r>
              <w:rPr>
                <w:rFonts w:hint="eastAsia" w:ascii="宋体" w:hAnsi="宋体"/>
                <w:bCs/>
                <w:color w:val="auto"/>
                <w:spacing w:val="-10"/>
                <w:szCs w:val="21"/>
                <w:highlight w:val="none"/>
                <w:lang w:val="en-US" w:eastAsia="zh-CN"/>
              </w:rPr>
              <w:t>1-2</w:t>
            </w:r>
            <w:r>
              <w:rPr>
                <w:rFonts w:hint="eastAsia" w:ascii="宋体" w:hAnsi="宋体"/>
                <w:bCs/>
                <w:color w:val="auto"/>
                <w:spacing w:val="-10"/>
                <w:szCs w:val="21"/>
                <w:highlight w:val="none"/>
                <w:lang w:eastAsia="zh-CN"/>
              </w:rPr>
              <w:t>分（</w:t>
            </w:r>
            <w:r>
              <w:rPr>
                <w:rFonts w:hint="eastAsia" w:ascii="宋体" w:hAnsi="宋体"/>
                <w:bCs/>
                <w:color w:val="auto"/>
                <w:spacing w:val="-10"/>
                <w:szCs w:val="21"/>
                <w:highlight w:val="none"/>
                <w:lang w:val="en-US" w:eastAsia="zh-CN"/>
              </w:rPr>
              <w:t>不含2</w:t>
            </w:r>
            <w:r>
              <w:rPr>
                <w:rFonts w:hint="eastAsia" w:ascii="宋体" w:hAnsi="宋体"/>
                <w:bCs/>
                <w:color w:val="auto"/>
                <w:spacing w:val="-10"/>
                <w:szCs w:val="21"/>
                <w:highlight w:val="none"/>
                <w:lang w:eastAsia="zh-CN"/>
              </w:rPr>
              <w:t>），无此项不得分。</w:t>
            </w:r>
          </w:p>
        </w:tc>
      </w:tr>
      <w:tr w14:paraId="0A2C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57" w:hRule="atLeast"/>
          <w:jc w:val="center"/>
        </w:trPr>
        <w:tc>
          <w:tcPr>
            <w:tcW w:w="8939" w:type="dxa"/>
            <w:gridSpan w:val="6"/>
            <w:tcBorders>
              <w:tl2br w:val="nil"/>
              <w:tr2bl w:val="nil"/>
            </w:tcBorders>
            <w:noWrap w:val="0"/>
            <w:vAlign w:val="center"/>
          </w:tcPr>
          <w:p w14:paraId="53395CE8">
            <w:pPr>
              <w:widowControl/>
              <w:spacing w:before="100" w:beforeAutospacing="1" w:afterAutospacing="0"/>
              <w:ind w:firstLine="0" w:firstLineChars="0"/>
              <w:jc w:val="left"/>
              <w:rPr>
                <w:rFonts w:hint="default" w:ascii="Times New Roman" w:hAnsi="Times New Roman" w:cs="Times New Roman"/>
                <w:sz w:val="22"/>
                <w:szCs w:val="22"/>
              </w:rPr>
            </w:pPr>
            <w:r>
              <w:rPr>
                <w:rFonts w:hint="default" w:ascii="Times New Roman" w:hAnsi="Times New Roman" w:cs="Times New Roman"/>
                <w:sz w:val="22"/>
                <w:szCs w:val="22"/>
              </w:rPr>
              <w:t>需要补充的其他内容：</w:t>
            </w:r>
          </w:p>
          <w:p w14:paraId="0B303F51">
            <w:pPr>
              <w:widowControl/>
              <w:spacing w:beforeAutospacing="0" w:afterAutospacing="0" w:line="280" w:lineRule="exact"/>
              <w:jc w:val="left"/>
              <w:rPr>
                <w:rFonts w:hint="default" w:ascii="Times New Roman" w:hAnsi="Times New Roman" w:cs="Times New Roman"/>
                <w:sz w:val="22"/>
                <w:szCs w:val="22"/>
              </w:rPr>
            </w:pPr>
            <w:r>
              <w:rPr>
                <w:rFonts w:hint="default" w:ascii="Times New Roman" w:hAnsi="Times New Roman" w:cs="Times New Roman"/>
                <w:kern w:val="0"/>
                <w:sz w:val="22"/>
                <w:szCs w:val="22"/>
                <w:lang w:bidi="ar"/>
              </w:rPr>
              <w:t>1.各评分因素得分以评标委员会各成员的单项打分的算术平均值确定。评标委员会各成员的单项打分分值小数点后保留一位，计算过程及计算结果小数点后保留两位小数，小数点后第三位“四舍五入”。</w:t>
            </w:r>
          </w:p>
          <w:p w14:paraId="04CAE8B2">
            <w:pPr>
              <w:widowControl/>
              <w:spacing w:beforeAutospacing="0" w:afterAutospacing="0" w:line="280" w:lineRule="exact"/>
              <w:jc w:val="left"/>
              <w:rPr>
                <w:rFonts w:hint="default" w:ascii="Times New Roman" w:hAnsi="Times New Roman" w:cs="Times New Roman"/>
                <w:sz w:val="22"/>
                <w:szCs w:val="22"/>
              </w:rPr>
            </w:pPr>
            <w:r>
              <w:rPr>
                <w:rFonts w:hint="default" w:ascii="Times New Roman" w:hAnsi="Times New Roman" w:cs="Times New Roman"/>
                <w:kern w:val="0"/>
                <w:sz w:val="22"/>
                <w:szCs w:val="22"/>
                <w:lang w:bidi="ar"/>
              </w:rPr>
              <w:t>2.投标人所附企业加分业绩应为近五</w:t>
            </w:r>
            <w:r>
              <w:rPr>
                <w:rFonts w:hint="default" w:ascii="Times New Roman" w:hAnsi="Times New Roman" w:cs="Times New Roman"/>
                <w:kern w:val="0"/>
                <w:sz w:val="22"/>
                <w:szCs w:val="22"/>
                <w:highlight w:val="none"/>
                <w:lang w:bidi="ar"/>
              </w:rPr>
              <w:t>年（</w:t>
            </w:r>
            <w:r>
              <w:rPr>
                <w:rFonts w:hint="eastAsia" w:ascii="Times New Roman" w:hAnsi="Times New Roman" w:eastAsia="宋体" w:cs="Times New Roman"/>
                <w:kern w:val="0"/>
                <w:sz w:val="22"/>
                <w:szCs w:val="22"/>
                <w:highlight w:val="none"/>
                <w:lang w:eastAsia="zh-CN" w:bidi="ar"/>
              </w:rPr>
              <w:t>2020年</w:t>
            </w:r>
            <w:r>
              <w:rPr>
                <w:rFonts w:hint="eastAsia" w:ascii="Times New Roman" w:hAnsi="Times New Roman" w:eastAsia="宋体" w:cs="Times New Roman"/>
                <w:kern w:val="0"/>
                <w:sz w:val="22"/>
                <w:szCs w:val="22"/>
                <w:highlight w:val="none"/>
                <w:lang w:val="en-US" w:eastAsia="zh-CN" w:bidi="ar"/>
              </w:rPr>
              <w:t>5</w:t>
            </w:r>
            <w:r>
              <w:rPr>
                <w:rFonts w:hint="eastAsia" w:ascii="Times New Roman" w:hAnsi="Times New Roman" w:eastAsia="宋体" w:cs="Times New Roman"/>
                <w:kern w:val="0"/>
                <w:sz w:val="22"/>
                <w:szCs w:val="22"/>
                <w:highlight w:val="none"/>
                <w:lang w:eastAsia="zh-CN" w:bidi="ar"/>
              </w:rPr>
              <w:t>月1日~递交投标文件截止时间</w:t>
            </w:r>
            <w:r>
              <w:rPr>
                <w:rFonts w:hint="default" w:ascii="Times New Roman" w:hAnsi="Times New Roman" w:cs="Times New Roman"/>
                <w:kern w:val="0"/>
                <w:sz w:val="22"/>
                <w:szCs w:val="22"/>
                <w:highlight w:val="none"/>
                <w:lang w:bidi="ar"/>
              </w:rPr>
              <w:t>）内完成的项目业绩（以实际交工日期为准），超出此时间范围的业绩不加</w:t>
            </w:r>
            <w:r>
              <w:rPr>
                <w:rFonts w:hint="default" w:ascii="Times New Roman" w:hAnsi="Times New Roman" w:cs="Times New Roman"/>
                <w:kern w:val="0"/>
                <w:sz w:val="22"/>
                <w:szCs w:val="22"/>
                <w:lang w:bidi="ar"/>
              </w:rPr>
              <w:t>分。</w:t>
            </w:r>
          </w:p>
          <w:p w14:paraId="7A2C17D1">
            <w:pPr>
              <w:widowControl/>
              <w:spacing w:beforeAutospacing="0" w:afterAutospacing="0" w:line="280" w:lineRule="exact"/>
              <w:jc w:val="left"/>
              <w:rPr>
                <w:rFonts w:hint="default" w:ascii="Times New Roman" w:hAnsi="Times New Roman" w:cs="Times New Roman"/>
                <w:sz w:val="22"/>
                <w:szCs w:val="22"/>
              </w:rPr>
            </w:pPr>
            <w:r>
              <w:rPr>
                <w:rFonts w:hint="default" w:ascii="Times New Roman" w:hAnsi="Times New Roman" w:cs="Times New Roman"/>
                <w:kern w:val="0"/>
                <w:sz w:val="22"/>
                <w:szCs w:val="22"/>
                <w:lang w:bidi="ar"/>
              </w:rPr>
              <w:t>3.项目经理、项目总工的个人业绩加分项不设年限要求。</w:t>
            </w:r>
            <w:bookmarkStart w:id="0" w:name="_GoBack"/>
            <w:bookmarkEnd w:id="0"/>
          </w:p>
          <w:p w14:paraId="76FCC54E">
            <w:pPr>
              <w:keepNext w:val="0"/>
              <w:keepLines w:val="0"/>
              <w:widowControl/>
              <w:suppressLineNumbers w:val="0"/>
              <w:jc w:val="left"/>
            </w:pPr>
            <w:r>
              <w:rPr>
                <w:rFonts w:hint="default" w:ascii="Times New Roman" w:hAnsi="Times New Roman" w:cs="Times New Roman"/>
                <w:kern w:val="0"/>
                <w:sz w:val="22"/>
                <w:szCs w:val="22"/>
                <w:lang w:bidi="ar"/>
              </w:rPr>
              <w:t>4.</w:t>
            </w:r>
            <w:r>
              <w:rPr>
                <w:rFonts w:hint="eastAsia" w:ascii="宋体" w:hAnsi="宋体" w:eastAsia="宋体" w:cs="宋体"/>
                <w:color w:val="000000"/>
                <w:kern w:val="0"/>
                <w:sz w:val="22"/>
                <w:szCs w:val="22"/>
                <w:lang w:val="en-US" w:eastAsia="zh-CN" w:bidi="ar"/>
              </w:rPr>
              <w:t>如单个业绩能同时满足加分条件要求的，则该业绩可分别按照加分条件的要求分别进行加分。</w:t>
            </w:r>
          </w:p>
          <w:p w14:paraId="4261D917">
            <w:pPr>
              <w:widowControl/>
              <w:spacing w:beforeAutospacing="0" w:afterAutospacing="0" w:line="240" w:lineRule="auto"/>
              <w:jc w:val="left"/>
              <w:rPr>
                <w:rFonts w:hint="eastAsia" w:ascii="Times New Roman" w:hAnsi="Times New Roman" w:eastAsia="宋体" w:cs="Times New Roman"/>
                <w:color w:val="auto"/>
                <w:kern w:val="0"/>
                <w:sz w:val="22"/>
                <w:szCs w:val="22"/>
                <w:lang w:val="en-US" w:eastAsia="zh-CN" w:bidi="ar"/>
              </w:rPr>
            </w:pPr>
            <w:r>
              <w:rPr>
                <w:rFonts w:hint="default" w:ascii="Times New Roman" w:hAnsi="Times New Roman" w:cs="Times New Roman"/>
                <w:kern w:val="0"/>
                <w:sz w:val="22"/>
                <w:szCs w:val="22"/>
                <w:lang w:bidi="ar"/>
              </w:rPr>
              <w:t>5.类似业绩指</w:t>
            </w:r>
            <w:r>
              <w:rPr>
                <w:rFonts w:hint="eastAsia" w:ascii="Times New Roman" w:hAnsi="Times New Roman" w:cs="Times New Roman"/>
                <w:kern w:val="0"/>
                <w:sz w:val="22"/>
                <w:szCs w:val="22"/>
                <w:lang w:val="en-US" w:eastAsia="zh-CN" w:bidi="ar"/>
              </w:rPr>
              <w:t>二级及以上（含二级）</w:t>
            </w:r>
            <w:r>
              <w:rPr>
                <w:rFonts w:hint="default" w:ascii="Times New Roman" w:hAnsi="Times New Roman" w:cs="Times New Roman"/>
                <w:kern w:val="0"/>
                <w:sz w:val="22"/>
                <w:szCs w:val="22"/>
                <w:lang w:bidi="ar"/>
              </w:rPr>
              <w:t>公路施工项目</w:t>
            </w:r>
            <w:r>
              <w:rPr>
                <w:rFonts w:hint="eastAsia" w:ascii="Times New Roman" w:hAnsi="Times New Roman" w:eastAsia="宋体" w:cs="Times New Roman"/>
                <w:kern w:val="0"/>
                <w:sz w:val="22"/>
                <w:szCs w:val="22"/>
                <w:lang w:eastAsia="zh-CN" w:bidi="ar"/>
              </w:rPr>
              <w:t>。</w:t>
            </w:r>
          </w:p>
          <w:p w14:paraId="7A31D227">
            <w:pPr>
              <w:widowControl/>
              <w:spacing w:beforeAutospacing="0" w:afterAutospacing="0" w:line="280" w:lineRule="exact"/>
              <w:jc w:val="left"/>
              <w:rPr>
                <w:rFonts w:hint="default" w:ascii="Times New Roman" w:hAnsi="Times New Roman" w:cs="Times New Roman"/>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6.招标人设置成本价评估值，成本价评估值作为投标人投标报价是否“明显低于其他投标人报价”的重要参考依据。评标委员会发现投标人的投标报价低于成本价评估值的，该投标人应在第九章（报价文件）二、已标价工程量清单后对其投标报价作出书面说明，提供投标报价单价构成说明及相关证明材料（详细的清单预算、主要材料来源及价格证明材料以及评标委员会要求提供的其他材料等）并加盖投标人单位公章。投标人未提供或不能证明可以按照其报价以及招标文件规定的质量标准和履行期限完成招标项目的，评标委员会应当认定该投标人以低于成本价竞标，并否决其投标。</w:t>
            </w:r>
          </w:p>
          <w:p w14:paraId="34563D90">
            <w:pPr>
              <w:widowControl/>
              <w:spacing w:beforeAutospacing="0" w:afterAutospacing="0" w:line="280" w:lineRule="exact"/>
              <w:jc w:val="left"/>
              <w:rPr>
                <w:rFonts w:hint="default" w:ascii="Times New Roman" w:hAnsi="Times New Roman" w:cs="Times New Roman"/>
                <w:color w:val="auto"/>
                <w:kern w:val="0"/>
                <w:sz w:val="22"/>
                <w:szCs w:val="22"/>
                <w:lang w:val="en-US" w:eastAsia="zh-CN" w:bidi="ar"/>
              </w:rPr>
            </w:pPr>
            <w:r>
              <w:rPr>
                <w:rFonts w:hint="default" w:ascii="Times New Roman" w:hAnsi="Times New Roman" w:cs="Times New Roman"/>
                <w:color w:val="auto"/>
                <w:kern w:val="0"/>
                <w:sz w:val="22"/>
                <w:szCs w:val="22"/>
                <w:lang w:val="en-US" w:eastAsia="zh-CN" w:bidi="ar"/>
              </w:rPr>
              <w:t>成本价评估值=最高投标限价*0.85</w:t>
            </w:r>
          </w:p>
          <w:p w14:paraId="42251369">
            <w:pPr>
              <w:widowControl/>
              <w:spacing w:beforeAutospacing="0" w:afterAutospacing="0"/>
              <w:jc w:val="left"/>
              <w:rPr>
                <w:rFonts w:hint="default" w:ascii="Times New Roman" w:hAnsi="Times New Roman" w:cs="Times New Roman"/>
                <w:sz w:val="22"/>
                <w:szCs w:val="22"/>
              </w:rPr>
            </w:pPr>
            <w:r>
              <w:rPr>
                <w:rFonts w:hint="default" w:ascii="Times New Roman" w:hAnsi="Times New Roman" w:cs="Times New Roman"/>
                <w:sz w:val="22"/>
                <w:szCs w:val="22"/>
                <w:lang w:val="en-US" w:eastAsia="zh-CN"/>
              </w:rPr>
              <w:t>7</w:t>
            </w:r>
            <w:r>
              <w:rPr>
                <w:rFonts w:hint="default" w:ascii="Times New Roman" w:hAnsi="Times New Roman" w:cs="Times New Roman"/>
                <w:sz w:val="22"/>
                <w:szCs w:val="22"/>
              </w:rPr>
              <w:t>.如本项目招标由投标人按照招标人提供的工程量固化清单电子文件填写工程量清单，无须按照</w:t>
            </w:r>
            <w:r>
              <w:rPr>
                <w:rFonts w:hint="default" w:ascii="Times New Roman" w:hAnsi="Times New Roman" w:cs="Times New Roman"/>
                <w:color w:val="auto"/>
                <w:sz w:val="22"/>
                <w:szCs w:val="22"/>
              </w:rPr>
              <w:t>本章第3.4.2项和第3.4.3项的规定对</w:t>
            </w:r>
            <w:r>
              <w:rPr>
                <w:rFonts w:hint="default" w:ascii="Times New Roman" w:hAnsi="Times New Roman" w:cs="Times New Roman"/>
                <w:sz w:val="22"/>
                <w:szCs w:val="22"/>
              </w:rPr>
              <w:t>投标报价进行修正，评标价＝投标函文字报价－暂估价－暂列金额（不含计日工总额）。</w:t>
            </w:r>
          </w:p>
          <w:p w14:paraId="25A959BD">
            <w:pPr>
              <w:spacing w:beforeAutospacing="0" w:afterAutospacing="0" w:line="280" w:lineRule="exact"/>
              <w:jc w:val="left"/>
              <w:rPr>
                <w:rFonts w:hint="default" w:ascii="Times New Roman" w:hAnsi="Times New Roman" w:cs="Times New Roman"/>
                <w:kern w:val="0"/>
                <w:sz w:val="22"/>
                <w:szCs w:val="22"/>
                <w:lang w:bidi="ar"/>
              </w:rPr>
            </w:pPr>
            <w:r>
              <w:rPr>
                <w:rFonts w:hint="default" w:ascii="Times New Roman" w:hAnsi="Times New Roman" w:cs="Times New Roman"/>
                <w:kern w:val="0"/>
                <w:sz w:val="22"/>
                <w:szCs w:val="22"/>
                <w:lang w:val="en-US" w:eastAsia="zh-CN" w:bidi="ar"/>
              </w:rPr>
              <w:t>8</w:t>
            </w:r>
            <w:r>
              <w:rPr>
                <w:rFonts w:hint="default" w:ascii="Times New Roman" w:hAnsi="Times New Roman" w:cs="Times New Roman"/>
                <w:kern w:val="0"/>
                <w:sz w:val="22"/>
                <w:szCs w:val="22"/>
                <w:lang w:bidi="ar"/>
              </w:rPr>
              <w:t>.评标办法前附表内容与评标办法正文件不一致处，以评标办法前附表内容为准；前附表未规定部分以正文以准；</w:t>
            </w:r>
          </w:p>
        </w:tc>
      </w:tr>
    </w:tbl>
    <w:p w14:paraId="14582FF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9029FA"/>
    <w:multiLevelType w:val="singleLevel"/>
    <w:tmpl w:val="D89029FA"/>
    <w:lvl w:ilvl="0" w:tentative="0">
      <w:start w:val="1"/>
      <w:numFmt w:val="decimal"/>
      <w:lvlText w:val="%1)"/>
      <w:lvlJc w:val="left"/>
      <w:pPr>
        <w:tabs>
          <w:tab w:val="left" w:pos="312"/>
        </w:tabs>
      </w:pPr>
    </w:lvl>
  </w:abstractNum>
  <w:abstractNum w:abstractNumId="1">
    <w:nsid w:val="F2FB1212"/>
    <w:multiLevelType w:val="singleLevel"/>
    <w:tmpl w:val="F2FB1212"/>
    <w:lvl w:ilvl="0" w:tentative="0">
      <w:start w:val="2"/>
      <w:numFmt w:val="decimal"/>
      <w:suff w:val="nothing"/>
      <w:lvlText w:val="%1、"/>
      <w:lvlJc w:val="left"/>
    </w:lvl>
  </w:abstractNum>
  <w:abstractNum w:abstractNumId="2">
    <w:nsid w:val="FDC2EE8B"/>
    <w:multiLevelType w:val="singleLevel"/>
    <w:tmpl w:val="FDC2EE8B"/>
    <w:lvl w:ilvl="0" w:tentative="0">
      <w:start w:val="3"/>
      <w:numFmt w:val="chineseCounting"/>
      <w:suff w:val="space"/>
      <w:lvlText w:val="第%1章"/>
      <w:lvlJc w:val="left"/>
      <w:rPr>
        <w:rFonts w:hint="eastAsia"/>
      </w:rPr>
    </w:lvl>
  </w:abstractNum>
  <w:abstractNum w:abstractNumId="3">
    <w:nsid w:val="3B1F0DFE"/>
    <w:multiLevelType w:val="singleLevel"/>
    <w:tmpl w:val="3B1F0DFE"/>
    <w:lvl w:ilvl="0" w:tentative="0">
      <w:start w:val="2"/>
      <w:numFmt w:val="decimal"/>
      <w:suff w:val="space"/>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32DE1"/>
    <w:rsid w:val="2E632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1"/>
    <w:pPr>
      <w:spacing w:after="120"/>
    </w:pPr>
    <w:rPr>
      <w:rFonts w:ascii="Times New Roman" w:hAnsi="Times New Roman"/>
      <w:szCs w:val="20"/>
    </w:rPr>
  </w:style>
  <w:style w:type="paragraph" w:styleId="3">
    <w:name w:val="Body Text Indent"/>
    <w:basedOn w:val="1"/>
    <w:qFormat/>
    <w:uiPriority w:val="0"/>
    <w:pPr>
      <w:spacing w:after="120"/>
      <w:ind w:left="420" w:leftChars="200"/>
    </w:pPr>
  </w:style>
  <w:style w:type="paragraph" w:styleId="4">
    <w:name w:val="Body Text First Indent"/>
    <w:basedOn w:val="2"/>
    <w:next w:val="5"/>
    <w:qFormat/>
    <w:uiPriority w:val="99"/>
    <w:pPr>
      <w:ind w:firstLine="420" w:firstLineChars="100"/>
    </w:pPr>
  </w:style>
  <w:style w:type="paragraph" w:styleId="5">
    <w:name w:val="Body Text First Indent 2"/>
    <w:basedOn w:val="3"/>
    <w:qFormat/>
    <w:uiPriority w:val="0"/>
    <w:pPr>
      <w:adjustRightInd w:val="0"/>
      <w:spacing w:line="312" w:lineRule="atLeast"/>
      <w:ind w:leftChars="450" w:firstLine="210"/>
      <w:textAlignment w:val="baseline"/>
    </w:pPr>
    <w:rPr>
      <w:rFonts w:ascii="宋体"/>
      <w:b/>
      <w:kern w:val="0"/>
      <w:szCs w:val="20"/>
    </w:rPr>
  </w:style>
  <w:style w:type="paragraph" w:customStyle="1" w:styleId="8">
    <w:name w:val="目录 81"/>
    <w:next w:val="1"/>
    <w:unhideWhenUsed/>
    <w:qFormat/>
    <w:uiPriority w:val="0"/>
    <w:pPr>
      <w:wordWrap w:val="0"/>
      <w:ind w:left="2975"/>
      <w:jc w:val="both"/>
    </w:pPr>
    <w:rPr>
      <w:rFonts w:ascii="Times New Roman" w:hAnsi="Times New Roman" w:eastAsia="Times New Roman" w:cs="Times New Roman"/>
      <w:sz w:val="21"/>
      <w:szCs w:val="24"/>
      <w:lang w:val="en-US" w:eastAsia="zh-CN" w:bidi="ar-SA"/>
    </w:rPr>
  </w:style>
  <w:style w:type="paragraph" w:customStyle="1" w:styleId="9">
    <w:name w:val="Table Paragraph"/>
    <w:basedOn w:val="1"/>
    <w:qFormat/>
    <w:uiPriority w:val="1"/>
    <w:pPr>
      <w:widowControl/>
      <w:jc w:val="center"/>
    </w:pPr>
    <w:rPr>
      <w:rFonts w:ascii="宋体" w:hAnsi="宋体" w:cs="宋体"/>
      <w:kern w:val="0"/>
      <w:sz w:val="22"/>
      <w:lang w:val="zh-CN" w:bidi="zh-CN"/>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2025-05-28T02:22:00Z</dcterms:created>
  <dc:creator>WM</dc:creator>
  <cp:lastModifiedBy>WM</cp:lastModifiedBy>
  <dcterms:modified xsi:type="dcterms:W3CDTF">2025-05-28T02:29:43Z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4571166CE406422F9F3CAF974EF86042_11</vt:lpwstr>
  </property>
  <property fmtid="{D5CDD505-2E9C-101B-9397-08002B2CF9AE}" pid="4" name="KSOTemplateDocerSaveRecord">
    <vt:lpwstr>eyJoZGlkIjoiNDBjNDNjMTJjZDQxNjk2YWY1OGQ2ZjVkNTAzYmQwYjIiLCJ1c2VySWQiOiIzODU4NTU5NjgifQ==</vt:lpwstr>
  </property>
</Properties>
</file>