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DCB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Times New Roman" w:hAnsi="Times New Roman" w:eastAsia="宋体" w:cs="Times New Roman"/>
          <w:b/>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宋体" w:cs="Times New Roman"/>
          <w:b/>
          <w:bCs/>
          <w:i w:val="0"/>
          <w:caps w:val="0"/>
          <w:color w:val="auto"/>
          <w:spacing w:val="0"/>
          <w:kern w:val="0"/>
          <w:sz w:val="32"/>
          <w:szCs w:val="32"/>
          <w:highlight w:val="none"/>
          <w:shd w:val="clear" w:color="auto" w:fill="FFFFFF"/>
          <w:lang w:val="en-US" w:eastAsia="zh-CN" w:bidi="ar"/>
        </w:rPr>
        <w:t>招标公告</w:t>
      </w:r>
    </w:p>
    <w:p w14:paraId="42E180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b/>
          <w:bCs/>
          <w:i w:val="0"/>
          <w:caps w:val="0"/>
          <w:color w:val="auto"/>
          <w:spacing w:val="0"/>
          <w:sz w:val="21"/>
          <w:szCs w:val="21"/>
          <w:highlight w:val="none"/>
        </w:rPr>
      </w:pPr>
      <w:r>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t>1. 招标条件</w:t>
      </w:r>
    </w:p>
    <w:p w14:paraId="0E1923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本招标项目</w:t>
      </w:r>
      <w:r>
        <w:rPr>
          <w:rFonts w:hint="eastAsia" w:ascii="Times New Roman" w:hAnsi="Times New Roman" w:cs="Times New Roman"/>
          <w:i w:val="0"/>
          <w:caps w:val="0"/>
          <w:color w:val="auto"/>
          <w:spacing w:val="0"/>
          <w:kern w:val="0"/>
          <w:sz w:val="21"/>
          <w:szCs w:val="21"/>
          <w:highlight w:val="none"/>
          <w:u w:val="single"/>
          <w:shd w:val="clear" w:color="auto" w:fill="FFFFFF"/>
          <w:lang w:val="en-US" w:eastAsia="zh-CN" w:bidi="ar"/>
        </w:rPr>
        <w:t>国道抚远至饶河公路别拉洪至四合段改扩建工程</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已由黑龙江省交通运输厅关于国道抚远至饶河公路别拉洪至四合段改扩建工程初步设计的批复黑交发【2024】388号 、黑龙江省交通运输厅关于国道抚远至饶河公路别拉洪至四合段改扩建工程施工图设计的批复黑交发【2025】106号文件批准建设，招标人为</w:t>
      </w:r>
      <w:r>
        <w:rPr>
          <w:rFonts w:hint="eastAsia" w:ascii="Times New Roman" w:hAnsi="Times New Roman" w:cs="Times New Roman"/>
          <w:i w:val="0"/>
          <w:caps w:val="0"/>
          <w:color w:val="auto"/>
          <w:spacing w:val="0"/>
          <w:kern w:val="0"/>
          <w:sz w:val="21"/>
          <w:szCs w:val="21"/>
          <w:highlight w:val="none"/>
          <w:u w:val="single"/>
          <w:shd w:val="clear" w:color="auto" w:fill="FFFFFF"/>
          <w:lang w:val="en-US" w:eastAsia="zh-CN" w:bidi="ar"/>
        </w:rPr>
        <w:t>国道抚远至饶河公路别拉洪至四合段改扩建工程建设指挥部</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，项目法人单位为</w:t>
      </w:r>
      <w:r>
        <w:rPr>
          <w:rFonts w:hint="default" w:ascii="Times New Roman" w:hAnsi="Times New Roman" w:eastAsia="宋体" w:cs="Times New Roman"/>
          <w:i w:val="0"/>
          <w:caps w:val="0"/>
          <w:color w:val="auto"/>
          <w:spacing w:val="0"/>
          <w:kern w:val="0"/>
          <w:sz w:val="21"/>
          <w:szCs w:val="21"/>
          <w:highlight w:val="none"/>
          <w:u w:val="single"/>
          <w:shd w:val="clear" w:color="auto" w:fill="FFFFFF"/>
          <w:lang w:val="en-US" w:eastAsia="zh-CN" w:bidi="ar"/>
        </w:rPr>
        <w:t>抚远市交通运输局</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建设资金为</w:t>
      </w:r>
      <w:r>
        <w:rPr>
          <w:rFonts w:hint="eastAsia" w:ascii="Times New Roman" w:hAnsi="Times New Roman" w:cs="Times New Roman"/>
          <w:i w:val="0"/>
          <w:caps w:val="0"/>
          <w:color w:val="auto"/>
          <w:spacing w:val="0"/>
          <w:kern w:val="0"/>
          <w:sz w:val="21"/>
          <w:szCs w:val="21"/>
          <w:highlight w:val="none"/>
          <w:u w:val="single"/>
          <w:shd w:val="clear" w:color="auto" w:fill="FFFFFF"/>
          <w:lang w:val="en-US" w:eastAsia="zh-CN" w:bidi="ar"/>
        </w:rPr>
        <w:t>交通运输领域重点项目资金及地方自筹资金</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。项目已具备招标条件，现对该项目的</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施工监理</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进行公开招标。</w:t>
      </w:r>
    </w:p>
    <w:p w14:paraId="56E7FD7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t>项目概况与招标范围 </w:t>
      </w:r>
    </w:p>
    <w:p w14:paraId="5F08B0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2.1 建设地点：佳木斯市抚远市</w:t>
      </w:r>
    </w:p>
    <w:p w14:paraId="6F72DB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2.2 建设规模：路线起于国道抚远至饶河公路K49+500与省道四勤公路交叉处(别拉洪乡西入口),向东沿旧路布线，经别拉洪乡、海兴村、海宏村、海青乡、四合村，终点于国道抚远至饶河公路 K115+718处(海青乡与八五九农场交界)</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p>
    <w:p w14:paraId="61B8CD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（一）路线全长66.222公里，建设里程66.192公里。全线设置桥梁324.40米/11座，其中，利用中桥129.54米/2座、小桥194.86米/9座(含利用 30.54米/1座)，涵洞53道;等级公路平面交叉32处,管线交叉4处;交通量观测站1处，客运汽车停靠站7处(14座)，养护道班1处。</w:t>
      </w:r>
    </w:p>
    <w:p w14:paraId="3AE910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（二）K49+500~K96+358和K96+388~K115+722.382段均采用二级公路标准建设，设计速度60公里/小时，一般路段路基宽度10.0米。路面工程为沥青混凝土路面</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桥涵设计汽车荷载等级采用公路I级，其他技术指标按《公路工程技术标准》（JTGB01-2014）执行。</w:t>
      </w:r>
    </w:p>
    <w:p w14:paraId="16AB27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 xml:space="preserve">2.3 </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监理服务期</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60</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个月，其中施工期（含施工准备期）</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36</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个月，验收与缺陷责任期24个月。</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开工日期2025年7月1日-2028年12月31日，共计1280日历日。</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上述时间仅作为编制投标文件的统一标准，实际进场日期按监理合同相关条款规定执行。</w:t>
      </w:r>
    </w:p>
    <w:p w14:paraId="538E51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lang w:val="en-US"/>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2.4 招标范围</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：本项目路基、路面、桥梁、涵洞、交通安全设施、沿线附属设施及环保绿化的施工准备期、施工期、验收与缺陷责任期以及施工安全监理及试验检测服务。</w:t>
      </w:r>
    </w:p>
    <w:p w14:paraId="31959D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2.5 质量要求：交工验收的质量评定：工程质量符合《公路工程质量检验评定标准》(JTG F80∕1-2017)；竣(交)工验收依据《公路工程竣(交)工验收办法实施细则》(交公路发[2010]65号)规定，标段交工验收质量评定合格，竣工验收质量评定优良及符合现行房建工程施工质量验收标准以及相关专业验收规范的合格标准。</w:t>
      </w:r>
    </w:p>
    <w:p w14:paraId="79C2C9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2.6 安全目标：</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在项目建设过程中杜绝重大安全责任事故，避免发生较大安全责任事故，控制一般安全责任事故，各类生产安全责任事故死亡人数为零。</w:t>
      </w:r>
    </w:p>
    <w:p w14:paraId="132D46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2.7 标段划分：划分一个标段</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，标段编号Z1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1957"/>
        <w:gridCol w:w="3238"/>
        <w:gridCol w:w="2196"/>
      </w:tblGrid>
      <w:tr w14:paraId="04AC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center"/>
          </w:tcPr>
          <w:p w14:paraId="471EC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vertAlign w:val="baseline"/>
                <w:lang w:val="en-US" w:eastAsia="zh-CN" w:bidi="ar"/>
              </w:rPr>
              <w:t>标段</w:t>
            </w:r>
          </w:p>
        </w:tc>
        <w:tc>
          <w:tcPr>
            <w:tcW w:w="1957" w:type="dxa"/>
            <w:vAlign w:val="center"/>
          </w:tcPr>
          <w:p w14:paraId="5C2BC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vertAlign w:val="baseline"/>
                <w:lang w:val="en-US" w:eastAsia="zh-CN" w:bidi="ar"/>
              </w:rPr>
              <w:t>里程（km）</w:t>
            </w:r>
          </w:p>
        </w:tc>
        <w:tc>
          <w:tcPr>
            <w:tcW w:w="3238" w:type="dxa"/>
            <w:vAlign w:val="center"/>
          </w:tcPr>
          <w:p w14:paraId="0757D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vertAlign w:val="baseline"/>
                <w:lang w:val="en-US" w:eastAsia="zh-CN" w:bidi="ar"/>
              </w:rPr>
              <w:t>工作内容</w:t>
            </w:r>
          </w:p>
        </w:tc>
        <w:tc>
          <w:tcPr>
            <w:tcW w:w="2196" w:type="dxa"/>
            <w:vAlign w:val="center"/>
          </w:tcPr>
          <w:p w14:paraId="158E6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vertAlign w:val="baseline"/>
                <w:lang w:val="en-US" w:eastAsia="zh-CN" w:bidi="ar"/>
              </w:rPr>
              <w:t>最高投标限价（元）</w:t>
            </w:r>
          </w:p>
        </w:tc>
      </w:tr>
      <w:tr w14:paraId="01CA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center"/>
          </w:tcPr>
          <w:p w14:paraId="161CD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vertAlign w:val="baseline"/>
                <w:lang w:val="en-US" w:eastAsia="zh-CN" w:bidi="ar"/>
              </w:rPr>
              <w:t>Z1</w:t>
            </w:r>
          </w:p>
        </w:tc>
        <w:tc>
          <w:tcPr>
            <w:tcW w:w="1957" w:type="dxa"/>
            <w:vAlign w:val="center"/>
          </w:tcPr>
          <w:p w14:paraId="29FB3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t>66.192</w:t>
            </w:r>
          </w:p>
        </w:tc>
        <w:tc>
          <w:tcPr>
            <w:tcW w:w="3238" w:type="dxa"/>
            <w:vAlign w:val="center"/>
          </w:tcPr>
          <w:p w14:paraId="5EAC8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t>本项目路基、路面、桥梁、涵洞、交通安全设施、沿线附属设施</w:t>
            </w:r>
            <w:r>
              <w:rPr>
                <w:rFonts w:hint="eastAsia" w:ascii="Times New Roman" w:hAnsi="Times New Roman" w:cs="Times New Roman"/>
                <w:i w:val="0"/>
                <w:caps w:val="0"/>
                <w:color w:val="auto"/>
                <w:spacing w:val="0"/>
                <w:kern w:val="0"/>
                <w:sz w:val="21"/>
                <w:szCs w:val="21"/>
                <w:highlight w:val="none"/>
                <w:shd w:val="clear" w:color="auto" w:fill="FFFFFF"/>
                <w:vertAlign w:val="baseline"/>
                <w:lang w:val="en-US" w:eastAsia="zh-CN" w:bidi="ar"/>
              </w:rPr>
              <w:t>及</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环保</w:t>
            </w:r>
            <w:r>
              <w:rPr>
                <w:rFonts w:hint="eastAsia" w:ascii="Times New Roman" w:hAnsi="Times New Roman" w:cs="Times New Roman"/>
                <w:i w:val="0"/>
                <w:caps w:val="0"/>
                <w:color w:val="auto"/>
                <w:spacing w:val="0"/>
                <w:kern w:val="0"/>
                <w:sz w:val="21"/>
                <w:szCs w:val="21"/>
                <w:highlight w:val="none"/>
                <w:shd w:val="clear" w:color="auto" w:fill="FFFFFF"/>
                <w:vertAlign w:val="baseline"/>
                <w:lang w:val="en-US" w:eastAsia="zh-CN" w:bidi="ar"/>
              </w:rPr>
              <w:t>绿化</w:t>
            </w:r>
            <w:r>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t>的施工准备期、施工期、验收与缺陷责任期以及施工安全监理及试验检测服务</w:t>
            </w:r>
            <w:r>
              <w:rPr>
                <w:rFonts w:hint="eastAsia" w:ascii="Times New Roman" w:hAnsi="Times New Roman" w:cs="Times New Roman"/>
                <w:i w:val="0"/>
                <w:caps w:val="0"/>
                <w:color w:val="auto"/>
                <w:spacing w:val="0"/>
                <w:kern w:val="0"/>
                <w:sz w:val="21"/>
                <w:szCs w:val="21"/>
                <w:highlight w:val="none"/>
                <w:shd w:val="clear" w:color="auto" w:fill="FFFFFF"/>
                <w:vertAlign w:val="baseline"/>
                <w:lang w:val="en-US" w:eastAsia="zh-CN" w:bidi="ar"/>
              </w:rPr>
              <w:t>。</w:t>
            </w:r>
          </w:p>
        </w:tc>
        <w:tc>
          <w:tcPr>
            <w:tcW w:w="2196" w:type="dxa"/>
            <w:vAlign w:val="center"/>
          </w:tcPr>
          <w:p w14:paraId="3B087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vertAlign w:val="baseline"/>
                <w:lang w:val="en-US" w:eastAsia="zh-CN" w:bidi="ar"/>
              </w:rPr>
              <w:t>5,556,050</w:t>
            </w:r>
          </w:p>
        </w:tc>
      </w:tr>
    </w:tbl>
    <w:p w14:paraId="038516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p>
    <w:p w14:paraId="7E8DA9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2.8 最高投标限价</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eastAsia" w:ascii="Times New Roman" w:hAnsi="Times New Roman" w:cs="Times New Roman"/>
          <w:i w:val="0"/>
          <w:caps w:val="0"/>
          <w:color w:val="auto"/>
          <w:spacing w:val="0"/>
          <w:kern w:val="0"/>
          <w:sz w:val="21"/>
          <w:szCs w:val="21"/>
          <w:highlight w:val="none"/>
          <w:u w:val="single"/>
          <w:shd w:val="clear" w:color="auto" w:fill="FFFFFF"/>
          <w:lang w:val="en-US" w:eastAsia="zh-CN" w:bidi="ar"/>
        </w:rPr>
        <w:t>5,556,050元</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 </w:t>
      </w:r>
    </w:p>
    <w:p w14:paraId="1DD7A5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b/>
          <w:bCs/>
          <w:i w:val="0"/>
          <w:caps w:val="0"/>
          <w:color w:val="auto"/>
          <w:spacing w:val="0"/>
          <w:sz w:val="21"/>
          <w:szCs w:val="21"/>
          <w:highlight w:val="none"/>
        </w:rPr>
      </w:pPr>
      <w:r>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t>3. 投标人资格要求 </w:t>
      </w:r>
    </w:p>
    <w:p w14:paraId="4240CD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3.1本次招标要求投标人须具备国内独立法人资格，持有</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市场监督管理部门</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核发的企业法人营业执照，具备下列条件并在人员、设备、资金等方面具有相应的</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工作</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能力的</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监理</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企业，均可申请投标； </w:t>
      </w:r>
    </w:p>
    <w:p w14:paraId="26169E8B">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资质要求：</w:t>
      </w:r>
    </w:p>
    <w:p w14:paraId="252DF06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eastAsia" w:ascii="宋体" w:hAnsi="宋体" w:eastAsia="宋体" w:cs="宋体"/>
          <w:color w:val="auto"/>
          <w:spacing w:val="7"/>
          <w:sz w:val="20"/>
          <w:szCs w:val="20"/>
          <w:lang w:val="en-US" w:eastAsia="zh-CN"/>
        </w:rPr>
        <w:t>A.</w:t>
      </w:r>
      <w:r>
        <w:rPr>
          <w:rFonts w:hint="default" w:ascii="宋体" w:hAnsi="宋体" w:eastAsia="宋体" w:cs="宋体"/>
          <w:color w:val="auto"/>
          <w:spacing w:val="7"/>
          <w:sz w:val="20"/>
          <w:szCs w:val="20"/>
          <w:lang w:val="en-US" w:eastAsia="zh-CN"/>
        </w:rPr>
        <w:t>投</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标人须具备交通运输主管部门颁发的公路工程</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专业乙级（含乙级）</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及以上监理资质并无不良业绩，且在设备、人员、资金等方面能满足执行本工程要求的监理企业。 </w:t>
      </w:r>
    </w:p>
    <w:p w14:paraId="78C5EBE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eastAsia" w:ascii="宋体" w:hAnsi="宋体" w:eastAsia="宋体" w:cs="宋体"/>
          <w:color w:val="auto"/>
          <w:spacing w:val="7"/>
          <w:sz w:val="20"/>
          <w:szCs w:val="20"/>
          <w:lang w:val="en-US" w:eastAsia="zh-CN"/>
        </w:rPr>
        <w:t>B.</w:t>
      </w:r>
      <w:r>
        <w:rPr>
          <w:rFonts w:ascii="宋体" w:hAnsi="宋体" w:eastAsia="宋体" w:cs="宋体"/>
          <w:color w:val="auto"/>
          <w:spacing w:val="7"/>
          <w:sz w:val="20"/>
          <w:szCs w:val="20"/>
        </w:rPr>
        <w:t>监理工作范围内的试验检测工作应由具备交通运输主管部门颁发的公路工程综合类乙</w:t>
      </w:r>
      <w:r>
        <w:rPr>
          <w:rFonts w:ascii="宋体" w:hAnsi="宋体" w:eastAsia="宋体" w:cs="宋体"/>
          <w:color w:val="auto"/>
          <w:spacing w:val="6"/>
          <w:sz w:val="20"/>
          <w:szCs w:val="20"/>
        </w:rPr>
        <w:t>级及以</w:t>
      </w:r>
      <w:r>
        <w:rPr>
          <w:rFonts w:ascii="宋体" w:hAnsi="宋体" w:eastAsia="宋体" w:cs="宋体"/>
          <w:color w:val="auto"/>
          <w:spacing w:val="11"/>
          <w:sz w:val="20"/>
          <w:szCs w:val="20"/>
        </w:rPr>
        <w:t>上等级试验检测资质的单位承担，试验检测单位应持有省级或以上质量技术监督部门颁发的</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z w:val="20"/>
          <w:szCs w:val="20"/>
        </w:rPr>
        <w:t>CMA</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11"/>
          <w:sz w:val="20"/>
          <w:szCs w:val="20"/>
        </w:rPr>
        <w:t>计</w:t>
      </w:r>
      <w:r>
        <w:rPr>
          <w:rFonts w:ascii="宋体" w:hAnsi="宋体" w:eastAsia="宋体" w:cs="宋体"/>
          <w:color w:val="auto"/>
          <w:spacing w:val="10"/>
          <w:sz w:val="20"/>
          <w:szCs w:val="20"/>
        </w:rPr>
        <w:t>量认证证书，若投标人不具备上述资质和证书，应在投标文件中注明委托</w:t>
      </w:r>
      <w:r>
        <w:rPr>
          <w:rFonts w:ascii="宋体" w:hAnsi="宋体" w:eastAsia="宋体" w:cs="宋体"/>
          <w:color w:val="auto"/>
          <w:spacing w:val="9"/>
          <w:sz w:val="20"/>
          <w:szCs w:val="20"/>
        </w:rPr>
        <w:t>满足上述要求的第三方对本</w:t>
      </w:r>
      <w:r>
        <w:rPr>
          <w:rFonts w:ascii="宋体" w:hAnsi="宋体" w:eastAsia="宋体" w:cs="宋体"/>
          <w:color w:val="auto"/>
          <w:spacing w:val="10"/>
          <w:sz w:val="20"/>
          <w:szCs w:val="20"/>
        </w:rPr>
        <w:t>标段进行试验检测，并附双方试验检测合同书或者意向书。满足上述要求</w:t>
      </w:r>
      <w:r>
        <w:rPr>
          <w:rFonts w:ascii="宋体" w:hAnsi="宋体" w:eastAsia="宋体" w:cs="宋体"/>
          <w:color w:val="auto"/>
          <w:spacing w:val="9"/>
          <w:sz w:val="20"/>
          <w:szCs w:val="20"/>
        </w:rPr>
        <w:t>的试验检测机构如果是投标人出资设立的视为投标人具备试验检测资质和证书要求。</w:t>
      </w:r>
    </w:p>
    <w:p w14:paraId="0FC45E6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(2)</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业绩要求</w:t>
      </w:r>
    </w:p>
    <w:p w14:paraId="5E04C2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近</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5</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年业绩（</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2020年05月01日-递交投标文件截止日</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业绩以实际交工日期为准，且交工验收达到合格标准</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至少</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独立</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完成</w:t>
      </w: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i w:val="0"/>
          <w:caps w:val="0"/>
          <w:color w:val="auto"/>
          <w:spacing w:val="0"/>
          <w:kern w:val="0"/>
          <w:sz w:val="21"/>
          <w:szCs w:val="21"/>
          <w:highlight w:val="none"/>
          <w:shd w:val="clear" w:color="auto" w:fill="FFFFFF"/>
          <w:lang w:val="en-US" w:eastAsia="zh-CN" w:bidi="ar"/>
        </w:rPr>
        <w:t>项公里数满足</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不少于</w:t>
      </w:r>
      <w:r>
        <w:rPr>
          <w:rFonts w:hint="eastAsia" w:ascii="Times New Roman" w:hAnsi="Times New Roman" w:eastAsia="宋体" w:cs="Times New Roman"/>
          <w:i w:val="0"/>
          <w:caps w:val="0"/>
          <w:color w:val="auto"/>
          <w:spacing w:val="0"/>
          <w:kern w:val="0"/>
          <w:sz w:val="21"/>
          <w:szCs w:val="21"/>
          <w:highlight w:val="none"/>
          <w:shd w:val="clear" w:color="auto" w:fill="FFFFFF"/>
          <w:lang w:val="en-US" w:eastAsia="zh-CN" w:bidi="ar"/>
        </w:rPr>
        <w:t>30公里二级</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及以上</w:t>
      </w:r>
      <w:r>
        <w:rPr>
          <w:rFonts w:hint="eastAsia" w:ascii="Times New Roman" w:hAnsi="Times New Roman" w:eastAsia="宋体" w:cs="Times New Roman"/>
          <w:i w:val="0"/>
          <w:caps w:val="0"/>
          <w:color w:val="auto"/>
          <w:spacing w:val="0"/>
          <w:kern w:val="0"/>
          <w:sz w:val="21"/>
          <w:szCs w:val="21"/>
          <w:highlight w:val="none"/>
          <w:shd w:val="clear" w:color="auto" w:fill="FFFFFF"/>
          <w:lang w:val="en-US" w:eastAsia="zh-CN" w:bidi="ar"/>
        </w:rPr>
        <w:t>公路</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工程的</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监理工作</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或独立</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完成</w:t>
      </w:r>
      <w:r>
        <w:rPr>
          <w:rFonts w:hint="eastAsia" w:ascii="Times New Roman" w:hAnsi="Times New Roman" w:cs="Times New Roman"/>
          <w:color w:val="auto"/>
          <w:szCs w:val="21"/>
          <w:highlight w:val="none"/>
          <w:lang w:val="en-US" w:eastAsia="zh-CN"/>
        </w:rPr>
        <w:t>累计</w:t>
      </w:r>
      <w:r>
        <w:rPr>
          <w:rFonts w:hint="eastAsia" w:ascii="Times New Roman" w:hAnsi="Times New Roman" w:eastAsia="宋体" w:cs="Times New Roman"/>
          <w:i w:val="0"/>
          <w:caps w:val="0"/>
          <w:color w:val="auto"/>
          <w:spacing w:val="0"/>
          <w:kern w:val="0"/>
          <w:sz w:val="21"/>
          <w:szCs w:val="21"/>
          <w:highlight w:val="none"/>
          <w:shd w:val="clear" w:color="auto" w:fill="FFFFFF"/>
          <w:lang w:val="en-US" w:eastAsia="zh-CN" w:bidi="ar"/>
        </w:rPr>
        <w:t>公里数满足</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不少于6</w:t>
      </w:r>
      <w:r>
        <w:rPr>
          <w:rFonts w:hint="eastAsia" w:ascii="Times New Roman" w:hAnsi="Times New Roman" w:eastAsia="宋体" w:cs="Times New Roman"/>
          <w:i w:val="0"/>
          <w:caps w:val="0"/>
          <w:color w:val="auto"/>
          <w:spacing w:val="0"/>
          <w:kern w:val="0"/>
          <w:sz w:val="21"/>
          <w:szCs w:val="21"/>
          <w:highlight w:val="none"/>
          <w:shd w:val="clear" w:color="auto" w:fill="FFFFFF"/>
          <w:lang w:val="en-US" w:eastAsia="zh-CN" w:bidi="ar"/>
        </w:rPr>
        <w:t>0公里二级</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及以上</w:t>
      </w:r>
      <w:r>
        <w:rPr>
          <w:rFonts w:hint="eastAsia" w:ascii="Times New Roman" w:hAnsi="Times New Roman" w:eastAsia="宋体" w:cs="Times New Roman"/>
          <w:i w:val="0"/>
          <w:caps w:val="0"/>
          <w:color w:val="auto"/>
          <w:spacing w:val="0"/>
          <w:kern w:val="0"/>
          <w:sz w:val="21"/>
          <w:szCs w:val="21"/>
          <w:highlight w:val="none"/>
          <w:shd w:val="clear" w:color="auto" w:fill="FFFFFF"/>
          <w:lang w:val="en-US" w:eastAsia="zh-CN" w:bidi="ar"/>
        </w:rPr>
        <w:t>公路</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工程的</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监理工作</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w:t>
      </w:r>
    </w:p>
    <w:p w14:paraId="262EFF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注：①上述施工监理业绩指的是公路新建、改扩建不包含养护项目的施工监理，如单个业绩能同时满足上述条件要求的，则该业绩可分别予以认定。如投标人提供高速公路、一级公路业绩的，其公路里程可折算成2倍的二级公路里程。例如：投标人已完成某条一级（高速）公路的监理里程为10公里，则评标时可折算为：投标人已完成二级公路监理里程为20公里。</w:t>
      </w:r>
    </w:p>
    <w:p w14:paraId="7DBD7E4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业绩要求在黑龙江省交通运输厅网站的“黑龙江省公路水路建设市场信用信息管理系统”或 交通运输部网站“全国公路建设市场监督管理系统”中能够查询截图；如网页截图中的内容不能明确体现业绩包含的</w:t>
      </w:r>
    </w:p>
    <w:p w14:paraId="5D6FB4C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 xml:space="preserve">内容、里程等信息，除网页截图复印件外，投标人还可提供合同及交工验收证书等业绩证明材料。如投标人未提供相关项目网页截图复印件或相关项目网页截图中的信息及补充的合同及交工验收证书等业绩证明材料无法证实投标人满足招标文件规定的资格审查条件（业绩最低要求），则该项目业绩不予认定。 </w:t>
      </w:r>
    </w:p>
    <w:p w14:paraId="6C626A1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(3)</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总监理工程师资格要求：</w:t>
      </w:r>
    </w:p>
    <w:p w14:paraId="35045FF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default" w:ascii="Times New Roman" w:hAnsi="Times New Roman" w:eastAsia="宋体" w:cs="Times New Roman"/>
          <w:i w:val="0"/>
          <w:caps w:val="0"/>
          <w:strike w:val="0"/>
          <w:dstrike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1)</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投标人</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拟派总监理工程师</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须具备交通运输部核准的公路相关专业监理工程师资格证书</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或交通运输部与人力资源和社会保障部颁发并经注册登记的《监理工程师职业资格证书》（交通运输工程），且已在投标人处进行从业登记，同时具备公路工程</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相关专业</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高级</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工程师职称</w:t>
      </w:r>
      <w:r>
        <w:rPr>
          <w:rFonts w:hint="default" w:ascii="Times New Roman" w:hAnsi="Times New Roman" w:eastAsia="宋体" w:cs="Times New Roman"/>
          <w:i w:val="0"/>
          <w:caps w:val="0"/>
          <w:strike w:val="0"/>
          <w:dstrike w:val="0"/>
          <w:color w:val="auto"/>
          <w:spacing w:val="0"/>
          <w:kern w:val="0"/>
          <w:sz w:val="21"/>
          <w:szCs w:val="21"/>
          <w:highlight w:val="none"/>
          <w:shd w:val="clear" w:color="auto" w:fill="FFFFFF"/>
          <w:lang w:val="en-US" w:eastAsia="zh-CN" w:bidi="ar"/>
        </w:rPr>
        <w:t>。</w:t>
      </w:r>
    </w:p>
    <w:p w14:paraId="5976068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default" w:ascii="Times New Roman" w:hAnsi="Times New Roman" w:eastAsia="宋体" w:cs="Times New Roman"/>
          <w:i w:val="0"/>
          <w:caps w:val="0"/>
          <w:strike w:val="0"/>
          <w:dstrike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strike w:val="0"/>
          <w:dstrike w:val="0"/>
          <w:color w:val="auto"/>
          <w:spacing w:val="0"/>
          <w:kern w:val="0"/>
          <w:sz w:val="21"/>
          <w:szCs w:val="21"/>
          <w:highlight w:val="none"/>
          <w:shd w:val="clear" w:color="auto" w:fill="FFFFFF"/>
          <w:lang w:val="en-US" w:eastAsia="zh-CN" w:bidi="ar"/>
        </w:rPr>
        <w:t>（注：公路工程相关专业包括公路工程、道路工程、桥梁工程、道路与桥梁工程、交通土建隧道（地下结构）工程、交通工程等专业）</w:t>
      </w:r>
      <w:r>
        <w:rPr>
          <w:rFonts w:hint="eastAsia" w:ascii="Times New Roman" w:hAnsi="Times New Roman" w:cs="Times New Roman"/>
          <w:i w:val="0"/>
          <w:caps w:val="0"/>
          <w:strike w:val="0"/>
          <w:dstrike w:val="0"/>
          <w:color w:val="auto"/>
          <w:spacing w:val="0"/>
          <w:kern w:val="0"/>
          <w:sz w:val="21"/>
          <w:szCs w:val="21"/>
          <w:highlight w:val="none"/>
          <w:shd w:val="clear" w:color="auto" w:fill="FFFFFF"/>
          <w:lang w:val="en-US" w:eastAsia="zh-CN" w:bidi="ar"/>
        </w:rPr>
        <w:t>。</w:t>
      </w:r>
    </w:p>
    <w:p w14:paraId="32D598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2)</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总监理工程师需提供投标人</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所属社保机构出具的2025年内连续三个月的养老保险缴费证明</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  </w:t>
      </w:r>
    </w:p>
    <w:p w14:paraId="0F2F6D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(4)</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试验室主任最低要求试验室主任，1 人</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满足下列要求：</w:t>
      </w:r>
    </w:p>
    <w:p w14:paraId="06E0B7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1）具有道桥相关专业中级及以上职称；</w:t>
      </w:r>
    </w:p>
    <w:p w14:paraId="765D7F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2）具有交通运输主管部门颁发的试验检测师资格证书（检测专业同时包含道路工程、桥梁隧道工程）或试验检测工程师资格证书〔检测专业同时包含道路、桥梁隧道（或公路、材料、桥梁）。</w:t>
      </w:r>
    </w:p>
    <w:p w14:paraId="4FB90C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3)</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试验室主任需提供</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所属社保机构出具的2025年内连续三个月的养老保险缴费证明</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w:t>
      </w:r>
    </w:p>
    <w:p w14:paraId="174CC2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5</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）信誉要求</w:t>
      </w:r>
    </w:p>
    <w:p w14:paraId="509AFB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1)</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近五年（</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2020</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年至递交投标文件截止日）内，投标人不得有重大质量、安全事故。</w:t>
      </w:r>
    </w:p>
    <w:p w14:paraId="74E46F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2)</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近五年（</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2020</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年至递交投标文件截止日）内，投标人不得在合同中违约、被驱逐出现场、亦未曾因任何原因而被废除合同。</w:t>
      </w:r>
    </w:p>
    <w:p w14:paraId="3F596E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3)</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近五年（</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2020</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年至递交投标文件截止日）内，投标人不得存在交通运输部或黑龙江省交通运输厅取消投标资格并处于处罚有效期的情况。</w:t>
      </w:r>
    </w:p>
    <w:p w14:paraId="79824C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4</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在"信用中国"网站（</w:t>
      </w:r>
      <w:r>
        <w:rPr>
          <w:rFonts w:hint="default" w:ascii="Times New Roman" w:hAnsi="Times New Roman" w:eastAsia="宋体" w:cs="Times New Roman"/>
          <w:b/>
          <w:bCs/>
          <w:i w:val="0"/>
          <w:caps w:val="0"/>
          <w:color w:val="auto"/>
          <w:spacing w:val="0"/>
          <w:kern w:val="0"/>
          <w:sz w:val="21"/>
          <w:szCs w:val="21"/>
          <w:highlight w:val="none"/>
          <w:u w:val="single"/>
          <w:shd w:val="clear" w:color="auto" w:fill="FFFFFF"/>
          <w:lang w:val="en-US" w:eastAsia="zh-CN" w:bidi="ar"/>
        </w:rPr>
        <w:t>http://www.creditchina.gov.cn/</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）中被列入失信被执行人名单的投标人，不得参加投标。（</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查询对象：投标</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企业、法定代表人、</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总监理工程师、</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试验室主任）</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w:t>
      </w:r>
    </w:p>
    <w:p w14:paraId="6BBCFF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5</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近三年</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在"中国裁判文书网"网站（</w:t>
      </w:r>
      <w:r>
        <w:rPr>
          <w:rFonts w:hint="default" w:ascii="Times New Roman" w:hAnsi="Times New Roman" w:eastAsia="宋体" w:cs="Times New Roman"/>
          <w:b/>
          <w:bCs/>
          <w:i w:val="0"/>
          <w:caps w:val="0"/>
          <w:color w:val="auto"/>
          <w:spacing w:val="0"/>
          <w:kern w:val="0"/>
          <w:sz w:val="21"/>
          <w:szCs w:val="21"/>
          <w:highlight w:val="none"/>
          <w:u w:val="single"/>
          <w:shd w:val="clear" w:color="auto" w:fill="FFFFFF"/>
          <w:lang w:val="en-US" w:eastAsia="zh-CN" w:bidi="ar"/>
        </w:rPr>
        <w:t>http://wenshu.court.gov.cn</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）中存在行贿犯罪档案记录的投标人，不得参加投标。（</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查询对象：投标</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企业、法定代表人、</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总监理工程师、</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试验室主任）</w:t>
      </w:r>
    </w:p>
    <w:p w14:paraId="7DCC31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3.</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2</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 xml:space="preserve"> 与招标人存在利害关系可能影响招标公正性的单位，不得参加投标。单位负责人为同一人或存在控股、管理关系的不同单位，不得参加同一标段投标，否则，相关投标均无效。 </w:t>
      </w:r>
    </w:p>
    <w:p w14:paraId="4BF4C8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3.</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3</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本次招标不接受联合体投标。 </w:t>
      </w:r>
    </w:p>
    <w:p w14:paraId="0CB24B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3.</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4</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本次招标评标采用</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双信封形式的</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综合评估法</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。投标文件采用双信封形式，对投标人的资格审查采用资格后审的方式。</w:t>
      </w:r>
    </w:p>
    <w:p w14:paraId="06F318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b/>
          <w:bCs/>
          <w:i w:val="0"/>
          <w:caps w:val="0"/>
          <w:color w:val="auto"/>
          <w:spacing w:val="0"/>
          <w:sz w:val="21"/>
          <w:szCs w:val="21"/>
          <w:highlight w:val="none"/>
        </w:rPr>
      </w:pPr>
      <w:r>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t>4、招标文件的获取 </w:t>
      </w:r>
    </w:p>
    <w:p w14:paraId="1C9459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4.1 潜在投标人应先在"黑龙江公共资源交易网"（http://www.hljggzyjyw.org.cn/）进行用户注册、办理数字证书,使用数字证书登录"黑龙江公共资源交易网"上的"交易平台"，下载招标文件。下载时间为202</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5</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年</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05</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月</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29</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日</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16</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时至202</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5</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年</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06</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月</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06</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日</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16</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时（北京时间，下同）。 </w:t>
      </w:r>
    </w:p>
    <w:p w14:paraId="5D23B1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有关手续请查看"黑龙江公共资源交易网"中的《关于黑龙江公共资源交易平台用户注册及办理数字证书的说明》。</w:t>
      </w:r>
    </w:p>
    <w:p w14:paraId="6375E7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4.2 没有按照"黑龙江公共资源交易网"的流程要求全部完成的，按放弃投标处理。 </w:t>
      </w:r>
    </w:p>
    <w:p w14:paraId="08193C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b/>
          <w:bCs/>
          <w:i w:val="0"/>
          <w:caps w:val="0"/>
          <w:color w:val="auto"/>
          <w:spacing w:val="0"/>
          <w:sz w:val="21"/>
          <w:szCs w:val="21"/>
          <w:highlight w:val="none"/>
        </w:rPr>
      </w:pPr>
      <w:r>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t>5、投标文件的递交及相关事宜 </w:t>
      </w:r>
    </w:p>
    <w:p w14:paraId="60F43A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b w:val="0"/>
          <w:bCs w:val="0"/>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shd w:val="clear" w:color="auto" w:fill="FFFFFF"/>
          <w:lang w:val="en-US" w:eastAsia="zh-CN" w:bidi="ar"/>
        </w:rPr>
        <w:t>5.1 招标人不组织踏勘现场，投标人自行踏勘，投标人提问、质疑以及招标人对招标文件澄清均通过网上进行。</w:t>
      </w:r>
    </w:p>
    <w:p w14:paraId="3A4288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b w:val="0"/>
          <w:bCs w:val="0"/>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shd w:val="clear" w:color="auto" w:fill="FFFFFF"/>
          <w:lang w:val="en-US" w:eastAsia="zh-CN" w:bidi="ar"/>
        </w:rPr>
        <w:t>5.2 本项目投标采用电子投标文件进行， 投标人应在投标文件递交截止时间前完成电子投标文件第一个信封(商务及技术文件)、第二个信封(报价文件)的递交工作。投标文件递交的截止时间为</w:t>
      </w:r>
      <w:r>
        <w:rPr>
          <w:rFonts w:hint="eastAsia" w:ascii="Times New Roman" w:hAnsi="Times New Roman" w:cs="Times New Roman"/>
          <w:b w:val="0"/>
          <w:bCs w:val="0"/>
          <w:i w:val="0"/>
          <w:caps w:val="0"/>
          <w:color w:val="auto"/>
          <w:spacing w:val="0"/>
          <w:kern w:val="0"/>
          <w:sz w:val="21"/>
          <w:szCs w:val="21"/>
          <w:highlight w:val="none"/>
          <w:shd w:val="clear" w:color="auto" w:fill="FFFFFF"/>
          <w:lang w:val="en-US" w:eastAsia="zh-CN" w:bidi="ar"/>
        </w:rPr>
        <w:t>2025年06月19日09时00分</w:t>
      </w:r>
      <w:r>
        <w:rPr>
          <w:rFonts w:hint="default" w:ascii="Times New Roman" w:hAnsi="Times New Roman" w:eastAsia="宋体" w:cs="Times New Roman"/>
          <w:b w:val="0"/>
          <w:bCs w:val="0"/>
          <w:i w:val="0"/>
          <w:caps w:val="0"/>
          <w:color w:val="auto"/>
          <w:spacing w:val="0"/>
          <w:kern w:val="0"/>
          <w:sz w:val="21"/>
          <w:szCs w:val="21"/>
          <w:highlight w:val="none"/>
          <w:shd w:val="clear" w:color="auto" w:fill="FFFFFF"/>
          <w:lang w:val="en-US" w:eastAsia="zh-CN" w:bidi="ar"/>
        </w:rPr>
        <w:t>(即开标时间前) ，投标人应于投标截止时间前安排线上开标人员进行线上开标及解密投标文件，未按时参加线上开标及解密文件的投标人，投标被否决。</w:t>
      </w:r>
    </w:p>
    <w:p w14:paraId="4148BF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重要说明：本项目投标采用电子投标，投标人应在投标文件递交截止时间前完成电子投标文件的递交工作。投标人在交易平台投标文件第一信封商务和技术文件时，切勿出现有关报价内容，由于投标人自身原因导致投标报价在第一信封泄露，投标人自行承担责任。如需填报价请用“/”代替。</w:t>
      </w:r>
    </w:p>
    <w:p w14:paraId="129A1E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投标人应提交投标保证金，投标保证金的金额：5万元人民币/标段。投标保证金应采用电汇或电子保函形式：①采用电汇形式递交投标保证金的，投标保证金应在递交投标文件截止时间之前24小时由投标人基本存款账户汇出，汇入与黑龙江省公共资源交易平台对接的银行。如因投标人未在规定的截止时间前递交投标保证金，投标人自行承担相应责任。②采用电子保函方式递交投标保证金的，投标人应按黑龙江省公共资源交易网的相关规定执行。</w:t>
      </w:r>
    </w:p>
    <w:p w14:paraId="0A0A0B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b/>
          <w:bCs/>
          <w:i w:val="0"/>
          <w:caps w:val="0"/>
          <w:color w:val="auto"/>
          <w:spacing w:val="0"/>
          <w:sz w:val="21"/>
          <w:szCs w:val="21"/>
          <w:highlight w:val="none"/>
        </w:rPr>
      </w:pPr>
      <w:r>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t>6、发布公告的媒介 </w:t>
      </w:r>
    </w:p>
    <w:p w14:paraId="1310E4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本次招标公告同时在</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黑龙江公共资源交易网(https://ggzyjyw.hlj.gov.cn/)</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”、黑龙江省交通运输厅网站(https://jt.hlj.gov.cn/)上发布。</w:t>
      </w:r>
    </w:p>
    <w:p w14:paraId="21A0FD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7．中标候选人公示</w:t>
      </w:r>
    </w:p>
    <w:p w14:paraId="6FA1C7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本项目同时在黑龙江省公共资源交易网(https://ggzyjyw.hlj.gov.cn/)、黑龙江省交通运输厅网站(</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https://jt.hlj.gov.cn/</w:t>
      </w: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)网站上公示中标候选人，公示期为3日，公示内容包括：</w:t>
      </w:r>
    </w:p>
    <w:p w14:paraId="2184C6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（1）中标候选人排序、名称、投标报价、质量要求、安全目标、工期；</w:t>
      </w:r>
    </w:p>
    <w:p w14:paraId="46DEAA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（2）中标候选人在投标文件中承诺的项目经理和项目总工姓名、相关证书名称和编号；</w:t>
      </w:r>
    </w:p>
    <w:p w14:paraId="037C65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（3）被否决投标的投标人名称、否决依据和原因；</w:t>
      </w:r>
    </w:p>
    <w:p w14:paraId="1139BE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default" w:ascii="Times New Roman" w:hAnsi="Times New Roman" w:cs="Times New Roman"/>
          <w:i w:val="0"/>
          <w:caps w:val="0"/>
          <w:color w:val="auto"/>
          <w:spacing w:val="0"/>
          <w:kern w:val="0"/>
          <w:sz w:val="21"/>
          <w:szCs w:val="21"/>
          <w:highlight w:val="none"/>
          <w:shd w:val="clear" w:color="auto" w:fill="FFFFFF"/>
          <w:lang w:val="en-US" w:eastAsia="zh-CN" w:bidi="ar"/>
        </w:rPr>
      </w:pPr>
      <w:r>
        <w:rPr>
          <w:rFonts w:hint="default" w:ascii="Times New Roman" w:hAnsi="Times New Roman" w:cs="Times New Roman"/>
          <w:i w:val="0"/>
          <w:caps w:val="0"/>
          <w:color w:val="auto"/>
          <w:spacing w:val="0"/>
          <w:kern w:val="0"/>
          <w:sz w:val="21"/>
          <w:szCs w:val="21"/>
          <w:highlight w:val="none"/>
          <w:shd w:val="clear" w:color="auto" w:fill="FFFFFF"/>
          <w:lang w:val="en-US" w:eastAsia="zh-CN" w:bidi="ar"/>
        </w:rPr>
        <w:t>（4）提出异议的渠道和方式。</w:t>
      </w:r>
    </w:p>
    <w:p w14:paraId="7E9BCED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b/>
          <w:bCs/>
          <w:i w:val="0"/>
          <w:caps w:val="0"/>
          <w:color w:val="auto"/>
          <w:spacing w:val="0"/>
          <w:kern w:val="0"/>
          <w:sz w:val="21"/>
          <w:szCs w:val="21"/>
          <w:highlight w:val="none"/>
          <w:shd w:val="clear" w:color="auto" w:fill="FFFFFF"/>
          <w:lang w:val="en-US" w:eastAsia="zh-CN" w:bidi="ar"/>
        </w:rPr>
        <w:t>8、</w:t>
      </w:r>
      <w:r>
        <w:rPr>
          <w:rFonts w:hint="default" w:ascii="Times New Roman" w:hAnsi="Times New Roman" w:eastAsia="宋体" w:cs="Times New Roman"/>
          <w:b/>
          <w:bCs/>
          <w:i w:val="0"/>
          <w:caps w:val="0"/>
          <w:color w:val="auto"/>
          <w:spacing w:val="0"/>
          <w:kern w:val="0"/>
          <w:sz w:val="21"/>
          <w:szCs w:val="21"/>
          <w:highlight w:val="none"/>
          <w:shd w:val="clear" w:color="auto" w:fill="FFFFFF"/>
          <w:lang w:val="en-US" w:eastAsia="zh-CN" w:bidi="ar"/>
        </w:rPr>
        <w:t>联系方式 </w:t>
      </w:r>
    </w:p>
    <w:p w14:paraId="6E6A99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lang w:val="en-US" w:eastAsia="zh-CN"/>
        </w:rPr>
      </w:pPr>
      <w:r>
        <w:rPr>
          <w:rFonts w:hint="default" w:ascii="Times New Roman" w:hAnsi="Times New Roman" w:eastAsia="宋体" w:cs="Times New Roman"/>
          <w:i w:val="0"/>
          <w:caps w:val="0"/>
          <w:color w:val="auto"/>
          <w:spacing w:val="0"/>
          <w:sz w:val="21"/>
          <w:szCs w:val="21"/>
          <w:highlight w:val="none"/>
          <w:lang w:val="en-US" w:eastAsia="zh-CN"/>
        </w:rPr>
        <w:t>监督单位：</w:t>
      </w:r>
      <w:r>
        <w:rPr>
          <w:rFonts w:hint="eastAsia" w:ascii="Times New Roman" w:hAnsi="Times New Roman" w:cs="Times New Roman"/>
          <w:i w:val="0"/>
          <w:caps w:val="0"/>
          <w:color w:val="auto"/>
          <w:spacing w:val="0"/>
          <w:sz w:val="21"/>
          <w:szCs w:val="21"/>
          <w:highlight w:val="none"/>
          <w:lang w:val="en-US" w:eastAsia="zh-CN"/>
        </w:rPr>
        <w:t>佳木斯市交通运输局</w:t>
      </w:r>
    </w:p>
    <w:p w14:paraId="5B8198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lang w:val="en-US" w:eastAsia="zh-CN"/>
        </w:rPr>
      </w:pPr>
      <w:r>
        <w:rPr>
          <w:rFonts w:hint="default" w:ascii="Times New Roman" w:hAnsi="Times New Roman" w:eastAsia="宋体" w:cs="Times New Roman"/>
          <w:i w:val="0"/>
          <w:caps w:val="0"/>
          <w:color w:val="auto"/>
          <w:spacing w:val="0"/>
          <w:sz w:val="21"/>
          <w:szCs w:val="21"/>
          <w:highlight w:val="none"/>
          <w:lang w:val="en-US" w:eastAsia="zh-CN"/>
        </w:rPr>
        <w:t>电    话：</w:t>
      </w:r>
      <w:r>
        <w:rPr>
          <w:rFonts w:hint="eastAsia" w:ascii="Times New Roman" w:hAnsi="Times New Roman" w:cs="Times New Roman"/>
          <w:i w:val="0"/>
          <w:caps w:val="0"/>
          <w:color w:val="auto"/>
          <w:spacing w:val="0"/>
          <w:sz w:val="21"/>
          <w:szCs w:val="21"/>
          <w:highlight w:val="none"/>
          <w:lang w:val="en-US" w:eastAsia="zh-CN"/>
        </w:rPr>
        <w:t>0454-6770008</w:t>
      </w:r>
    </w:p>
    <w:p w14:paraId="3F26B7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cs="Times New Roman"/>
          <w:i w:val="0"/>
          <w:caps w:val="0"/>
          <w:color w:val="auto"/>
          <w:spacing w:val="0"/>
          <w:sz w:val="21"/>
          <w:szCs w:val="21"/>
          <w:highlight w:val="none"/>
          <w:lang w:val="en-US" w:eastAsia="zh-CN"/>
        </w:rPr>
      </w:pPr>
      <w:r>
        <w:rPr>
          <w:rFonts w:hint="default" w:ascii="Times New Roman" w:hAnsi="Times New Roman" w:eastAsia="宋体" w:cs="Times New Roman"/>
          <w:i w:val="0"/>
          <w:caps w:val="0"/>
          <w:color w:val="auto"/>
          <w:spacing w:val="0"/>
          <w:sz w:val="21"/>
          <w:szCs w:val="21"/>
          <w:highlight w:val="none"/>
          <w:lang w:val="en-US" w:eastAsia="zh-CN"/>
        </w:rPr>
        <w:t>招 标 人：</w:t>
      </w:r>
      <w:r>
        <w:rPr>
          <w:rFonts w:hint="eastAsia" w:ascii="Times New Roman" w:hAnsi="Times New Roman" w:cs="Times New Roman"/>
          <w:i w:val="0"/>
          <w:caps w:val="0"/>
          <w:color w:val="auto"/>
          <w:spacing w:val="0"/>
          <w:sz w:val="21"/>
          <w:szCs w:val="21"/>
          <w:highlight w:val="none"/>
          <w:lang w:val="en-US" w:eastAsia="zh-CN"/>
        </w:rPr>
        <w:t>国道抚远至饶河公路别拉洪至四合段改扩建工程建设指挥部</w:t>
      </w:r>
    </w:p>
    <w:p w14:paraId="41F986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cs="Times New Roman"/>
          <w:i w:val="0"/>
          <w:caps w:val="0"/>
          <w:color w:val="auto"/>
          <w:spacing w:val="0"/>
          <w:sz w:val="21"/>
          <w:szCs w:val="21"/>
          <w:highlight w:val="none"/>
          <w:lang w:val="en-US" w:eastAsia="zh-CN"/>
        </w:rPr>
      </w:pPr>
      <w:r>
        <w:rPr>
          <w:rFonts w:hint="eastAsia" w:ascii="Times New Roman" w:hAnsi="Times New Roman" w:cs="Times New Roman"/>
          <w:i w:val="0"/>
          <w:caps w:val="0"/>
          <w:color w:val="auto"/>
          <w:spacing w:val="0"/>
          <w:sz w:val="21"/>
          <w:szCs w:val="21"/>
          <w:highlight w:val="none"/>
          <w:lang w:val="en-US" w:eastAsia="zh-CN"/>
        </w:rPr>
        <w:t>地址：</w:t>
      </w:r>
      <w:r>
        <w:rPr>
          <w:rFonts w:hint="eastAsia"/>
          <w:spacing w:val="7"/>
          <w:sz w:val="20"/>
          <w:szCs w:val="20"/>
          <w:lang w:eastAsia="zh-CN"/>
        </w:rPr>
        <w:t>佳木斯市抚远市平安街179号</w:t>
      </w:r>
    </w:p>
    <w:p w14:paraId="18542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caps w:val="0"/>
          <w:color w:val="auto"/>
          <w:spacing w:val="0"/>
          <w:sz w:val="21"/>
          <w:szCs w:val="21"/>
          <w:highlight w:val="none"/>
          <w:lang w:val="en-US" w:eastAsia="zh-CN"/>
        </w:rPr>
      </w:pPr>
      <w:r>
        <w:rPr>
          <w:rFonts w:hint="eastAsia" w:ascii="Times New Roman" w:hAnsi="Times New Roman" w:cs="Times New Roman"/>
          <w:i w:val="0"/>
          <w:caps w:val="0"/>
          <w:color w:val="auto"/>
          <w:spacing w:val="0"/>
          <w:sz w:val="21"/>
          <w:szCs w:val="21"/>
          <w:highlight w:val="none"/>
          <w:lang w:val="en-US" w:eastAsia="zh-CN"/>
        </w:rPr>
        <w:t>邮编：</w:t>
      </w:r>
      <w:r>
        <w:rPr>
          <w:rFonts w:hint="eastAsia" w:ascii="宋体" w:hAnsi="宋体" w:eastAsia="宋体" w:cs="宋体"/>
          <w:spacing w:val="7"/>
          <w:sz w:val="20"/>
          <w:szCs w:val="20"/>
          <w:lang w:eastAsia="zh-CN"/>
        </w:rPr>
        <w:t>156500</w:t>
      </w:r>
    </w:p>
    <w:p w14:paraId="620C6C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lang w:val="en-US" w:eastAsia="zh-CN"/>
        </w:rPr>
      </w:pPr>
      <w:r>
        <w:rPr>
          <w:rFonts w:hint="default" w:ascii="Times New Roman" w:hAnsi="Times New Roman" w:eastAsia="宋体" w:cs="Times New Roman"/>
          <w:i w:val="0"/>
          <w:caps w:val="0"/>
          <w:color w:val="auto"/>
          <w:spacing w:val="0"/>
          <w:sz w:val="21"/>
          <w:szCs w:val="21"/>
          <w:highlight w:val="none"/>
          <w:lang w:val="en-US" w:eastAsia="zh-CN"/>
        </w:rPr>
        <w:t>联 系 人：</w:t>
      </w:r>
      <w:r>
        <w:rPr>
          <w:rFonts w:hint="eastAsia" w:ascii="Times New Roman" w:hAnsi="Times New Roman" w:cs="Times New Roman"/>
          <w:i w:val="0"/>
          <w:caps w:val="0"/>
          <w:color w:val="auto"/>
          <w:spacing w:val="0"/>
          <w:sz w:val="21"/>
          <w:szCs w:val="21"/>
          <w:highlight w:val="none"/>
          <w:lang w:val="en-US" w:eastAsia="zh-CN"/>
        </w:rPr>
        <w:t>刘先生</w:t>
      </w:r>
    </w:p>
    <w:p w14:paraId="46B0EC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lang w:val="en-US" w:eastAsia="zh-CN"/>
        </w:rPr>
      </w:pPr>
      <w:r>
        <w:rPr>
          <w:rFonts w:hint="default" w:ascii="Times New Roman" w:hAnsi="Times New Roman" w:eastAsia="宋体" w:cs="Times New Roman"/>
          <w:i w:val="0"/>
          <w:caps w:val="0"/>
          <w:color w:val="auto"/>
          <w:spacing w:val="0"/>
          <w:sz w:val="21"/>
          <w:szCs w:val="21"/>
          <w:highlight w:val="none"/>
          <w:lang w:val="en-US" w:eastAsia="zh-CN"/>
        </w:rPr>
        <w:t>电    话：0454-2122444</w:t>
      </w:r>
    </w:p>
    <w:p w14:paraId="08E091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cs="Times New Roman"/>
          <w:i w:val="0"/>
          <w:caps w:val="0"/>
          <w:color w:val="auto"/>
          <w:spacing w:val="0"/>
          <w:sz w:val="21"/>
          <w:szCs w:val="21"/>
          <w:highlight w:val="none"/>
          <w:lang w:val="en-US" w:eastAsia="zh-CN"/>
        </w:rPr>
      </w:pPr>
      <w:r>
        <w:rPr>
          <w:rFonts w:hint="default" w:ascii="Times New Roman" w:hAnsi="Times New Roman" w:eastAsia="宋体" w:cs="Times New Roman"/>
          <w:i w:val="0"/>
          <w:caps w:val="0"/>
          <w:color w:val="auto"/>
          <w:spacing w:val="0"/>
          <w:sz w:val="21"/>
          <w:szCs w:val="21"/>
          <w:highlight w:val="none"/>
          <w:lang w:val="en-US" w:eastAsia="zh-CN"/>
        </w:rPr>
        <w:t>招标代理机构：</w:t>
      </w:r>
      <w:r>
        <w:rPr>
          <w:rFonts w:hint="eastAsia" w:ascii="Times New Roman" w:hAnsi="Times New Roman" w:cs="Times New Roman"/>
          <w:i w:val="0"/>
          <w:caps w:val="0"/>
          <w:color w:val="auto"/>
          <w:spacing w:val="0"/>
          <w:sz w:val="21"/>
          <w:szCs w:val="21"/>
          <w:highlight w:val="none"/>
          <w:lang w:val="en-US" w:eastAsia="zh-CN"/>
        </w:rPr>
        <w:t>黑龙江锦亿工程项目管理有限公司</w:t>
      </w:r>
    </w:p>
    <w:p w14:paraId="4B1879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cs="Times New Roman"/>
          <w:i w:val="0"/>
          <w:caps w:val="0"/>
          <w:color w:val="auto"/>
          <w:spacing w:val="0"/>
          <w:sz w:val="21"/>
          <w:szCs w:val="21"/>
          <w:highlight w:val="none"/>
          <w:lang w:val="en-US" w:eastAsia="zh-CN"/>
        </w:rPr>
      </w:pPr>
      <w:r>
        <w:rPr>
          <w:rFonts w:hint="eastAsia" w:ascii="Times New Roman" w:hAnsi="Times New Roman" w:cs="Times New Roman"/>
          <w:i w:val="0"/>
          <w:caps w:val="0"/>
          <w:color w:val="auto"/>
          <w:spacing w:val="0"/>
          <w:sz w:val="21"/>
          <w:szCs w:val="21"/>
          <w:highlight w:val="none"/>
          <w:lang w:val="en-US" w:eastAsia="zh-CN"/>
        </w:rPr>
        <w:t>地址：</w:t>
      </w:r>
      <w:r>
        <w:rPr>
          <w:rFonts w:hint="eastAsia"/>
          <w:color w:val="auto"/>
          <w:spacing w:val="7"/>
          <w:sz w:val="20"/>
          <w:szCs w:val="20"/>
          <w:highlight w:val="none"/>
          <w:lang w:eastAsia="zh-CN"/>
        </w:rPr>
        <w:t>哈尔滨市南岗区爱达尊御Loft14楼1416室</w:t>
      </w:r>
    </w:p>
    <w:p w14:paraId="7AA9D9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cs="Times New Roman"/>
          <w:i w:val="0"/>
          <w:caps w:val="0"/>
          <w:color w:val="auto"/>
          <w:spacing w:val="0"/>
          <w:sz w:val="21"/>
          <w:szCs w:val="21"/>
          <w:highlight w:val="none"/>
          <w:lang w:val="en-US" w:eastAsia="zh-CN"/>
        </w:rPr>
      </w:pPr>
      <w:r>
        <w:rPr>
          <w:rFonts w:hint="eastAsia" w:ascii="Times New Roman" w:hAnsi="Times New Roman" w:cs="Times New Roman"/>
          <w:i w:val="0"/>
          <w:caps w:val="0"/>
          <w:color w:val="auto"/>
          <w:spacing w:val="0"/>
          <w:sz w:val="21"/>
          <w:szCs w:val="21"/>
          <w:highlight w:val="none"/>
          <w:lang w:val="en-US" w:eastAsia="zh-CN"/>
        </w:rPr>
        <w:t>邮编：151000</w:t>
      </w:r>
    </w:p>
    <w:p w14:paraId="7DB7FA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lang w:val="en-US"/>
        </w:rPr>
      </w:pPr>
      <w:r>
        <w:rPr>
          <w:rFonts w:hint="default" w:ascii="Times New Roman" w:hAnsi="Times New Roman" w:eastAsia="宋体" w:cs="Times New Roman"/>
          <w:i w:val="0"/>
          <w:caps w:val="0"/>
          <w:color w:val="auto"/>
          <w:spacing w:val="0"/>
          <w:sz w:val="21"/>
          <w:szCs w:val="21"/>
          <w:highlight w:val="none"/>
          <w:lang w:val="en-US" w:eastAsia="zh-CN"/>
        </w:rPr>
        <w:t>联 系 人：</w:t>
      </w:r>
      <w:r>
        <w:rPr>
          <w:rFonts w:hint="eastAsia" w:ascii="Times New Roman" w:hAnsi="Times New Roman" w:cs="Times New Roman"/>
          <w:i w:val="0"/>
          <w:caps w:val="0"/>
          <w:color w:val="auto"/>
          <w:spacing w:val="0"/>
          <w:sz w:val="21"/>
          <w:szCs w:val="21"/>
          <w:highlight w:val="none"/>
          <w:lang w:val="en-US" w:eastAsia="zh-CN"/>
        </w:rPr>
        <w:t>李女士</w:t>
      </w:r>
    </w:p>
    <w:p w14:paraId="6A1E72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i w:val="0"/>
          <w:caps w:val="0"/>
          <w:color w:val="auto"/>
          <w:spacing w:val="0"/>
          <w:sz w:val="21"/>
          <w:szCs w:val="21"/>
          <w:highlight w:val="none"/>
          <w:lang w:val="en-US"/>
        </w:rPr>
      </w:pPr>
      <w:r>
        <w:rPr>
          <w:rFonts w:hint="default" w:ascii="Times New Roman" w:hAnsi="Times New Roman" w:eastAsia="宋体" w:cs="Times New Roman"/>
          <w:i w:val="0"/>
          <w:caps w:val="0"/>
          <w:color w:val="auto"/>
          <w:spacing w:val="0"/>
          <w:sz w:val="21"/>
          <w:szCs w:val="21"/>
          <w:highlight w:val="none"/>
          <w:lang w:val="en-US" w:eastAsia="zh-CN"/>
        </w:rPr>
        <w:t>电    话：</w:t>
      </w:r>
      <w:r>
        <w:rPr>
          <w:rFonts w:hint="eastAsia" w:ascii="Times New Roman" w:hAnsi="Times New Roman" w:cs="Times New Roman"/>
          <w:i w:val="0"/>
          <w:caps w:val="0"/>
          <w:color w:val="auto"/>
          <w:spacing w:val="0"/>
          <w:sz w:val="21"/>
          <w:szCs w:val="21"/>
          <w:highlight w:val="none"/>
          <w:lang w:val="en-US" w:eastAsia="zh-CN"/>
        </w:rPr>
        <w:t>15331941988</w:t>
      </w:r>
    </w:p>
    <w:p w14:paraId="22116826">
      <w:r>
        <w:br w:type="page"/>
      </w:r>
    </w:p>
    <w:p w14:paraId="0AD8AB18">
      <w:pPr>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评标办法（综合评估法）</w:t>
      </w:r>
    </w:p>
    <w:p w14:paraId="7ECA09C9">
      <w:pPr>
        <w:pStyle w:val="2"/>
        <w:ind w:left="424"/>
        <w:jc w:val="center"/>
        <w:rPr>
          <w:rFonts w:hint="default" w:ascii="Times New Roman" w:hAnsi="Times New Roman" w:eastAsia="宋体" w:cs="Times New Roman"/>
          <w:b/>
          <w:bCs/>
          <w:color w:val="auto"/>
          <w:sz w:val="14"/>
        </w:rPr>
      </w:pPr>
      <w:bookmarkStart w:id="0" w:name="_bookmark90"/>
      <w:bookmarkEnd w:id="0"/>
      <w:r>
        <w:rPr>
          <w:rFonts w:hint="default" w:ascii="Times New Roman" w:hAnsi="Times New Roman" w:eastAsia="宋体" w:cs="Times New Roman"/>
          <w:b/>
          <w:bCs/>
          <w:color w:val="auto"/>
        </w:rPr>
        <w:t>评标办法前附表</w:t>
      </w:r>
    </w:p>
    <w:tbl>
      <w:tblPr>
        <w:tblStyle w:val="5"/>
        <w:tblW w:w="8756" w:type="dxa"/>
        <w:tblInd w:w="32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47"/>
        <w:gridCol w:w="6520"/>
      </w:tblGrid>
      <w:tr w14:paraId="5E4BC5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236" w:type="dxa"/>
            <w:gridSpan w:val="2"/>
            <w:tcBorders>
              <w:tl2br w:val="nil"/>
              <w:tr2bl w:val="nil"/>
            </w:tcBorders>
            <w:vAlign w:val="top"/>
          </w:tcPr>
          <w:p w14:paraId="7E9B92D4">
            <w:pPr>
              <w:pStyle w:val="8"/>
              <w:spacing w:before="109" w:line="250" w:lineRule="exact"/>
              <w:ind w:left="535" w:right="283" w:firstLine="148" w:firstLineChars="67"/>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条款号</w:t>
            </w:r>
          </w:p>
        </w:tc>
        <w:tc>
          <w:tcPr>
            <w:tcW w:w="6520" w:type="dxa"/>
            <w:tcBorders>
              <w:tl2br w:val="nil"/>
              <w:tr2bl w:val="nil"/>
            </w:tcBorders>
            <w:vAlign w:val="top"/>
          </w:tcPr>
          <w:p w14:paraId="1B0A9BD3">
            <w:pPr>
              <w:pStyle w:val="8"/>
              <w:spacing w:before="109" w:line="250" w:lineRule="exact"/>
              <w:ind w:left="2335" w:right="1842"/>
              <w:jc w:val="center"/>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评审因素与评审标准</w:t>
            </w:r>
          </w:p>
        </w:tc>
      </w:tr>
      <w:tr w14:paraId="45F566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989" w:type="dxa"/>
            <w:tcBorders>
              <w:tl2br w:val="nil"/>
              <w:tr2bl w:val="nil"/>
            </w:tcBorders>
            <w:vAlign w:val="center"/>
          </w:tcPr>
          <w:p w14:paraId="31A9A1A5">
            <w:pPr>
              <w:widowControl/>
              <w:spacing w:before="100" w:beforeAutospacing="1" w:after="100" w:afterAutospacing="1"/>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w:t>
            </w:r>
          </w:p>
        </w:tc>
        <w:tc>
          <w:tcPr>
            <w:tcW w:w="1247" w:type="dxa"/>
            <w:tcBorders>
              <w:tl2br w:val="nil"/>
              <w:tr2bl w:val="nil"/>
            </w:tcBorders>
            <w:vAlign w:val="center"/>
          </w:tcPr>
          <w:p w14:paraId="35833DB0">
            <w:pPr>
              <w:widowControl/>
              <w:spacing w:before="100" w:beforeAutospacing="1" w:after="100" w:afterAutospacing="1"/>
              <w:ind w:left="113"/>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评标</w:t>
            </w:r>
          </w:p>
          <w:p w14:paraId="398A39FA">
            <w:pPr>
              <w:widowControl/>
              <w:spacing w:before="100" w:beforeAutospacing="1" w:after="100" w:afterAutospacing="1"/>
              <w:ind w:left="113"/>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办法</w:t>
            </w:r>
          </w:p>
        </w:tc>
        <w:tc>
          <w:tcPr>
            <w:tcW w:w="6520" w:type="dxa"/>
            <w:tcBorders>
              <w:tl2br w:val="nil"/>
              <w:tr2bl w:val="nil"/>
            </w:tcBorders>
            <w:vAlign w:val="top"/>
          </w:tcPr>
          <w:p w14:paraId="5B640BE6">
            <w:pPr>
              <w:pStyle w:val="8"/>
              <w:spacing w:before="91" w:line="276" w:lineRule="auto"/>
              <w:ind w:firstLine="0" w:firstLineChars="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综合评分相等时，评标委员会依次按照以下优先顺序推荐中标候选人或确定中标人：</w:t>
            </w:r>
          </w:p>
          <w:p w14:paraId="526343D6">
            <w:pPr>
              <w:pStyle w:val="8"/>
              <w:spacing w:before="91" w:line="276"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（1）评标价低的投标人优先；</w:t>
            </w:r>
          </w:p>
          <w:p w14:paraId="29A77452">
            <w:pPr>
              <w:pStyle w:val="8"/>
              <w:spacing w:before="91" w:line="276"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r>
              <w:rPr>
                <w:rFonts w:hint="eastAsia" w:ascii="Times New Roman" w:hAnsi="Times New Roman" w:cs="Times New Roman"/>
                <w:color w:val="auto"/>
                <w:sz w:val="22"/>
                <w:szCs w:val="22"/>
                <w:lang w:val="en-US" w:eastAsia="zh-CN"/>
              </w:rPr>
              <w:t>2</w:t>
            </w:r>
            <w:r>
              <w:rPr>
                <w:rFonts w:hint="default" w:ascii="Times New Roman" w:hAnsi="Times New Roman" w:eastAsia="宋体" w:cs="Times New Roman"/>
                <w:color w:val="auto"/>
                <w:sz w:val="22"/>
                <w:szCs w:val="22"/>
              </w:rPr>
              <w:t>）被交通运输部 2023年度公路建设市场全国综合信用评价或招标项目所在地 2024年度省级交通运输主管部门评为较高信用等级的投标人优先；</w:t>
            </w:r>
          </w:p>
          <w:p w14:paraId="67AF24E2">
            <w:pPr>
              <w:pStyle w:val="8"/>
              <w:spacing w:before="91" w:line="276" w:lineRule="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（3）技术得分较高的投标人优先；</w:t>
            </w:r>
          </w:p>
        </w:tc>
      </w:tr>
      <w:tr w14:paraId="5CC836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161" w:hRule="atLeast"/>
        </w:trPr>
        <w:tc>
          <w:tcPr>
            <w:tcW w:w="989" w:type="dxa"/>
            <w:tcBorders>
              <w:tl2br w:val="nil"/>
              <w:tr2bl w:val="nil"/>
            </w:tcBorders>
            <w:vAlign w:val="top"/>
          </w:tcPr>
          <w:p w14:paraId="4617675D">
            <w:pPr>
              <w:pStyle w:val="8"/>
              <w:rPr>
                <w:rFonts w:hint="default" w:ascii="Times New Roman" w:hAnsi="Times New Roman" w:eastAsia="宋体" w:cs="Times New Roman"/>
                <w:b/>
                <w:color w:val="auto"/>
              </w:rPr>
            </w:pPr>
          </w:p>
          <w:p w14:paraId="3C304732">
            <w:pPr>
              <w:pStyle w:val="8"/>
              <w:rPr>
                <w:rFonts w:hint="default" w:ascii="Times New Roman" w:hAnsi="Times New Roman" w:eastAsia="宋体" w:cs="Times New Roman"/>
                <w:b/>
                <w:color w:val="auto"/>
              </w:rPr>
            </w:pPr>
          </w:p>
          <w:p w14:paraId="5A8F38C8">
            <w:pPr>
              <w:pStyle w:val="8"/>
              <w:rPr>
                <w:rFonts w:hint="default" w:ascii="Times New Roman" w:hAnsi="Times New Roman" w:eastAsia="宋体" w:cs="Times New Roman"/>
                <w:b/>
                <w:color w:val="auto"/>
              </w:rPr>
            </w:pPr>
          </w:p>
          <w:p w14:paraId="3C738CBB">
            <w:pPr>
              <w:pStyle w:val="8"/>
              <w:rPr>
                <w:rFonts w:hint="default" w:ascii="Times New Roman" w:hAnsi="Times New Roman" w:eastAsia="宋体" w:cs="Times New Roman"/>
                <w:b/>
                <w:color w:val="auto"/>
              </w:rPr>
            </w:pPr>
          </w:p>
          <w:p w14:paraId="67390F05">
            <w:pPr>
              <w:pStyle w:val="8"/>
              <w:rPr>
                <w:rFonts w:hint="default" w:ascii="Times New Roman" w:hAnsi="Times New Roman" w:eastAsia="宋体" w:cs="Times New Roman"/>
                <w:b/>
                <w:color w:val="auto"/>
              </w:rPr>
            </w:pPr>
          </w:p>
          <w:p w14:paraId="13872C6E">
            <w:pPr>
              <w:pStyle w:val="8"/>
              <w:rPr>
                <w:rFonts w:hint="default" w:ascii="Times New Roman" w:hAnsi="Times New Roman" w:eastAsia="宋体" w:cs="Times New Roman"/>
                <w:b/>
                <w:color w:val="auto"/>
              </w:rPr>
            </w:pPr>
          </w:p>
          <w:p w14:paraId="00985E11">
            <w:pPr>
              <w:pStyle w:val="8"/>
              <w:rPr>
                <w:rFonts w:hint="default" w:ascii="Times New Roman" w:hAnsi="Times New Roman" w:eastAsia="宋体" w:cs="Times New Roman"/>
                <w:b/>
                <w:color w:val="auto"/>
              </w:rPr>
            </w:pPr>
          </w:p>
          <w:p w14:paraId="17D6351F">
            <w:pPr>
              <w:pStyle w:val="8"/>
              <w:rPr>
                <w:rFonts w:hint="default" w:ascii="Times New Roman" w:hAnsi="Times New Roman" w:eastAsia="宋体" w:cs="Times New Roman"/>
                <w:b/>
                <w:color w:val="auto"/>
              </w:rPr>
            </w:pPr>
          </w:p>
          <w:p w14:paraId="3FACDD74">
            <w:pPr>
              <w:pStyle w:val="8"/>
              <w:rPr>
                <w:rFonts w:hint="default" w:ascii="Times New Roman" w:hAnsi="Times New Roman" w:eastAsia="宋体" w:cs="Times New Roman"/>
                <w:b/>
                <w:color w:val="auto"/>
              </w:rPr>
            </w:pPr>
          </w:p>
          <w:p w14:paraId="1847C9F5">
            <w:pPr>
              <w:pStyle w:val="8"/>
              <w:rPr>
                <w:rFonts w:hint="default" w:ascii="Times New Roman" w:hAnsi="Times New Roman" w:eastAsia="宋体" w:cs="Times New Roman"/>
                <w:b/>
                <w:color w:val="auto"/>
              </w:rPr>
            </w:pPr>
          </w:p>
          <w:p w14:paraId="32E5E3A9">
            <w:pPr>
              <w:pStyle w:val="8"/>
              <w:rPr>
                <w:rFonts w:hint="default" w:ascii="Times New Roman" w:hAnsi="Times New Roman" w:eastAsia="宋体" w:cs="Times New Roman"/>
                <w:b/>
                <w:color w:val="auto"/>
              </w:rPr>
            </w:pPr>
          </w:p>
          <w:p w14:paraId="6D826C32">
            <w:pPr>
              <w:pStyle w:val="8"/>
              <w:spacing w:before="9"/>
              <w:rPr>
                <w:rFonts w:hint="default" w:ascii="Times New Roman" w:hAnsi="Times New Roman" w:eastAsia="宋体" w:cs="Times New Roman"/>
                <w:b/>
                <w:color w:val="auto"/>
                <w:sz w:val="22"/>
              </w:rPr>
            </w:pPr>
          </w:p>
          <w:p w14:paraId="1D7923A3">
            <w:pPr>
              <w:pStyle w:val="8"/>
              <w:ind w:left="282"/>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2.1.1</w:t>
            </w:r>
          </w:p>
          <w:p w14:paraId="12F51D01">
            <w:pPr>
              <w:pStyle w:val="8"/>
              <w:spacing w:before="141"/>
              <w:ind w:left="282"/>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2.1.3</w:t>
            </w:r>
          </w:p>
        </w:tc>
        <w:tc>
          <w:tcPr>
            <w:tcW w:w="1247" w:type="dxa"/>
            <w:tcBorders>
              <w:tl2br w:val="nil"/>
              <w:tr2bl w:val="nil"/>
            </w:tcBorders>
            <w:vAlign w:val="top"/>
          </w:tcPr>
          <w:p w14:paraId="40C3402E">
            <w:pPr>
              <w:pStyle w:val="8"/>
              <w:rPr>
                <w:rFonts w:hint="default" w:ascii="Times New Roman" w:hAnsi="Times New Roman" w:eastAsia="宋体" w:cs="Times New Roman"/>
                <w:b/>
                <w:color w:val="auto"/>
                <w:sz w:val="22"/>
              </w:rPr>
            </w:pPr>
          </w:p>
          <w:p w14:paraId="04B635C4">
            <w:pPr>
              <w:pStyle w:val="8"/>
              <w:rPr>
                <w:rFonts w:hint="default" w:ascii="Times New Roman" w:hAnsi="Times New Roman" w:eastAsia="宋体" w:cs="Times New Roman"/>
                <w:b/>
                <w:color w:val="auto"/>
                <w:sz w:val="22"/>
              </w:rPr>
            </w:pPr>
          </w:p>
          <w:p w14:paraId="27D9513B">
            <w:pPr>
              <w:pStyle w:val="8"/>
              <w:rPr>
                <w:rFonts w:hint="default" w:ascii="Times New Roman" w:hAnsi="Times New Roman" w:eastAsia="宋体" w:cs="Times New Roman"/>
                <w:b/>
                <w:color w:val="auto"/>
                <w:sz w:val="22"/>
              </w:rPr>
            </w:pPr>
          </w:p>
          <w:p w14:paraId="5DE2552F">
            <w:pPr>
              <w:pStyle w:val="8"/>
              <w:rPr>
                <w:rFonts w:hint="default" w:ascii="Times New Roman" w:hAnsi="Times New Roman" w:eastAsia="宋体" w:cs="Times New Roman"/>
                <w:b/>
                <w:color w:val="auto"/>
                <w:sz w:val="22"/>
              </w:rPr>
            </w:pPr>
          </w:p>
          <w:p w14:paraId="417F6BF0">
            <w:pPr>
              <w:pStyle w:val="8"/>
              <w:rPr>
                <w:rFonts w:hint="default" w:ascii="Times New Roman" w:hAnsi="Times New Roman" w:eastAsia="宋体" w:cs="Times New Roman"/>
                <w:b/>
                <w:color w:val="auto"/>
                <w:sz w:val="22"/>
              </w:rPr>
            </w:pPr>
          </w:p>
          <w:p w14:paraId="27E2FADF">
            <w:pPr>
              <w:pStyle w:val="8"/>
              <w:rPr>
                <w:rFonts w:hint="default" w:ascii="Times New Roman" w:hAnsi="Times New Roman" w:eastAsia="宋体" w:cs="Times New Roman"/>
                <w:b/>
                <w:color w:val="auto"/>
                <w:sz w:val="22"/>
              </w:rPr>
            </w:pPr>
          </w:p>
          <w:p w14:paraId="24CCFAA9">
            <w:pPr>
              <w:pStyle w:val="8"/>
              <w:rPr>
                <w:rFonts w:hint="default" w:ascii="Times New Roman" w:hAnsi="Times New Roman" w:eastAsia="宋体" w:cs="Times New Roman"/>
                <w:b/>
                <w:color w:val="auto"/>
                <w:sz w:val="22"/>
              </w:rPr>
            </w:pPr>
          </w:p>
          <w:p w14:paraId="6D67AD0F">
            <w:pPr>
              <w:pStyle w:val="8"/>
              <w:rPr>
                <w:rFonts w:hint="default" w:ascii="Times New Roman" w:hAnsi="Times New Roman" w:eastAsia="宋体" w:cs="Times New Roman"/>
                <w:b/>
                <w:color w:val="auto"/>
                <w:sz w:val="22"/>
              </w:rPr>
            </w:pPr>
          </w:p>
          <w:p w14:paraId="36231B62">
            <w:pPr>
              <w:pStyle w:val="8"/>
              <w:rPr>
                <w:rFonts w:hint="default" w:ascii="Times New Roman" w:hAnsi="Times New Roman" w:eastAsia="宋体" w:cs="Times New Roman"/>
                <w:b/>
                <w:color w:val="auto"/>
                <w:sz w:val="22"/>
              </w:rPr>
            </w:pPr>
          </w:p>
          <w:p w14:paraId="189CCD8E">
            <w:pPr>
              <w:pStyle w:val="8"/>
              <w:rPr>
                <w:rFonts w:hint="default" w:ascii="Times New Roman" w:hAnsi="Times New Roman" w:eastAsia="宋体" w:cs="Times New Roman"/>
                <w:b/>
                <w:color w:val="auto"/>
                <w:sz w:val="22"/>
              </w:rPr>
            </w:pPr>
          </w:p>
          <w:p w14:paraId="18CC82A4">
            <w:pPr>
              <w:pStyle w:val="8"/>
              <w:rPr>
                <w:rFonts w:hint="default" w:ascii="Times New Roman" w:hAnsi="Times New Roman" w:eastAsia="宋体" w:cs="Times New Roman"/>
                <w:b/>
                <w:color w:val="auto"/>
                <w:sz w:val="22"/>
              </w:rPr>
            </w:pPr>
          </w:p>
          <w:p w14:paraId="7BE4F719">
            <w:pPr>
              <w:pStyle w:val="8"/>
              <w:spacing w:before="1"/>
              <w:rPr>
                <w:rFonts w:hint="default" w:ascii="Times New Roman" w:hAnsi="Times New Roman" w:eastAsia="宋体" w:cs="Times New Roman"/>
                <w:b/>
                <w:color w:val="auto"/>
                <w:sz w:val="22"/>
              </w:rPr>
            </w:pPr>
          </w:p>
          <w:p w14:paraId="00A518D7">
            <w:pPr>
              <w:pStyle w:val="8"/>
              <w:spacing w:line="338" w:lineRule="auto"/>
              <w:ind w:left="112" w:right="99"/>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形式评审与响应性评审标准</w:t>
            </w:r>
          </w:p>
        </w:tc>
        <w:tc>
          <w:tcPr>
            <w:tcW w:w="6520" w:type="dxa"/>
            <w:tcBorders>
              <w:tl2br w:val="nil"/>
              <w:tr2bl w:val="nil"/>
            </w:tcBorders>
            <w:vAlign w:val="top"/>
          </w:tcPr>
          <w:p w14:paraId="516F78E6">
            <w:pPr>
              <w:pStyle w:val="8"/>
              <w:spacing w:before="92"/>
              <w:rPr>
                <w:rFonts w:hint="default" w:ascii="Times New Roman" w:hAnsi="Times New Roman" w:eastAsia="宋体" w:cs="Times New Roman"/>
                <w:b/>
                <w:color w:val="auto"/>
                <w:sz w:val="22"/>
              </w:rPr>
            </w:pPr>
          </w:p>
          <w:p w14:paraId="219D3776">
            <w:pPr>
              <w:pStyle w:val="8"/>
              <w:spacing w:before="92"/>
              <w:ind w:left="527"/>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第一个信封（商务及技术文件）评审标准：</w:t>
            </w:r>
          </w:p>
          <w:p w14:paraId="28B7A370">
            <w:pPr>
              <w:pStyle w:val="8"/>
              <w:spacing w:line="360" w:lineRule="atLeast"/>
              <w:ind w:left="104" w:right="44" w:firstLine="42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（1）投标文件按照招标文件规定的格式、内容填写，字迹清晰可辨：</w:t>
            </w:r>
          </w:p>
          <w:p w14:paraId="284A4666">
            <w:pPr>
              <w:pStyle w:val="8"/>
              <w:spacing w:line="360" w:lineRule="atLeast"/>
              <w:ind w:left="104" w:right="44" w:firstLine="420"/>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A.</w:t>
            </w:r>
            <w:r>
              <w:rPr>
                <w:rFonts w:hint="default" w:ascii="Times New Roman" w:hAnsi="Times New Roman" w:eastAsia="宋体" w:cs="Times New Roman"/>
                <w:color w:val="auto"/>
                <w:sz w:val="22"/>
              </w:rPr>
              <w:t>按招标文件规定填报了项目名称、标段号、补遗书编号（如有）、监理服务期限、工程质量要求及安全目标；</w:t>
            </w:r>
          </w:p>
          <w:p w14:paraId="0876DFF9">
            <w:pPr>
              <w:pStyle w:val="8"/>
              <w:spacing w:line="360" w:lineRule="atLeast"/>
              <w:ind w:left="104" w:right="44" w:firstLine="420"/>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B.</w:t>
            </w:r>
            <w:r>
              <w:rPr>
                <w:rFonts w:hint="default" w:ascii="Times New Roman" w:hAnsi="Times New Roman" w:eastAsia="宋体" w:cs="Times New Roman"/>
                <w:color w:val="auto"/>
                <w:sz w:val="22"/>
              </w:rPr>
              <w:t>投标文件组成齐全完整，内容均按规定填写。</w:t>
            </w:r>
          </w:p>
          <w:p w14:paraId="2038513F">
            <w:pPr>
              <w:pStyle w:val="8"/>
              <w:spacing w:line="360" w:lineRule="atLeast"/>
              <w:ind w:left="104" w:right="44" w:firstLine="420"/>
              <w:rPr>
                <w:rFonts w:hint="default" w:ascii="Times New Roman" w:hAnsi="Times New Roman" w:eastAsia="宋体" w:cs="Times New Roman"/>
                <w:color w:val="auto"/>
                <w:sz w:val="22"/>
              </w:rPr>
            </w:pPr>
            <w:r>
              <w:rPr>
                <w:rFonts w:hint="eastAsia" w:ascii="Times New Roman" w:hAnsi="Times New Roman" w:cs="Times New Roman"/>
                <w:color w:val="auto"/>
                <w:sz w:val="22"/>
                <w:lang w:val="en-US" w:eastAsia="zh-CN"/>
              </w:rPr>
              <w:t>C</w:t>
            </w:r>
            <w:r>
              <w:rPr>
                <w:rFonts w:hint="default" w:ascii="Times New Roman" w:hAnsi="Times New Roman" w:eastAsia="宋体" w:cs="Times New Roman"/>
                <w:color w:val="auto"/>
                <w:sz w:val="22"/>
              </w:rPr>
              <w:t>.投标文件组成齐全完整，内容均按规定填写。</w:t>
            </w:r>
          </w:p>
          <w:p w14:paraId="69EA88D4">
            <w:pPr>
              <w:pStyle w:val="8"/>
              <w:spacing w:line="360" w:lineRule="atLeast"/>
              <w:ind w:left="104" w:right="44" w:firstLine="42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r>
              <w:rPr>
                <w:rFonts w:hint="eastAsia" w:ascii="Times New Roman" w:hAnsi="Times New Roman" w:eastAsia="宋体" w:cs="Times New Roman"/>
                <w:color w:val="auto"/>
                <w:sz w:val="22"/>
                <w:lang w:val="en-US" w:eastAsia="zh-CN"/>
              </w:rPr>
              <w:t>2</w:t>
            </w:r>
            <w:r>
              <w:rPr>
                <w:rFonts w:hint="default" w:ascii="Times New Roman" w:hAnsi="Times New Roman" w:eastAsia="宋体" w:cs="Times New Roman"/>
                <w:color w:val="auto"/>
                <w:sz w:val="22"/>
              </w:rPr>
              <w:t xml:space="preserve">）投标文件上法定代表人或其委托代理人的签字、投标人的单位章盖章齐全，符合招标文件规定。 </w:t>
            </w:r>
          </w:p>
          <w:p w14:paraId="48213919">
            <w:pPr>
              <w:pStyle w:val="8"/>
              <w:spacing w:line="268" w:lineRule="exact"/>
              <w:ind w:left="524"/>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r>
              <w:rPr>
                <w:rFonts w:hint="eastAsia" w:ascii="Times New Roman" w:hAnsi="Times New Roman" w:cs="Times New Roman"/>
                <w:color w:val="auto"/>
                <w:sz w:val="22"/>
                <w:lang w:val="en-US" w:eastAsia="zh-CN"/>
              </w:rPr>
              <w:t>3</w:t>
            </w:r>
            <w:r>
              <w:rPr>
                <w:rFonts w:hint="default" w:ascii="Times New Roman" w:hAnsi="Times New Roman" w:eastAsia="宋体" w:cs="Times New Roman"/>
                <w:color w:val="auto"/>
                <w:sz w:val="22"/>
              </w:rPr>
              <w:t>）投标人按照招标文件的规定提供了投标保证金：</w:t>
            </w:r>
          </w:p>
          <w:p w14:paraId="40F3C832">
            <w:pPr>
              <w:pStyle w:val="8"/>
              <w:spacing w:line="360" w:lineRule="atLeast"/>
              <w:ind w:left="104" w:right="44" w:firstLine="420"/>
              <w:rPr>
                <w:rFonts w:hint="default" w:ascii="Times New Roman" w:hAnsi="Times New Roman" w:eastAsia="宋体" w:cs="Times New Roman"/>
                <w:color w:val="auto"/>
                <w:sz w:val="22"/>
              </w:rPr>
            </w:pPr>
            <w:r>
              <w:rPr>
                <w:rFonts w:hint="eastAsia" w:ascii="Times New Roman" w:hAnsi="Times New Roman" w:cs="Times New Roman"/>
                <w:color w:val="auto"/>
                <w:sz w:val="22"/>
                <w:lang w:val="en-US" w:eastAsia="zh-CN"/>
              </w:rPr>
              <w:t>A</w:t>
            </w:r>
            <w:r>
              <w:rPr>
                <w:rFonts w:hint="default" w:ascii="Times New Roman" w:hAnsi="Times New Roman" w:eastAsia="宋体" w:cs="Times New Roman"/>
                <w:color w:val="auto"/>
                <w:sz w:val="22"/>
              </w:rPr>
              <w:t>.投标保证金金额符合招标文件规定的金额，且投标保证金有效期不少于投标有效期；</w:t>
            </w:r>
          </w:p>
          <w:p w14:paraId="1E31090D">
            <w:pPr>
              <w:pStyle w:val="8"/>
              <w:spacing w:line="360" w:lineRule="atLeast"/>
              <w:ind w:left="104" w:right="44" w:firstLine="420"/>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B</w:t>
            </w:r>
            <w:r>
              <w:rPr>
                <w:rFonts w:hint="default" w:ascii="Times New Roman" w:hAnsi="Times New Roman" w:eastAsia="宋体" w:cs="Times New Roman"/>
                <w:color w:val="auto"/>
                <w:sz w:val="22"/>
              </w:rPr>
              <w:t>.投标人应在投标保证金递交截止时间之前，将投标保证金由投标 人的基本账户转入招标人指定账户。</w:t>
            </w:r>
          </w:p>
          <w:p w14:paraId="42EBAFBB">
            <w:pPr>
              <w:pStyle w:val="8"/>
              <w:spacing w:line="360" w:lineRule="atLeast"/>
              <w:ind w:left="104" w:right="44" w:firstLine="420"/>
              <w:rPr>
                <w:rFonts w:hint="default" w:ascii="Times New Roman" w:hAnsi="Times New Roman" w:eastAsia="宋体" w:cs="Times New Roman"/>
                <w:color w:val="auto"/>
                <w:sz w:val="22"/>
              </w:rPr>
            </w:pPr>
          </w:p>
        </w:tc>
      </w:tr>
    </w:tbl>
    <w:p w14:paraId="66371197">
      <w:pPr>
        <w:pStyle w:val="2"/>
        <w:spacing w:before="3"/>
        <w:rPr>
          <w:rFonts w:hint="default" w:ascii="Times New Roman" w:hAnsi="Times New Roman" w:eastAsia="宋体" w:cs="Times New Roman"/>
          <w:color w:val="auto"/>
          <w:sz w:val="22"/>
          <w:szCs w:val="22"/>
        </w:rPr>
      </w:pPr>
    </w:p>
    <w:p w14:paraId="45FF6BCF">
      <w:pPr>
        <w:pStyle w:val="2"/>
        <w:spacing w:before="3"/>
        <w:rPr>
          <w:rFonts w:hint="default" w:ascii="Times New Roman" w:hAnsi="Times New Roman" w:eastAsia="宋体" w:cs="Times New Roman"/>
          <w:color w:val="auto"/>
          <w:sz w:val="22"/>
          <w:szCs w:val="22"/>
        </w:rPr>
      </w:pPr>
    </w:p>
    <w:p w14:paraId="641062A0">
      <w:pPr>
        <w:pStyle w:val="4"/>
        <w:rPr>
          <w:rFonts w:hint="default"/>
          <w:color w:val="auto"/>
        </w:rPr>
      </w:pPr>
    </w:p>
    <w:p w14:paraId="69CF65DF">
      <w:pPr>
        <w:pStyle w:val="2"/>
        <w:spacing w:before="3"/>
        <w:rPr>
          <w:rFonts w:hint="default" w:ascii="Times New Roman" w:hAnsi="Times New Roman" w:eastAsia="宋体" w:cs="Times New Roman"/>
          <w:color w:val="auto"/>
          <w:sz w:val="22"/>
          <w:szCs w:val="22"/>
        </w:rPr>
      </w:pPr>
    </w:p>
    <w:p w14:paraId="34E25930">
      <w:pPr>
        <w:spacing w:after="4"/>
        <w:ind w:right="464"/>
        <w:jc w:val="righ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续上表</w:t>
      </w:r>
    </w:p>
    <w:tbl>
      <w:tblPr>
        <w:tblStyle w:val="5"/>
        <w:tblW w:w="8756" w:type="dxa"/>
        <w:tblInd w:w="32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47"/>
        <w:gridCol w:w="6520"/>
      </w:tblGrid>
      <w:tr w14:paraId="21A055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236" w:type="dxa"/>
            <w:gridSpan w:val="2"/>
            <w:tcBorders>
              <w:tl2br w:val="nil"/>
              <w:tr2bl w:val="nil"/>
            </w:tcBorders>
            <w:vAlign w:val="top"/>
          </w:tcPr>
          <w:p w14:paraId="668777A2">
            <w:pPr>
              <w:pStyle w:val="8"/>
              <w:tabs>
                <w:tab w:val="left" w:pos="1527"/>
              </w:tabs>
              <w:spacing w:before="109" w:line="250" w:lineRule="exact"/>
              <w:ind w:left="393" w:right="788"/>
              <w:jc w:val="center"/>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 xml:space="preserve">  条款号</w:t>
            </w:r>
          </w:p>
        </w:tc>
        <w:tc>
          <w:tcPr>
            <w:tcW w:w="6520" w:type="dxa"/>
            <w:tcBorders>
              <w:tl2br w:val="nil"/>
              <w:tr2bl w:val="nil"/>
            </w:tcBorders>
            <w:vAlign w:val="top"/>
          </w:tcPr>
          <w:p w14:paraId="2DB400BF">
            <w:pPr>
              <w:pStyle w:val="8"/>
              <w:spacing w:before="109" w:line="250" w:lineRule="exact"/>
              <w:ind w:left="2126" w:right="2340"/>
              <w:jc w:val="center"/>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评审因素与评审标准</w:t>
            </w:r>
          </w:p>
        </w:tc>
      </w:tr>
      <w:tr w14:paraId="350BA4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2601" w:hRule="atLeast"/>
        </w:trPr>
        <w:tc>
          <w:tcPr>
            <w:tcW w:w="989" w:type="dxa"/>
            <w:tcBorders>
              <w:tl2br w:val="nil"/>
              <w:tr2bl w:val="nil"/>
            </w:tcBorders>
            <w:vAlign w:val="top"/>
          </w:tcPr>
          <w:p w14:paraId="23576CB7">
            <w:pPr>
              <w:pStyle w:val="8"/>
              <w:rPr>
                <w:rFonts w:hint="default" w:ascii="Times New Roman" w:hAnsi="Times New Roman" w:eastAsia="宋体" w:cs="Times New Roman"/>
                <w:color w:val="auto"/>
              </w:rPr>
            </w:pPr>
          </w:p>
          <w:p w14:paraId="30B65EB5">
            <w:pPr>
              <w:pStyle w:val="8"/>
              <w:rPr>
                <w:rFonts w:hint="default" w:ascii="Times New Roman" w:hAnsi="Times New Roman" w:eastAsia="宋体" w:cs="Times New Roman"/>
                <w:color w:val="auto"/>
              </w:rPr>
            </w:pPr>
          </w:p>
          <w:p w14:paraId="66F1EAD7">
            <w:pPr>
              <w:pStyle w:val="8"/>
              <w:rPr>
                <w:rFonts w:hint="default" w:ascii="Times New Roman" w:hAnsi="Times New Roman" w:eastAsia="宋体" w:cs="Times New Roman"/>
                <w:color w:val="auto"/>
              </w:rPr>
            </w:pPr>
          </w:p>
          <w:p w14:paraId="6DD3CACA">
            <w:pPr>
              <w:pStyle w:val="8"/>
              <w:rPr>
                <w:rFonts w:hint="default" w:ascii="Times New Roman" w:hAnsi="Times New Roman" w:eastAsia="宋体" w:cs="Times New Roman"/>
                <w:color w:val="auto"/>
              </w:rPr>
            </w:pPr>
          </w:p>
          <w:p w14:paraId="383449E8">
            <w:pPr>
              <w:pStyle w:val="8"/>
              <w:rPr>
                <w:rFonts w:hint="default" w:ascii="Times New Roman" w:hAnsi="Times New Roman" w:eastAsia="宋体" w:cs="Times New Roman"/>
                <w:color w:val="auto"/>
              </w:rPr>
            </w:pPr>
          </w:p>
          <w:p w14:paraId="093DDA83">
            <w:pPr>
              <w:pStyle w:val="8"/>
              <w:rPr>
                <w:rFonts w:hint="default" w:ascii="Times New Roman" w:hAnsi="Times New Roman" w:eastAsia="宋体" w:cs="Times New Roman"/>
                <w:color w:val="auto"/>
              </w:rPr>
            </w:pPr>
          </w:p>
          <w:p w14:paraId="025C68B7">
            <w:pPr>
              <w:pStyle w:val="8"/>
              <w:rPr>
                <w:rFonts w:hint="default" w:ascii="Times New Roman" w:hAnsi="Times New Roman" w:eastAsia="宋体" w:cs="Times New Roman"/>
                <w:color w:val="auto"/>
              </w:rPr>
            </w:pPr>
          </w:p>
          <w:p w14:paraId="091B9CBC">
            <w:pPr>
              <w:pStyle w:val="8"/>
              <w:rPr>
                <w:rFonts w:hint="default" w:ascii="Times New Roman" w:hAnsi="Times New Roman" w:eastAsia="宋体" w:cs="Times New Roman"/>
                <w:color w:val="auto"/>
              </w:rPr>
            </w:pPr>
          </w:p>
          <w:p w14:paraId="343B2E7F">
            <w:pPr>
              <w:pStyle w:val="8"/>
              <w:rPr>
                <w:rFonts w:hint="default" w:ascii="Times New Roman" w:hAnsi="Times New Roman" w:eastAsia="宋体" w:cs="Times New Roman"/>
                <w:color w:val="auto"/>
              </w:rPr>
            </w:pPr>
          </w:p>
          <w:p w14:paraId="40FEB995">
            <w:pPr>
              <w:pStyle w:val="8"/>
              <w:rPr>
                <w:rFonts w:hint="default" w:ascii="Times New Roman" w:hAnsi="Times New Roman" w:eastAsia="宋体" w:cs="Times New Roman"/>
                <w:color w:val="auto"/>
              </w:rPr>
            </w:pPr>
          </w:p>
          <w:p w14:paraId="5D4005F6">
            <w:pPr>
              <w:pStyle w:val="8"/>
              <w:rPr>
                <w:rFonts w:hint="default" w:ascii="Times New Roman" w:hAnsi="Times New Roman" w:eastAsia="宋体" w:cs="Times New Roman"/>
                <w:color w:val="auto"/>
              </w:rPr>
            </w:pPr>
          </w:p>
          <w:p w14:paraId="7D82C57B">
            <w:pPr>
              <w:pStyle w:val="8"/>
              <w:rPr>
                <w:rFonts w:hint="default" w:ascii="Times New Roman" w:hAnsi="Times New Roman" w:eastAsia="宋体" w:cs="Times New Roman"/>
                <w:color w:val="auto"/>
              </w:rPr>
            </w:pPr>
          </w:p>
          <w:p w14:paraId="2809D1B3">
            <w:pPr>
              <w:pStyle w:val="8"/>
              <w:rPr>
                <w:rFonts w:hint="default" w:ascii="Times New Roman" w:hAnsi="Times New Roman" w:eastAsia="宋体" w:cs="Times New Roman"/>
                <w:color w:val="auto"/>
              </w:rPr>
            </w:pPr>
          </w:p>
          <w:p w14:paraId="12691767">
            <w:pPr>
              <w:pStyle w:val="8"/>
              <w:rPr>
                <w:rFonts w:hint="default" w:ascii="Times New Roman" w:hAnsi="Times New Roman" w:eastAsia="宋体" w:cs="Times New Roman"/>
                <w:color w:val="auto"/>
              </w:rPr>
            </w:pPr>
          </w:p>
          <w:p w14:paraId="218FE046">
            <w:pPr>
              <w:pStyle w:val="8"/>
              <w:rPr>
                <w:rFonts w:hint="default" w:ascii="Times New Roman" w:hAnsi="Times New Roman" w:eastAsia="宋体" w:cs="Times New Roman"/>
                <w:color w:val="auto"/>
              </w:rPr>
            </w:pPr>
          </w:p>
          <w:p w14:paraId="4F6C40C7">
            <w:pPr>
              <w:pStyle w:val="8"/>
              <w:rPr>
                <w:rFonts w:hint="default" w:ascii="Times New Roman" w:hAnsi="Times New Roman" w:eastAsia="宋体" w:cs="Times New Roman"/>
                <w:color w:val="auto"/>
              </w:rPr>
            </w:pPr>
          </w:p>
          <w:p w14:paraId="45B48650">
            <w:pPr>
              <w:pStyle w:val="8"/>
              <w:rPr>
                <w:rFonts w:hint="default" w:ascii="Times New Roman" w:hAnsi="Times New Roman" w:eastAsia="宋体" w:cs="Times New Roman"/>
                <w:color w:val="auto"/>
              </w:rPr>
            </w:pPr>
          </w:p>
          <w:p w14:paraId="5A510E89">
            <w:pPr>
              <w:pStyle w:val="8"/>
              <w:rPr>
                <w:rFonts w:hint="default" w:ascii="Times New Roman" w:hAnsi="Times New Roman" w:eastAsia="宋体" w:cs="Times New Roman"/>
                <w:color w:val="auto"/>
              </w:rPr>
            </w:pPr>
          </w:p>
          <w:p w14:paraId="5F40E557">
            <w:pPr>
              <w:pStyle w:val="8"/>
              <w:rPr>
                <w:rFonts w:hint="default" w:ascii="Times New Roman" w:hAnsi="Times New Roman" w:eastAsia="宋体" w:cs="Times New Roman"/>
                <w:color w:val="auto"/>
              </w:rPr>
            </w:pPr>
          </w:p>
          <w:p w14:paraId="354AAF20">
            <w:pPr>
              <w:pStyle w:val="8"/>
              <w:rPr>
                <w:rFonts w:hint="default" w:ascii="Times New Roman" w:hAnsi="Times New Roman" w:eastAsia="宋体" w:cs="Times New Roman"/>
                <w:color w:val="auto"/>
              </w:rPr>
            </w:pPr>
          </w:p>
          <w:p w14:paraId="7D7AC938">
            <w:pPr>
              <w:pStyle w:val="8"/>
              <w:spacing w:before="4"/>
              <w:rPr>
                <w:rFonts w:hint="default" w:ascii="Times New Roman" w:hAnsi="Times New Roman" w:eastAsia="宋体" w:cs="Times New Roman"/>
                <w:color w:val="auto"/>
                <w:sz w:val="22"/>
              </w:rPr>
            </w:pPr>
          </w:p>
          <w:p w14:paraId="7F92AF58">
            <w:pPr>
              <w:pStyle w:val="8"/>
              <w:ind w:left="282"/>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2.1.1</w:t>
            </w:r>
          </w:p>
          <w:p w14:paraId="516BDAF7">
            <w:pPr>
              <w:pStyle w:val="8"/>
              <w:spacing w:before="109"/>
              <w:ind w:left="282"/>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2.1.3</w:t>
            </w:r>
          </w:p>
        </w:tc>
        <w:tc>
          <w:tcPr>
            <w:tcW w:w="1247" w:type="dxa"/>
            <w:tcBorders>
              <w:tl2br w:val="nil"/>
              <w:tr2bl w:val="nil"/>
            </w:tcBorders>
            <w:vAlign w:val="top"/>
          </w:tcPr>
          <w:p w14:paraId="533CBF31">
            <w:pPr>
              <w:pStyle w:val="8"/>
              <w:rPr>
                <w:rFonts w:hint="default" w:ascii="Times New Roman" w:hAnsi="Times New Roman" w:eastAsia="宋体" w:cs="Times New Roman"/>
                <w:color w:val="auto"/>
                <w:sz w:val="22"/>
              </w:rPr>
            </w:pPr>
          </w:p>
          <w:p w14:paraId="6DAA551F">
            <w:pPr>
              <w:pStyle w:val="8"/>
              <w:rPr>
                <w:rFonts w:hint="default" w:ascii="Times New Roman" w:hAnsi="Times New Roman" w:eastAsia="宋体" w:cs="Times New Roman"/>
                <w:color w:val="auto"/>
                <w:sz w:val="22"/>
              </w:rPr>
            </w:pPr>
          </w:p>
          <w:p w14:paraId="75BEE387">
            <w:pPr>
              <w:pStyle w:val="8"/>
              <w:rPr>
                <w:rFonts w:hint="default" w:ascii="Times New Roman" w:hAnsi="Times New Roman" w:eastAsia="宋体" w:cs="Times New Roman"/>
                <w:color w:val="auto"/>
                <w:sz w:val="22"/>
              </w:rPr>
            </w:pPr>
          </w:p>
          <w:p w14:paraId="0EC99275">
            <w:pPr>
              <w:pStyle w:val="8"/>
              <w:rPr>
                <w:rFonts w:hint="default" w:ascii="Times New Roman" w:hAnsi="Times New Roman" w:eastAsia="宋体" w:cs="Times New Roman"/>
                <w:color w:val="auto"/>
                <w:sz w:val="22"/>
              </w:rPr>
            </w:pPr>
          </w:p>
          <w:p w14:paraId="4105D72F">
            <w:pPr>
              <w:pStyle w:val="8"/>
              <w:rPr>
                <w:rFonts w:hint="default" w:ascii="Times New Roman" w:hAnsi="Times New Roman" w:eastAsia="宋体" w:cs="Times New Roman"/>
                <w:color w:val="auto"/>
                <w:sz w:val="22"/>
              </w:rPr>
            </w:pPr>
          </w:p>
          <w:p w14:paraId="31FD8E76">
            <w:pPr>
              <w:pStyle w:val="8"/>
              <w:rPr>
                <w:rFonts w:hint="default" w:ascii="Times New Roman" w:hAnsi="Times New Roman" w:eastAsia="宋体" w:cs="Times New Roman"/>
                <w:color w:val="auto"/>
                <w:sz w:val="22"/>
              </w:rPr>
            </w:pPr>
          </w:p>
          <w:p w14:paraId="6A3457B7">
            <w:pPr>
              <w:pStyle w:val="8"/>
              <w:rPr>
                <w:rFonts w:hint="default" w:ascii="Times New Roman" w:hAnsi="Times New Roman" w:eastAsia="宋体" w:cs="Times New Roman"/>
                <w:color w:val="auto"/>
                <w:sz w:val="22"/>
              </w:rPr>
            </w:pPr>
          </w:p>
          <w:p w14:paraId="26C3AD0B">
            <w:pPr>
              <w:pStyle w:val="8"/>
              <w:rPr>
                <w:rFonts w:hint="default" w:ascii="Times New Roman" w:hAnsi="Times New Roman" w:eastAsia="宋体" w:cs="Times New Roman"/>
                <w:color w:val="auto"/>
                <w:sz w:val="22"/>
              </w:rPr>
            </w:pPr>
          </w:p>
          <w:p w14:paraId="4364C6E1">
            <w:pPr>
              <w:pStyle w:val="8"/>
              <w:rPr>
                <w:rFonts w:hint="default" w:ascii="Times New Roman" w:hAnsi="Times New Roman" w:eastAsia="宋体" w:cs="Times New Roman"/>
                <w:color w:val="auto"/>
                <w:sz w:val="22"/>
              </w:rPr>
            </w:pPr>
          </w:p>
          <w:p w14:paraId="597ADCEF">
            <w:pPr>
              <w:pStyle w:val="8"/>
              <w:rPr>
                <w:rFonts w:hint="default" w:ascii="Times New Roman" w:hAnsi="Times New Roman" w:eastAsia="宋体" w:cs="Times New Roman"/>
                <w:color w:val="auto"/>
                <w:sz w:val="22"/>
              </w:rPr>
            </w:pPr>
          </w:p>
          <w:p w14:paraId="3FFA0691">
            <w:pPr>
              <w:pStyle w:val="8"/>
              <w:rPr>
                <w:rFonts w:hint="default" w:ascii="Times New Roman" w:hAnsi="Times New Roman" w:eastAsia="宋体" w:cs="Times New Roman"/>
                <w:color w:val="auto"/>
                <w:sz w:val="22"/>
              </w:rPr>
            </w:pPr>
          </w:p>
          <w:p w14:paraId="1C343424">
            <w:pPr>
              <w:pStyle w:val="8"/>
              <w:rPr>
                <w:rFonts w:hint="default" w:ascii="Times New Roman" w:hAnsi="Times New Roman" w:eastAsia="宋体" w:cs="Times New Roman"/>
                <w:color w:val="auto"/>
                <w:sz w:val="22"/>
              </w:rPr>
            </w:pPr>
          </w:p>
          <w:p w14:paraId="6F42D34D">
            <w:pPr>
              <w:pStyle w:val="8"/>
              <w:rPr>
                <w:rFonts w:hint="default" w:ascii="Times New Roman" w:hAnsi="Times New Roman" w:eastAsia="宋体" w:cs="Times New Roman"/>
                <w:color w:val="auto"/>
                <w:sz w:val="22"/>
              </w:rPr>
            </w:pPr>
          </w:p>
          <w:p w14:paraId="0978AD4F">
            <w:pPr>
              <w:pStyle w:val="8"/>
              <w:rPr>
                <w:rFonts w:hint="default" w:ascii="Times New Roman" w:hAnsi="Times New Roman" w:eastAsia="宋体" w:cs="Times New Roman"/>
                <w:color w:val="auto"/>
                <w:sz w:val="22"/>
              </w:rPr>
            </w:pPr>
          </w:p>
          <w:p w14:paraId="7FC50CBD">
            <w:pPr>
              <w:pStyle w:val="8"/>
              <w:rPr>
                <w:rFonts w:hint="default" w:ascii="Times New Roman" w:hAnsi="Times New Roman" w:eastAsia="宋体" w:cs="Times New Roman"/>
                <w:color w:val="auto"/>
                <w:sz w:val="22"/>
              </w:rPr>
            </w:pPr>
          </w:p>
          <w:p w14:paraId="40997606">
            <w:pPr>
              <w:pStyle w:val="8"/>
              <w:rPr>
                <w:rFonts w:hint="default" w:ascii="Times New Roman" w:hAnsi="Times New Roman" w:eastAsia="宋体" w:cs="Times New Roman"/>
                <w:color w:val="auto"/>
                <w:sz w:val="22"/>
              </w:rPr>
            </w:pPr>
          </w:p>
          <w:p w14:paraId="74DA7DD5">
            <w:pPr>
              <w:pStyle w:val="8"/>
              <w:rPr>
                <w:rFonts w:hint="default" w:ascii="Times New Roman" w:hAnsi="Times New Roman" w:eastAsia="宋体" w:cs="Times New Roman"/>
                <w:color w:val="auto"/>
                <w:sz w:val="22"/>
              </w:rPr>
            </w:pPr>
          </w:p>
          <w:p w14:paraId="6D7872A9">
            <w:pPr>
              <w:pStyle w:val="8"/>
              <w:rPr>
                <w:rFonts w:hint="default" w:ascii="Times New Roman" w:hAnsi="Times New Roman" w:eastAsia="宋体" w:cs="Times New Roman"/>
                <w:color w:val="auto"/>
                <w:sz w:val="22"/>
              </w:rPr>
            </w:pPr>
          </w:p>
          <w:p w14:paraId="0C9E5B5C">
            <w:pPr>
              <w:pStyle w:val="8"/>
              <w:rPr>
                <w:rFonts w:hint="default" w:ascii="Times New Roman" w:hAnsi="Times New Roman" w:eastAsia="宋体" w:cs="Times New Roman"/>
                <w:color w:val="auto"/>
                <w:sz w:val="22"/>
              </w:rPr>
            </w:pPr>
          </w:p>
          <w:p w14:paraId="6463C82D">
            <w:pPr>
              <w:pStyle w:val="8"/>
              <w:rPr>
                <w:rFonts w:hint="default" w:ascii="Times New Roman" w:hAnsi="Times New Roman" w:eastAsia="宋体" w:cs="Times New Roman"/>
                <w:color w:val="auto"/>
                <w:sz w:val="22"/>
              </w:rPr>
            </w:pPr>
          </w:p>
          <w:p w14:paraId="678286B4">
            <w:pPr>
              <w:pStyle w:val="8"/>
              <w:rPr>
                <w:rFonts w:hint="default" w:ascii="Times New Roman" w:hAnsi="Times New Roman" w:eastAsia="宋体" w:cs="Times New Roman"/>
                <w:color w:val="auto"/>
                <w:sz w:val="22"/>
              </w:rPr>
            </w:pPr>
          </w:p>
          <w:p w14:paraId="2B16BA9C">
            <w:pPr>
              <w:pStyle w:val="8"/>
              <w:rPr>
                <w:rFonts w:hint="default" w:ascii="Times New Roman" w:hAnsi="Times New Roman" w:eastAsia="宋体" w:cs="Times New Roman"/>
                <w:color w:val="auto"/>
                <w:sz w:val="22"/>
              </w:rPr>
            </w:pPr>
          </w:p>
          <w:p w14:paraId="13E990C5">
            <w:pPr>
              <w:pStyle w:val="8"/>
              <w:rPr>
                <w:rFonts w:hint="default" w:ascii="Times New Roman" w:hAnsi="Times New Roman" w:eastAsia="宋体" w:cs="Times New Roman"/>
                <w:color w:val="auto"/>
                <w:sz w:val="22"/>
              </w:rPr>
            </w:pPr>
          </w:p>
          <w:p w14:paraId="7D9F5929">
            <w:pPr>
              <w:pStyle w:val="8"/>
              <w:spacing w:line="312" w:lineRule="auto"/>
              <w:ind w:left="112" w:right="99"/>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形式评审与响应性评审标准</w:t>
            </w:r>
          </w:p>
        </w:tc>
        <w:tc>
          <w:tcPr>
            <w:tcW w:w="6520" w:type="dxa"/>
            <w:tcBorders>
              <w:tl2br w:val="nil"/>
              <w:tr2bl w:val="nil"/>
            </w:tcBorders>
            <w:vAlign w:val="top"/>
          </w:tcPr>
          <w:p w14:paraId="2D1085B1">
            <w:pPr>
              <w:pStyle w:val="8"/>
              <w:numPr>
                <w:ilvl w:val="-1"/>
                <w:numId w:val="0"/>
              </w:numPr>
              <w:tabs>
                <w:tab w:val="left" w:pos="1160"/>
              </w:tabs>
              <w:spacing w:before="81"/>
              <w:ind w:left="523" w:firstLine="0"/>
              <w:rPr>
                <w:rFonts w:hint="default" w:ascii="Times New Roman" w:hAnsi="Times New Roman" w:eastAsia="宋体" w:cs="Times New Roman"/>
                <w:color w:val="auto"/>
                <w:spacing w:val="-3"/>
                <w:sz w:val="22"/>
                <w:lang w:eastAsia="zh-CN"/>
              </w:rPr>
            </w:pPr>
            <w:r>
              <w:rPr>
                <w:rFonts w:hint="eastAsia" w:ascii="Times New Roman" w:hAnsi="Times New Roman" w:eastAsia="宋体" w:cs="Times New Roman"/>
                <w:color w:val="auto"/>
                <w:spacing w:val="-3"/>
                <w:sz w:val="22"/>
                <w:lang w:eastAsia="zh-CN"/>
              </w:rPr>
              <w:t>（</w:t>
            </w:r>
            <w:r>
              <w:rPr>
                <w:rFonts w:hint="eastAsia" w:ascii="Times New Roman" w:hAnsi="Times New Roman" w:eastAsia="宋体" w:cs="Times New Roman"/>
                <w:color w:val="auto"/>
                <w:spacing w:val="-3"/>
                <w:sz w:val="22"/>
                <w:lang w:val="en-US" w:eastAsia="zh-CN"/>
              </w:rPr>
              <w:t>4</w:t>
            </w:r>
            <w:r>
              <w:rPr>
                <w:rFonts w:hint="eastAsia" w:ascii="Times New Roman" w:hAnsi="Times New Roman" w:eastAsia="宋体" w:cs="Times New Roman"/>
                <w:color w:val="auto"/>
                <w:spacing w:val="-3"/>
                <w:sz w:val="22"/>
                <w:lang w:eastAsia="zh-CN"/>
              </w:rPr>
              <w:t>）</w:t>
            </w:r>
            <w:r>
              <w:rPr>
                <w:rFonts w:hint="default" w:ascii="Times New Roman" w:hAnsi="Times New Roman" w:eastAsia="宋体" w:cs="Times New Roman"/>
                <w:color w:val="auto"/>
                <w:spacing w:val="-3"/>
                <w:sz w:val="22"/>
                <w:lang w:eastAsia="zh-CN"/>
              </w:rPr>
              <w:t>投标人法定代表人授权委托代理人签署投标文件的，须提交授权委托书，且授权人和被授权人均在授权委托书上签名，未使用印章、签名章或其他电子制版签名代替。</w:t>
            </w:r>
          </w:p>
          <w:p w14:paraId="5BC4B51F">
            <w:pPr>
              <w:pStyle w:val="8"/>
              <w:numPr>
                <w:ilvl w:val="-1"/>
                <w:numId w:val="0"/>
              </w:numPr>
              <w:tabs>
                <w:tab w:val="left" w:pos="1160"/>
              </w:tabs>
              <w:spacing w:before="81"/>
              <w:ind w:left="523" w:firstLine="0"/>
              <w:rPr>
                <w:rFonts w:hint="default" w:ascii="Times New Roman" w:hAnsi="Times New Roman" w:eastAsia="宋体" w:cs="Times New Roman"/>
                <w:color w:val="auto"/>
                <w:spacing w:val="-3"/>
                <w:sz w:val="22"/>
                <w:lang w:eastAsia="zh-CN"/>
              </w:rPr>
            </w:pPr>
            <w:r>
              <w:rPr>
                <w:rFonts w:hint="eastAsia" w:ascii="Times New Roman" w:hAnsi="Times New Roman" w:eastAsia="宋体" w:cs="Times New Roman"/>
                <w:color w:val="auto"/>
                <w:spacing w:val="-3"/>
                <w:sz w:val="22"/>
                <w:lang w:eastAsia="zh-CN"/>
              </w:rPr>
              <w:t>（</w:t>
            </w:r>
            <w:r>
              <w:rPr>
                <w:rFonts w:hint="eastAsia" w:ascii="Times New Roman" w:hAnsi="Times New Roman" w:eastAsia="宋体" w:cs="Times New Roman"/>
                <w:color w:val="auto"/>
                <w:spacing w:val="-3"/>
                <w:sz w:val="22"/>
                <w:lang w:val="en-US" w:eastAsia="zh-CN"/>
              </w:rPr>
              <w:t>5</w:t>
            </w:r>
            <w:r>
              <w:rPr>
                <w:rFonts w:hint="eastAsia" w:ascii="Times New Roman" w:hAnsi="Times New Roman" w:eastAsia="宋体" w:cs="Times New Roman"/>
                <w:color w:val="auto"/>
                <w:spacing w:val="-3"/>
                <w:sz w:val="22"/>
                <w:lang w:eastAsia="zh-CN"/>
              </w:rPr>
              <w:t>）</w:t>
            </w:r>
            <w:r>
              <w:rPr>
                <w:rFonts w:hint="default" w:ascii="Times New Roman" w:hAnsi="Times New Roman" w:eastAsia="宋体" w:cs="Times New Roman"/>
                <w:color w:val="auto"/>
                <w:spacing w:val="-3"/>
                <w:sz w:val="22"/>
                <w:lang w:eastAsia="zh-CN"/>
              </w:rPr>
              <w:t>投标人法定代表人亲自签署投标文件的，提供了法定代表人身份证明，且法定代表人在法定代表人身份证明上签名，未使用印章、签名章或其他电子制版签名代替。</w:t>
            </w:r>
          </w:p>
          <w:p w14:paraId="6F9B61AC">
            <w:pPr>
              <w:pStyle w:val="8"/>
              <w:numPr>
                <w:ilvl w:val="-1"/>
                <w:numId w:val="0"/>
              </w:numPr>
              <w:tabs>
                <w:tab w:val="left" w:pos="1160"/>
              </w:tabs>
              <w:spacing w:before="79"/>
              <w:ind w:left="523" w:firstLine="0"/>
              <w:rPr>
                <w:rFonts w:hint="default" w:ascii="Times New Roman" w:hAnsi="Times New Roman" w:eastAsia="宋体" w:cs="Times New Roman"/>
                <w:color w:val="auto"/>
                <w:sz w:val="22"/>
              </w:rPr>
            </w:pPr>
            <w:r>
              <w:rPr>
                <w:rFonts w:hint="eastAsia" w:ascii="Times New Roman" w:hAnsi="Times New Roman" w:cs="Times New Roman"/>
                <w:color w:val="auto"/>
                <w:spacing w:val="-3"/>
                <w:sz w:val="22"/>
                <w:lang w:eastAsia="zh-CN"/>
              </w:rPr>
              <w:t>（</w:t>
            </w:r>
            <w:r>
              <w:rPr>
                <w:rFonts w:hint="eastAsia" w:ascii="Times New Roman" w:hAnsi="Times New Roman" w:cs="Times New Roman"/>
                <w:color w:val="auto"/>
                <w:spacing w:val="-3"/>
                <w:sz w:val="22"/>
                <w:lang w:val="en-US" w:eastAsia="zh-CN"/>
              </w:rPr>
              <w:t>6</w:t>
            </w:r>
            <w:r>
              <w:rPr>
                <w:rFonts w:hint="eastAsia" w:ascii="Times New Roman" w:hAnsi="Times New Roman" w:cs="Times New Roman"/>
                <w:color w:val="auto"/>
                <w:spacing w:val="-3"/>
                <w:sz w:val="22"/>
                <w:lang w:eastAsia="zh-CN"/>
              </w:rPr>
              <w:t>）</w:t>
            </w:r>
            <w:r>
              <w:rPr>
                <w:rFonts w:hint="default" w:ascii="Times New Roman" w:hAnsi="Times New Roman" w:eastAsia="宋体" w:cs="Times New Roman"/>
                <w:color w:val="auto"/>
                <w:spacing w:val="-3"/>
                <w:sz w:val="22"/>
              </w:rPr>
              <w:t>权利义务符合招标文件规定：</w:t>
            </w:r>
          </w:p>
          <w:p w14:paraId="3EF25A0E">
            <w:pPr>
              <w:pStyle w:val="8"/>
              <w:numPr>
                <w:ilvl w:val="0"/>
                <w:numId w:val="3"/>
              </w:numPr>
              <w:tabs>
                <w:tab w:val="left" w:pos="673"/>
              </w:tabs>
              <w:spacing w:before="81" w:line="312" w:lineRule="auto"/>
              <w:ind w:right="97" w:firstLine="420"/>
              <w:rPr>
                <w:rFonts w:hint="default" w:ascii="Times New Roman" w:hAnsi="Times New Roman" w:eastAsia="宋体" w:cs="Times New Roman"/>
                <w:color w:val="auto"/>
                <w:sz w:val="22"/>
              </w:rPr>
            </w:pPr>
            <w:r>
              <w:rPr>
                <w:rFonts w:hint="default" w:ascii="Times New Roman" w:hAnsi="Times New Roman" w:eastAsia="宋体" w:cs="Times New Roman"/>
                <w:color w:val="auto"/>
                <w:spacing w:val="-5"/>
                <w:sz w:val="22"/>
              </w:rPr>
              <w:t>投标人应接受招标文件规定的风险划分原则，未提出新的风险划</w:t>
            </w:r>
            <w:r>
              <w:rPr>
                <w:rFonts w:hint="default" w:ascii="Times New Roman" w:hAnsi="Times New Roman" w:eastAsia="宋体" w:cs="Times New Roman"/>
                <w:color w:val="auto"/>
                <w:spacing w:val="-4"/>
                <w:sz w:val="22"/>
              </w:rPr>
              <w:t>分办法；</w:t>
            </w:r>
          </w:p>
          <w:p w14:paraId="4ED851BA">
            <w:pPr>
              <w:pStyle w:val="8"/>
              <w:numPr>
                <w:ilvl w:val="0"/>
                <w:numId w:val="3"/>
              </w:numPr>
              <w:tabs>
                <w:tab w:val="left" w:pos="685"/>
              </w:tabs>
              <w:spacing w:before="2" w:line="312" w:lineRule="auto"/>
              <w:ind w:left="524" w:right="882" w:firstLine="0"/>
              <w:rPr>
                <w:rFonts w:hint="default" w:ascii="Times New Roman" w:hAnsi="Times New Roman" w:eastAsia="宋体" w:cs="Times New Roman"/>
                <w:color w:val="auto"/>
                <w:sz w:val="22"/>
              </w:rPr>
            </w:pPr>
            <w:r>
              <w:rPr>
                <w:rFonts w:hint="default" w:ascii="Times New Roman" w:hAnsi="Times New Roman" w:eastAsia="宋体" w:cs="Times New Roman"/>
                <w:color w:val="auto"/>
                <w:spacing w:val="-3"/>
                <w:sz w:val="22"/>
              </w:rPr>
              <w:t>投标人未增加委托人的责任范围，或减少投标人义务；</w:t>
            </w:r>
          </w:p>
          <w:p w14:paraId="624F8701">
            <w:pPr>
              <w:pStyle w:val="8"/>
              <w:tabs>
                <w:tab w:val="left" w:pos="685"/>
              </w:tabs>
              <w:spacing w:before="2" w:line="312" w:lineRule="auto"/>
              <w:ind w:left="524" w:right="882"/>
              <w:rPr>
                <w:rFonts w:hint="default" w:ascii="Times New Roman" w:hAnsi="Times New Roman" w:eastAsia="宋体" w:cs="Times New Roman"/>
                <w:color w:val="auto"/>
                <w:sz w:val="22"/>
              </w:rPr>
            </w:pPr>
            <w:r>
              <w:rPr>
                <w:rFonts w:hint="default" w:ascii="Times New Roman" w:hAnsi="Times New Roman" w:eastAsia="宋体" w:cs="Times New Roman"/>
                <w:color w:val="auto"/>
                <w:spacing w:val="-3"/>
                <w:sz w:val="22"/>
              </w:rPr>
              <w:t>c.投标人未提出不同的支付办法；</w:t>
            </w:r>
          </w:p>
          <w:p w14:paraId="37C220AE">
            <w:pPr>
              <w:pStyle w:val="8"/>
              <w:spacing w:before="1" w:line="309" w:lineRule="auto"/>
              <w:ind w:left="524" w:right="1480"/>
              <w:rPr>
                <w:rFonts w:hint="default" w:ascii="Times New Roman" w:hAnsi="Times New Roman" w:eastAsia="宋体" w:cs="Times New Roman"/>
                <w:color w:val="auto"/>
                <w:spacing w:val="-4"/>
                <w:sz w:val="22"/>
              </w:rPr>
            </w:pPr>
            <w:r>
              <w:rPr>
                <w:rFonts w:hint="default" w:ascii="Times New Roman" w:hAnsi="Times New Roman" w:eastAsia="宋体" w:cs="Times New Roman"/>
                <w:color w:val="auto"/>
                <w:sz w:val="22"/>
              </w:rPr>
              <w:t>d.</w:t>
            </w:r>
            <w:r>
              <w:rPr>
                <w:rFonts w:hint="default" w:ascii="Times New Roman" w:hAnsi="Times New Roman" w:eastAsia="宋体" w:cs="Times New Roman"/>
                <w:color w:val="auto"/>
                <w:spacing w:val="-4"/>
                <w:sz w:val="22"/>
              </w:rPr>
              <w:t>投标人对合同纠纷、事故处理办法未提出异议；</w:t>
            </w:r>
          </w:p>
          <w:p w14:paraId="53F9561E">
            <w:pPr>
              <w:pStyle w:val="8"/>
              <w:spacing w:before="1" w:line="309" w:lineRule="auto"/>
              <w:ind w:left="524" w:right="148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e.</w:t>
            </w:r>
            <w:r>
              <w:rPr>
                <w:rFonts w:hint="default" w:ascii="Times New Roman" w:hAnsi="Times New Roman" w:eastAsia="宋体" w:cs="Times New Roman"/>
                <w:color w:val="auto"/>
                <w:spacing w:val="-3"/>
                <w:sz w:val="22"/>
              </w:rPr>
              <w:t>投标人在投标活动中无欺诈行为；</w:t>
            </w:r>
          </w:p>
          <w:p w14:paraId="01B84BDA">
            <w:pPr>
              <w:pStyle w:val="8"/>
              <w:spacing w:before="4"/>
              <w:ind w:left="524"/>
              <w:rPr>
                <w:rFonts w:hint="default" w:ascii="Times New Roman" w:hAnsi="Times New Roman" w:eastAsia="宋体" w:cs="Times New Roman"/>
                <w:color w:val="auto"/>
                <w:sz w:val="22"/>
              </w:rPr>
            </w:pPr>
            <w:r>
              <w:rPr>
                <w:rFonts w:hint="default" w:ascii="Times New Roman" w:hAnsi="Times New Roman" w:eastAsia="宋体" w:cs="Times New Roman"/>
                <w:color w:val="auto"/>
                <w:spacing w:val="-1"/>
                <w:sz w:val="22"/>
              </w:rPr>
              <w:t>f.</w:t>
            </w:r>
            <w:r>
              <w:rPr>
                <w:rFonts w:hint="default" w:ascii="Times New Roman" w:hAnsi="Times New Roman" w:eastAsia="宋体" w:cs="Times New Roman"/>
                <w:color w:val="auto"/>
                <w:spacing w:val="-3"/>
                <w:sz w:val="22"/>
              </w:rPr>
              <w:t>投标人未对合同条款有重要保留。</w:t>
            </w:r>
          </w:p>
          <w:p w14:paraId="10D97A19">
            <w:pPr>
              <w:pStyle w:val="8"/>
              <w:numPr>
                <w:ilvl w:val="-1"/>
                <w:numId w:val="0"/>
              </w:numPr>
              <w:tabs>
                <w:tab w:val="left" w:pos="1160"/>
              </w:tabs>
              <w:spacing w:before="81"/>
              <w:ind w:left="523" w:firstLine="0"/>
              <w:rPr>
                <w:rFonts w:hint="default" w:ascii="Times New Roman" w:hAnsi="Times New Roman" w:eastAsia="宋体" w:cs="Times New Roman"/>
                <w:color w:val="auto"/>
                <w:spacing w:val="-3"/>
                <w:sz w:val="22"/>
                <w:lang w:eastAsia="zh-CN"/>
              </w:rPr>
            </w:pPr>
            <w:r>
              <w:rPr>
                <w:rFonts w:hint="eastAsia" w:ascii="Times New Roman" w:hAnsi="Times New Roman" w:eastAsia="宋体" w:cs="Times New Roman"/>
                <w:color w:val="auto"/>
                <w:spacing w:val="-3"/>
                <w:sz w:val="22"/>
                <w:lang w:eastAsia="zh-CN"/>
              </w:rPr>
              <w:t>（</w:t>
            </w:r>
            <w:r>
              <w:rPr>
                <w:rFonts w:hint="eastAsia" w:ascii="Times New Roman" w:hAnsi="Times New Roman" w:eastAsia="宋体" w:cs="Times New Roman"/>
                <w:color w:val="auto"/>
                <w:spacing w:val="-3"/>
                <w:sz w:val="22"/>
                <w:lang w:val="en-US" w:eastAsia="zh-CN"/>
              </w:rPr>
              <w:t>7</w:t>
            </w:r>
            <w:r>
              <w:rPr>
                <w:rFonts w:hint="eastAsia" w:ascii="Times New Roman" w:hAnsi="Times New Roman" w:eastAsia="宋体" w:cs="Times New Roman"/>
                <w:color w:val="auto"/>
                <w:spacing w:val="-3"/>
                <w:sz w:val="22"/>
                <w:lang w:eastAsia="zh-CN"/>
              </w:rPr>
              <w:t>）</w:t>
            </w:r>
            <w:r>
              <w:rPr>
                <w:rFonts w:hint="default" w:ascii="Times New Roman" w:hAnsi="Times New Roman" w:eastAsia="宋体" w:cs="Times New Roman"/>
                <w:color w:val="auto"/>
                <w:spacing w:val="-3"/>
                <w:sz w:val="22"/>
                <w:lang w:eastAsia="zh-CN"/>
              </w:rPr>
              <w:t>同一投标人未提交两个以上不同的投标文件，但招标文件要求提交备选投标的除外。</w:t>
            </w:r>
          </w:p>
          <w:p w14:paraId="522267B2">
            <w:pPr>
              <w:pStyle w:val="8"/>
              <w:numPr>
                <w:ilvl w:val="-1"/>
                <w:numId w:val="0"/>
              </w:numPr>
              <w:tabs>
                <w:tab w:val="left" w:pos="1054"/>
              </w:tabs>
              <w:spacing w:before="1"/>
              <w:ind w:left="523" w:firstLine="0"/>
              <w:rPr>
                <w:rFonts w:hint="default" w:ascii="Times New Roman" w:hAnsi="Times New Roman" w:eastAsia="宋体" w:cs="Times New Roman"/>
                <w:color w:val="auto"/>
                <w:sz w:val="22"/>
              </w:rPr>
            </w:pPr>
            <w:r>
              <w:rPr>
                <w:rFonts w:hint="eastAsia" w:ascii="Times New Roman" w:hAnsi="Times New Roman" w:cs="Times New Roman"/>
                <w:color w:val="auto"/>
                <w:spacing w:val="-3"/>
                <w:sz w:val="22"/>
                <w:lang w:eastAsia="zh-CN"/>
              </w:rPr>
              <w:t>（</w:t>
            </w:r>
            <w:r>
              <w:rPr>
                <w:rFonts w:hint="eastAsia" w:ascii="Times New Roman" w:hAnsi="Times New Roman" w:cs="Times New Roman"/>
                <w:color w:val="auto"/>
                <w:spacing w:val="-3"/>
                <w:sz w:val="22"/>
                <w:lang w:val="en-US" w:eastAsia="zh-CN"/>
              </w:rPr>
              <w:t>8</w:t>
            </w:r>
            <w:r>
              <w:rPr>
                <w:rFonts w:hint="eastAsia" w:ascii="Times New Roman" w:hAnsi="Times New Roman" w:cs="Times New Roman"/>
                <w:color w:val="auto"/>
                <w:spacing w:val="-3"/>
                <w:sz w:val="22"/>
                <w:lang w:eastAsia="zh-CN"/>
              </w:rPr>
              <w:t>）</w:t>
            </w:r>
            <w:r>
              <w:rPr>
                <w:rFonts w:hint="default" w:ascii="Times New Roman" w:hAnsi="Times New Roman" w:eastAsia="宋体" w:cs="Times New Roman"/>
                <w:color w:val="auto"/>
                <w:spacing w:val="-3"/>
                <w:sz w:val="22"/>
              </w:rPr>
              <w:t>投标文件中未出现有关投标报价的内容。</w:t>
            </w:r>
          </w:p>
          <w:p w14:paraId="70D9C119">
            <w:pPr>
              <w:pStyle w:val="8"/>
              <w:spacing w:before="25"/>
              <w:ind w:left="0" w:firstLine="660" w:firstLineChars="30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(9)标人的投标内容符合本项目招标文件所明确的招标范围的相关内容。</w:t>
            </w:r>
          </w:p>
          <w:p w14:paraId="17155C2B">
            <w:pPr>
              <w:pStyle w:val="8"/>
              <w:spacing w:before="25"/>
              <w:ind w:left="0" w:firstLine="660" w:firstLineChars="30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(10)投标人的投标有效期符合招标文件的规定。</w:t>
            </w:r>
          </w:p>
          <w:p w14:paraId="711A77B9">
            <w:pPr>
              <w:pStyle w:val="8"/>
              <w:spacing w:before="25"/>
              <w:ind w:left="0" w:firstLine="660" w:firstLineChars="30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(11)投标文件载明的招标项目完成期限未超过招标文件规定的时限</w:t>
            </w:r>
          </w:p>
          <w:p w14:paraId="48EA9510">
            <w:pPr>
              <w:pStyle w:val="8"/>
              <w:spacing w:before="25"/>
              <w:ind w:left="0" w:firstLine="660" w:firstLineChars="30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(12)投标文件对招标文件的实质性要求和条件作出响应。</w:t>
            </w:r>
          </w:p>
          <w:p w14:paraId="2F3E494B">
            <w:pPr>
              <w:pStyle w:val="8"/>
              <w:spacing w:before="25"/>
              <w:ind w:left="0" w:firstLine="660" w:firstLineChars="30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(13)投标文件未附有招标人不能接受的条件。</w:t>
            </w:r>
          </w:p>
          <w:p w14:paraId="43E75492">
            <w:pPr>
              <w:pStyle w:val="8"/>
              <w:spacing w:before="25"/>
              <w:ind w:left="0" w:firstLine="660" w:firstLineChars="300"/>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(14)不存在违反法律、法规的其他情形。</w:t>
            </w:r>
          </w:p>
        </w:tc>
      </w:tr>
    </w:tbl>
    <w:p w14:paraId="7697CBBF">
      <w:pPr>
        <w:rPr>
          <w:rFonts w:hint="default" w:ascii="Times New Roman" w:hAnsi="Times New Roman" w:eastAsia="宋体" w:cs="Times New Roman"/>
          <w:color w:val="auto"/>
          <w:sz w:val="22"/>
        </w:rPr>
        <w:sectPr>
          <w:pgSz w:w="11910" w:h="16850"/>
          <w:pgMar w:top="1460" w:right="1120" w:bottom="1280" w:left="1220" w:header="882" w:footer="1093" w:gutter="0"/>
          <w:pgBorders>
            <w:top w:val="none" w:sz="0" w:space="0"/>
            <w:left w:val="none" w:sz="0" w:space="0"/>
            <w:bottom w:val="none" w:sz="0" w:space="0"/>
            <w:right w:val="none" w:sz="0" w:space="0"/>
          </w:pgBorders>
          <w:cols w:space="720" w:num="1"/>
        </w:sectPr>
      </w:pPr>
    </w:p>
    <w:p w14:paraId="65D8B58C">
      <w:pPr>
        <w:pStyle w:val="2"/>
        <w:spacing w:before="12"/>
        <w:rPr>
          <w:rFonts w:hint="default" w:ascii="Times New Roman" w:hAnsi="Times New Roman" w:eastAsia="宋体" w:cs="Times New Roman"/>
          <w:color w:val="auto"/>
          <w:sz w:val="22"/>
          <w:szCs w:val="22"/>
        </w:rPr>
      </w:pPr>
    </w:p>
    <w:p w14:paraId="07546250">
      <w:pPr>
        <w:spacing w:before="72"/>
        <w:ind w:right="464"/>
        <w:jc w:val="righ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续上表</w:t>
      </w:r>
    </w:p>
    <w:tbl>
      <w:tblPr>
        <w:tblStyle w:val="5"/>
        <w:tblW w:w="8895" w:type="dxa"/>
        <w:tblInd w:w="32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14:paraId="173FE1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tl2br w:val="nil"/>
              <w:tr2bl w:val="nil"/>
            </w:tcBorders>
            <w:vAlign w:val="top"/>
          </w:tcPr>
          <w:p w14:paraId="37D85262">
            <w:pPr>
              <w:pStyle w:val="8"/>
              <w:spacing w:before="109" w:line="250" w:lineRule="exact"/>
              <w:ind w:left="796" w:right="788"/>
              <w:jc w:val="center"/>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条款号</w:t>
            </w:r>
          </w:p>
        </w:tc>
        <w:tc>
          <w:tcPr>
            <w:tcW w:w="6626" w:type="dxa"/>
            <w:tcBorders>
              <w:tl2br w:val="nil"/>
              <w:tr2bl w:val="nil"/>
            </w:tcBorders>
            <w:vAlign w:val="top"/>
          </w:tcPr>
          <w:p w14:paraId="70AA27FC">
            <w:pPr>
              <w:pStyle w:val="8"/>
              <w:spacing w:before="109" w:line="250" w:lineRule="exact"/>
              <w:ind w:left="2335" w:right="2340"/>
              <w:jc w:val="center"/>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评审因素与评审标准</w:t>
            </w:r>
          </w:p>
        </w:tc>
      </w:tr>
      <w:tr w14:paraId="5AEB5B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952" w:hRule="atLeast"/>
        </w:trPr>
        <w:tc>
          <w:tcPr>
            <w:tcW w:w="989" w:type="dxa"/>
            <w:tcBorders>
              <w:tl2br w:val="nil"/>
              <w:tr2bl w:val="nil"/>
            </w:tcBorders>
            <w:vAlign w:val="top"/>
          </w:tcPr>
          <w:p w14:paraId="50578FF2">
            <w:pPr>
              <w:pStyle w:val="8"/>
              <w:rPr>
                <w:rFonts w:hint="default" w:ascii="Times New Roman" w:hAnsi="Times New Roman" w:eastAsia="宋体" w:cs="Times New Roman"/>
                <w:color w:val="auto"/>
                <w:sz w:val="22"/>
              </w:rPr>
            </w:pPr>
          </w:p>
        </w:tc>
        <w:tc>
          <w:tcPr>
            <w:tcW w:w="1280" w:type="dxa"/>
            <w:tcBorders>
              <w:tl2br w:val="nil"/>
              <w:tr2bl w:val="nil"/>
            </w:tcBorders>
            <w:vAlign w:val="top"/>
          </w:tcPr>
          <w:p w14:paraId="15FE1437">
            <w:pPr>
              <w:pStyle w:val="8"/>
              <w:rPr>
                <w:rFonts w:hint="default" w:ascii="Times New Roman" w:hAnsi="Times New Roman" w:eastAsia="宋体" w:cs="Times New Roman"/>
                <w:color w:val="auto"/>
                <w:sz w:val="22"/>
              </w:rPr>
            </w:pPr>
          </w:p>
        </w:tc>
        <w:tc>
          <w:tcPr>
            <w:tcW w:w="6626" w:type="dxa"/>
            <w:tcBorders>
              <w:tl2br w:val="nil"/>
              <w:tr2bl w:val="nil"/>
            </w:tcBorders>
            <w:vAlign w:val="top"/>
          </w:tcPr>
          <w:p w14:paraId="59A683D8">
            <w:pPr>
              <w:pStyle w:val="8"/>
              <w:numPr>
                <w:ilvl w:val="0"/>
                <w:numId w:val="0"/>
              </w:numPr>
              <w:tabs>
                <w:tab w:val="left" w:pos="1054"/>
              </w:tabs>
              <w:spacing w:before="82" w:line="309" w:lineRule="auto"/>
              <w:ind w:left="0" w:right="95"/>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第二个信封（报价文件）评审标准：</w:t>
            </w:r>
          </w:p>
          <w:p w14:paraId="0220400B">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eastAsia="宋体" w:cs="Times New Roman"/>
                <w:color w:val="auto"/>
                <w:spacing w:val="-6"/>
                <w:sz w:val="22"/>
                <w:lang w:val="en-US" w:eastAsia="zh-CN"/>
              </w:rPr>
              <w:t>(1)</w:t>
            </w:r>
            <w:r>
              <w:rPr>
                <w:rFonts w:hint="default" w:ascii="Times New Roman" w:hAnsi="Times New Roman" w:eastAsia="宋体" w:cs="Times New Roman"/>
                <w:color w:val="auto"/>
                <w:spacing w:val="-6"/>
                <w:sz w:val="22"/>
              </w:rPr>
              <w:t>投标文件按照招标文件规定的格式、内容填写，字迹清晰可辨，内容齐全完整：</w:t>
            </w:r>
          </w:p>
          <w:p w14:paraId="318A89A5">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cs="Times New Roman"/>
                <w:color w:val="auto"/>
                <w:spacing w:val="-6"/>
                <w:sz w:val="22"/>
                <w:lang w:val="en-US" w:eastAsia="zh-CN"/>
              </w:rPr>
              <w:t>A.</w:t>
            </w:r>
            <w:r>
              <w:rPr>
                <w:rFonts w:hint="default" w:ascii="Times New Roman" w:hAnsi="Times New Roman" w:eastAsia="宋体" w:cs="Times New Roman"/>
                <w:color w:val="auto"/>
                <w:spacing w:val="-6"/>
                <w:sz w:val="22"/>
              </w:rPr>
              <w:t>投标函按招标文件规定填报了项目名称、标段号、补遗书编号（如有）、投标价（包括大写金额和小写金额）；</w:t>
            </w:r>
          </w:p>
          <w:p w14:paraId="4FE87ABA">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cs="Times New Roman"/>
                <w:color w:val="auto"/>
                <w:spacing w:val="-6"/>
                <w:sz w:val="22"/>
                <w:lang w:val="en-US" w:eastAsia="zh-CN"/>
              </w:rPr>
              <w:t>B.</w:t>
            </w:r>
            <w:r>
              <w:rPr>
                <w:rFonts w:hint="default" w:ascii="Times New Roman" w:hAnsi="Times New Roman" w:eastAsia="宋体" w:cs="Times New Roman"/>
                <w:color w:val="auto"/>
                <w:spacing w:val="-6"/>
                <w:sz w:val="22"/>
              </w:rPr>
              <w:t>已标价报价清单说明文字与招标文件规定一致，未进行实质性修改和删减；</w:t>
            </w:r>
          </w:p>
          <w:p w14:paraId="4CC7D860">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cs="Times New Roman"/>
                <w:color w:val="auto"/>
                <w:spacing w:val="-6"/>
                <w:sz w:val="22"/>
                <w:lang w:val="en-US" w:eastAsia="zh-CN"/>
              </w:rPr>
              <w:t>C.</w:t>
            </w:r>
            <w:r>
              <w:rPr>
                <w:rFonts w:hint="default" w:ascii="Times New Roman" w:hAnsi="Times New Roman" w:eastAsia="宋体" w:cs="Times New Roman"/>
                <w:color w:val="auto"/>
                <w:spacing w:val="-6"/>
                <w:sz w:val="22"/>
              </w:rPr>
              <w:t>投标文件组成齐全完整，内容均按规定填写。</w:t>
            </w:r>
          </w:p>
          <w:p w14:paraId="6D562485">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eastAsia="宋体" w:cs="Times New Roman"/>
                <w:color w:val="auto"/>
                <w:spacing w:val="-6"/>
                <w:sz w:val="22"/>
                <w:lang w:val="en-US" w:eastAsia="zh-CN"/>
              </w:rPr>
              <w:t>(2)</w:t>
            </w:r>
            <w:r>
              <w:rPr>
                <w:rFonts w:hint="default" w:ascii="Times New Roman" w:hAnsi="Times New Roman" w:eastAsia="宋体" w:cs="Times New Roman"/>
                <w:color w:val="auto"/>
                <w:spacing w:val="-6"/>
                <w:sz w:val="22"/>
              </w:rPr>
              <w:t>投标文件上法定代表人或其委托代理人的签字、投标人的单位章盖章齐全，符合招标文件规定。</w:t>
            </w:r>
          </w:p>
          <w:p w14:paraId="2D841315">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eastAsia="宋体" w:cs="Times New Roman"/>
                <w:color w:val="auto"/>
                <w:spacing w:val="-6"/>
                <w:sz w:val="22"/>
                <w:lang w:val="en-US" w:eastAsia="zh-CN"/>
              </w:rPr>
              <w:t>(3)</w:t>
            </w:r>
            <w:r>
              <w:rPr>
                <w:rFonts w:hint="default" w:ascii="Times New Roman" w:hAnsi="Times New Roman" w:eastAsia="宋体" w:cs="Times New Roman"/>
                <w:color w:val="auto"/>
                <w:spacing w:val="-6"/>
                <w:sz w:val="22"/>
              </w:rPr>
              <w:t>投标报价未超过招标文件设定的最高投标限价（如有）。</w:t>
            </w:r>
          </w:p>
          <w:p w14:paraId="3A49D50A">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eastAsia="宋体" w:cs="Times New Roman"/>
                <w:color w:val="auto"/>
                <w:spacing w:val="-6"/>
                <w:sz w:val="22"/>
                <w:lang w:val="en-US" w:eastAsia="zh-CN"/>
              </w:rPr>
              <w:t>(4)</w:t>
            </w:r>
            <w:r>
              <w:rPr>
                <w:rFonts w:hint="default" w:ascii="Times New Roman" w:hAnsi="Times New Roman" w:eastAsia="宋体" w:cs="Times New Roman"/>
                <w:color w:val="auto"/>
                <w:spacing w:val="-6"/>
                <w:sz w:val="22"/>
              </w:rPr>
              <w:t>投标报价的大写金额能够确定具体数值。</w:t>
            </w:r>
          </w:p>
          <w:p w14:paraId="776353DA">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eastAsia="宋体" w:cs="Times New Roman"/>
                <w:color w:val="auto"/>
                <w:spacing w:val="-6"/>
                <w:sz w:val="22"/>
                <w:lang w:val="en-US" w:eastAsia="zh-CN"/>
              </w:rPr>
              <w:t>(5)</w:t>
            </w:r>
            <w:r>
              <w:rPr>
                <w:rFonts w:hint="default" w:ascii="Times New Roman" w:hAnsi="Times New Roman" w:eastAsia="宋体" w:cs="Times New Roman"/>
                <w:color w:val="auto"/>
                <w:spacing w:val="-6"/>
                <w:sz w:val="22"/>
              </w:rPr>
              <w:t>同一投标人未提交两个以上不同的投标报价，但招标文件要求提交   投标的除外。</w:t>
            </w:r>
          </w:p>
          <w:p w14:paraId="061F9959">
            <w:pPr>
              <w:pStyle w:val="8"/>
              <w:numPr>
                <w:ilvl w:val="0"/>
                <w:numId w:val="0"/>
              </w:numPr>
              <w:tabs>
                <w:tab w:val="left" w:pos="1054"/>
              </w:tabs>
              <w:spacing w:before="82" w:line="309" w:lineRule="auto"/>
              <w:ind w:left="0" w:right="95" w:firstLine="0"/>
              <w:rPr>
                <w:rFonts w:hint="default" w:ascii="Times New Roman" w:hAnsi="Times New Roman" w:eastAsia="宋体" w:cs="Times New Roman"/>
                <w:color w:val="auto"/>
                <w:spacing w:val="-6"/>
                <w:sz w:val="22"/>
              </w:rPr>
            </w:pPr>
            <w:r>
              <w:rPr>
                <w:rFonts w:hint="eastAsia" w:ascii="Times New Roman" w:hAnsi="Times New Roman" w:eastAsia="宋体" w:cs="Times New Roman"/>
                <w:color w:val="auto"/>
                <w:spacing w:val="-6"/>
                <w:sz w:val="22"/>
                <w:lang w:val="en-US" w:eastAsia="zh-CN"/>
              </w:rPr>
              <w:t>(6)</w:t>
            </w:r>
            <w:r>
              <w:rPr>
                <w:rFonts w:hint="default" w:ascii="Times New Roman" w:hAnsi="Times New Roman" w:eastAsia="宋体" w:cs="Times New Roman"/>
                <w:color w:val="auto"/>
                <w:spacing w:val="-6"/>
                <w:sz w:val="22"/>
              </w:rPr>
              <w:t>不存在违反法律、法规的其他情形。</w:t>
            </w:r>
          </w:p>
        </w:tc>
      </w:tr>
      <w:tr w14:paraId="66C353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251" w:hRule="atLeast"/>
        </w:trPr>
        <w:tc>
          <w:tcPr>
            <w:tcW w:w="989" w:type="dxa"/>
            <w:tcBorders>
              <w:tl2br w:val="nil"/>
              <w:tr2bl w:val="nil"/>
            </w:tcBorders>
            <w:vAlign w:val="top"/>
          </w:tcPr>
          <w:p w14:paraId="5AF9A4F4">
            <w:pPr>
              <w:pStyle w:val="8"/>
              <w:rPr>
                <w:rFonts w:hint="default" w:ascii="Times New Roman" w:hAnsi="Times New Roman" w:eastAsia="宋体" w:cs="Times New Roman"/>
                <w:color w:val="auto"/>
              </w:rPr>
            </w:pPr>
          </w:p>
          <w:p w14:paraId="4A476F77">
            <w:pPr>
              <w:pStyle w:val="8"/>
              <w:rPr>
                <w:rFonts w:hint="default" w:ascii="Times New Roman" w:hAnsi="Times New Roman" w:eastAsia="宋体" w:cs="Times New Roman"/>
                <w:color w:val="auto"/>
              </w:rPr>
            </w:pPr>
          </w:p>
          <w:p w14:paraId="7C73A5B7">
            <w:pPr>
              <w:pStyle w:val="8"/>
              <w:rPr>
                <w:rFonts w:hint="default" w:ascii="Times New Roman" w:hAnsi="Times New Roman" w:eastAsia="宋体" w:cs="Times New Roman"/>
                <w:color w:val="auto"/>
              </w:rPr>
            </w:pPr>
          </w:p>
          <w:p w14:paraId="44AF7051">
            <w:pPr>
              <w:pStyle w:val="8"/>
              <w:rPr>
                <w:rFonts w:hint="default" w:ascii="Times New Roman" w:hAnsi="Times New Roman" w:eastAsia="宋体" w:cs="Times New Roman"/>
                <w:color w:val="auto"/>
              </w:rPr>
            </w:pPr>
          </w:p>
          <w:p w14:paraId="2A685F26">
            <w:pPr>
              <w:pStyle w:val="8"/>
              <w:rPr>
                <w:rFonts w:hint="default" w:ascii="Times New Roman" w:hAnsi="Times New Roman" w:eastAsia="宋体" w:cs="Times New Roman"/>
                <w:color w:val="auto"/>
              </w:rPr>
            </w:pPr>
          </w:p>
          <w:p w14:paraId="2723A185">
            <w:pPr>
              <w:pStyle w:val="8"/>
              <w:rPr>
                <w:rFonts w:hint="default" w:ascii="Times New Roman" w:hAnsi="Times New Roman" w:eastAsia="宋体" w:cs="Times New Roman"/>
                <w:color w:val="auto"/>
              </w:rPr>
            </w:pPr>
          </w:p>
          <w:p w14:paraId="5A98BCE9">
            <w:pPr>
              <w:pStyle w:val="8"/>
              <w:rPr>
                <w:rFonts w:hint="default" w:ascii="Times New Roman" w:hAnsi="Times New Roman" w:eastAsia="宋体" w:cs="Times New Roman"/>
                <w:color w:val="auto"/>
              </w:rPr>
            </w:pPr>
          </w:p>
          <w:p w14:paraId="0AF80921">
            <w:pPr>
              <w:pStyle w:val="8"/>
              <w:rPr>
                <w:rFonts w:hint="default" w:ascii="Times New Roman" w:hAnsi="Times New Roman" w:eastAsia="宋体" w:cs="Times New Roman"/>
                <w:color w:val="auto"/>
              </w:rPr>
            </w:pPr>
          </w:p>
          <w:p w14:paraId="6106C85C">
            <w:pPr>
              <w:pStyle w:val="8"/>
              <w:spacing w:before="2"/>
              <w:rPr>
                <w:rFonts w:hint="default" w:ascii="Times New Roman" w:hAnsi="Times New Roman" w:eastAsia="宋体" w:cs="Times New Roman"/>
                <w:color w:val="auto"/>
                <w:sz w:val="22"/>
              </w:rPr>
            </w:pPr>
          </w:p>
          <w:p w14:paraId="40F6B211">
            <w:pPr>
              <w:pStyle w:val="8"/>
              <w:ind w:left="282"/>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2.1.2</w:t>
            </w:r>
          </w:p>
        </w:tc>
        <w:tc>
          <w:tcPr>
            <w:tcW w:w="1280" w:type="dxa"/>
            <w:tcBorders>
              <w:tl2br w:val="nil"/>
              <w:tr2bl w:val="nil"/>
            </w:tcBorders>
            <w:vAlign w:val="top"/>
          </w:tcPr>
          <w:p w14:paraId="2077BC32">
            <w:pPr>
              <w:pStyle w:val="8"/>
              <w:spacing w:before="1" w:line="312" w:lineRule="auto"/>
              <w:ind w:left="477" w:right="99" w:hanging="365"/>
              <w:rPr>
                <w:rFonts w:hint="default" w:ascii="Times New Roman" w:hAnsi="Times New Roman" w:eastAsia="宋体" w:cs="Times New Roman"/>
                <w:color w:val="auto"/>
              </w:rPr>
            </w:pPr>
          </w:p>
          <w:p w14:paraId="5D471387">
            <w:pPr>
              <w:pStyle w:val="8"/>
              <w:spacing w:before="1" w:line="312" w:lineRule="auto"/>
              <w:ind w:left="477" w:right="99" w:hanging="365"/>
              <w:rPr>
                <w:rFonts w:hint="default" w:ascii="Times New Roman" w:hAnsi="Times New Roman" w:eastAsia="宋体" w:cs="Times New Roman"/>
                <w:color w:val="auto"/>
              </w:rPr>
            </w:pPr>
          </w:p>
          <w:p w14:paraId="57270C30">
            <w:pPr>
              <w:pStyle w:val="8"/>
              <w:spacing w:before="1" w:line="312" w:lineRule="auto"/>
              <w:ind w:left="477" w:right="99" w:hanging="365"/>
              <w:rPr>
                <w:rFonts w:hint="default" w:ascii="Times New Roman" w:hAnsi="Times New Roman" w:eastAsia="宋体" w:cs="Times New Roman"/>
                <w:color w:val="auto"/>
              </w:rPr>
            </w:pPr>
          </w:p>
          <w:p w14:paraId="015921B0">
            <w:pPr>
              <w:pStyle w:val="8"/>
              <w:spacing w:before="1" w:line="312" w:lineRule="auto"/>
              <w:ind w:left="477" w:right="99" w:hanging="365"/>
              <w:rPr>
                <w:rFonts w:hint="default" w:ascii="Times New Roman" w:hAnsi="Times New Roman" w:eastAsia="宋体" w:cs="Times New Roman"/>
                <w:color w:val="auto"/>
              </w:rPr>
            </w:pPr>
          </w:p>
          <w:p w14:paraId="215F01B8">
            <w:pPr>
              <w:pStyle w:val="8"/>
              <w:spacing w:before="1" w:line="312" w:lineRule="auto"/>
              <w:ind w:left="477" w:right="99" w:hanging="365"/>
              <w:rPr>
                <w:rFonts w:hint="default" w:ascii="Times New Roman" w:hAnsi="Times New Roman" w:eastAsia="宋体" w:cs="Times New Roman"/>
                <w:color w:val="auto"/>
              </w:rPr>
            </w:pPr>
          </w:p>
          <w:p w14:paraId="2FC3F208">
            <w:pPr>
              <w:pStyle w:val="8"/>
              <w:spacing w:before="1" w:line="312" w:lineRule="auto"/>
              <w:ind w:left="477" w:right="99" w:hanging="365"/>
              <w:rPr>
                <w:rFonts w:hint="default" w:ascii="Times New Roman" w:hAnsi="Times New Roman" w:eastAsia="宋体" w:cs="Times New Roman"/>
                <w:color w:val="auto"/>
                <w:sz w:val="22"/>
              </w:rPr>
            </w:pPr>
          </w:p>
          <w:p w14:paraId="5748032C">
            <w:pPr>
              <w:pStyle w:val="8"/>
              <w:spacing w:before="1" w:line="312" w:lineRule="auto"/>
              <w:ind w:left="477" w:right="99" w:hanging="365"/>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资格评</w:t>
            </w:r>
          </w:p>
          <w:p w14:paraId="1DBA4E4C">
            <w:pPr>
              <w:pStyle w:val="8"/>
              <w:spacing w:before="1" w:line="312" w:lineRule="auto"/>
              <w:ind w:left="477" w:right="99" w:hanging="365"/>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审</w:t>
            </w:r>
            <w:r>
              <w:rPr>
                <w:rFonts w:hint="eastAsia" w:ascii="Times New Roman" w:hAnsi="Times New Roman" w:cs="Times New Roman"/>
                <w:color w:val="auto"/>
                <w:sz w:val="22"/>
                <w:lang w:val="en-US" w:eastAsia="zh-CN"/>
              </w:rPr>
              <w:t>标准</w:t>
            </w:r>
          </w:p>
        </w:tc>
        <w:tc>
          <w:tcPr>
            <w:tcW w:w="6626" w:type="dxa"/>
            <w:tcBorders>
              <w:tl2br w:val="nil"/>
              <w:tr2bl w:val="nil"/>
            </w:tcBorders>
            <w:vAlign w:val="top"/>
          </w:tcPr>
          <w:p w14:paraId="719D1DAB">
            <w:pPr>
              <w:pStyle w:val="8"/>
              <w:numPr>
                <w:ilvl w:val="0"/>
                <w:numId w:val="0"/>
              </w:numPr>
              <w:tabs>
                <w:tab w:val="left" w:pos="1054"/>
              </w:tabs>
              <w:spacing w:before="77" w:line="312" w:lineRule="auto"/>
              <w:ind w:right="95"/>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(1)</w:t>
            </w:r>
            <w:r>
              <w:rPr>
                <w:rFonts w:hint="default" w:ascii="Times New Roman" w:hAnsi="Times New Roman" w:eastAsia="宋体" w:cs="Times New Roman"/>
                <w:color w:val="auto"/>
                <w:spacing w:val="-3"/>
                <w:sz w:val="22"/>
              </w:rPr>
              <w:t>投标人具备有效的营业执照、监理资质证书。</w:t>
            </w:r>
          </w:p>
          <w:p w14:paraId="427DC4E3">
            <w:pPr>
              <w:pStyle w:val="8"/>
              <w:numPr>
                <w:ilvl w:val="0"/>
                <w:numId w:val="0"/>
              </w:numPr>
              <w:tabs>
                <w:tab w:val="left" w:pos="1054"/>
              </w:tabs>
              <w:spacing w:before="2"/>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(2)</w:t>
            </w:r>
            <w:r>
              <w:rPr>
                <w:rFonts w:hint="default" w:ascii="Times New Roman" w:hAnsi="Times New Roman" w:eastAsia="宋体" w:cs="Times New Roman"/>
                <w:color w:val="auto"/>
                <w:spacing w:val="-3"/>
                <w:sz w:val="22"/>
              </w:rPr>
              <w:t>投标人的资质等级符合招标文件规定。</w:t>
            </w:r>
          </w:p>
          <w:p w14:paraId="2D6D748B">
            <w:pPr>
              <w:pStyle w:val="8"/>
              <w:numPr>
                <w:ilvl w:val="0"/>
                <w:numId w:val="0"/>
              </w:numPr>
              <w:tabs>
                <w:tab w:val="left" w:pos="1054"/>
              </w:tabs>
              <w:spacing w:before="79"/>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(3)</w:t>
            </w:r>
            <w:r>
              <w:rPr>
                <w:rFonts w:hint="default" w:ascii="Times New Roman" w:hAnsi="Times New Roman" w:eastAsia="宋体" w:cs="Times New Roman"/>
                <w:color w:val="auto"/>
                <w:spacing w:val="-3"/>
                <w:sz w:val="22"/>
              </w:rPr>
              <w:t>投标人的类似项目业绩符合招标文件规定。</w:t>
            </w:r>
          </w:p>
          <w:p w14:paraId="25AE0405">
            <w:pPr>
              <w:pStyle w:val="8"/>
              <w:numPr>
                <w:ilvl w:val="0"/>
                <w:numId w:val="0"/>
              </w:numPr>
              <w:tabs>
                <w:tab w:val="left" w:pos="1054"/>
              </w:tabs>
              <w:spacing w:before="81"/>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(4)</w:t>
            </w:r>
            <w:r>
              <w:rPr>
                <w:rFonts w:hint="default" w:ascii="Times New Roman" w:hAnsi="Times New Roman" w:eastAsia="宋体" w:cs="Times New Roman"/>
                <w:color w:val="auto"/>
                <w:spacing w:val="-3"/>
                <w:sz w:val="22"/>
              </w:rPr>
              <w:t>投标人的信誉符合招标文件规定。</w:t>
            </w:r>
          </w:p>
          <w:p w14:paraId="3157970B">
            <w:pPr>
              <w:pStyle w:val="8"/>
              <w:numPr>
                <w:ilvl w:val="0"/>
                <w:numId w:val="0"/>
              </w:numPr>
              <w:tabs>
                <w:tab w:val="left" w:pos="1054"/>
              </w:tabs>
              <w:spacing w:before="81" w:line="312" w:lineRule="auto"/>
              <w:ind w:right="95"/>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(5)</w:t>
            </w:r>
            <w:r>
              <w:rPr>
                <w:rFonts w:hint="default" w:ascii="Times New Roman" w:hAnsi="Times New Roman" w:eastAsia="宋体" w:cs="Times New Roman"/>
                <w:color w:val="auto"/>
                <w:spacing w:val="-3"/>
                <w:sz w:val="22"/>
              </w:rPr>
              <w:t>投标人的总监理工程师资格、在岗情况符合招标文件规定。</w:t>
            </w:r>
          </w:p>
          <w:p w14:paraId="3E0E08E0">
            <w:pPr>
              <w:pStyle w:val="8"/>
              <w:numPr>
                <w:ilvl w:val="0"/>
                <w:numId w:val="0"/>
              </w:numPr>
              <w:tabs>
                <w:tab w:val="left" w:pos="1054"/>
              </w:tabs>
              <w:spacing w:before="2"/>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(6)</w:t>
            </w:r>
            <w:r>
              <w:rPr>
                <w:rFonts w:hint="default" w:ascii="Times New Roman" w:hAnsi="Times New Roman" w:eastAsia="宋体" w:cs="Times New Roman"/>
                <w:color w:val="auto"/>
                <w:spacing w:val="-3"/>
                <w:sz w:val="22"/>
              </w:rPr>
              <w:t>投标人的其他要求符合招标文件规定。</w:t>
            </w:r>
          </w:p>
          <w:p w14:paraId="1F33D8D3">
            <w:pPr>
              <w:pStyle w:val="8"/>
              <w:numPr>
                <w:ilvl w:val="0"/>
                <w:numId w:val="0"/>
              </w:numPr>
              <w:tabs>
                <w:tab w:val="left" w:pos="1054"/>
              </w:tabs>
              <w:spacing w:before="82" w:line="309" w:lineRule="auto"/>
              <w:ind w:right="100"/>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(7)</w:t>
            </w:r>
            <w:r>
              <w:rPr>
                <w:rFonts w:hint="default" w:ascii="Times New Roman" w:hAnsi="Times New Roman" w:eastAsia="宋体" w:cs="Times New Roman"/>
                <w:color w:val="auto"/>
                <w:spacing w:val="-3"/>
                <w:sz w:val="22"/>
              </w:rPr>
              <w:t>投标人不存在第二章</w:t>
            </w:r>
            <w:r>
              <w:rPr>
                <w:rFonts w:hint="default" w:ascii="Times New Roman" w:hAnsi="Times New Roman" w:eastAsia="宋体" w:cs="Times New Roman"/>
                <w:color w:val="auto"/>
                <w:sz w:val="22"/>
              </w:rPr>
              <w:t>“</w:t>
            </w:r>
            <w:r>
              <w:rPr>
                <w:rFonts w:hint="default" w:ascii="Times New Roman" w:hAnsi="Times New Roman" w:eastAsia="宋体" w:cs="Times New Roman"/>
                <w:color w:val="auto"/>
                <w:spacing w:val="-3"/>
                <w:sz w:val="22"/>
              </w:rPr>
              <w:t>投标人须知</w:t>
            </w:r>
            <w:r>
              <w:rPr>
                <w:rFonts w:hint="default" w:ascii="Times New Roman" w:hAnsi="Times New Roman" w:eastAsia="宋体" w:cs="Times New Roman"/>
                <w:color w:val="auto"/>
                <w:sz w:val="22"/>
              </w:rPr>
              <w:t>”</w:t>
            </w:r>
            <w:r>
              <w:rPr>
                <w:rFonts w:hint="default" w:ascii="Times New Roman" w:hAnsi="Times New Roman" w:eastAsia="宋体" w:cs="Times New Roman"/>
                <w:color w:val="auto"/>
                <w:spacing w:val="-22"/>
                <w:sz w:val="22"/>
              </w:rPr>
              <w:t xml:space="preserve">第 </w:t>
            </w:r>
            <w:r>
              <w:rPr>
                <w:rFonts w:hint="default" w:ascii="Times New Roman" w:hAnsi="Times New Roman" w:eastAsia="宋体" w:cs="Times New Roman"/>
                <w:color w:val="auto"/>
                <w:sz w:val="22"/>
              </w:rPr>
              <w:t>1.4.3</w:t>
            </w:r>
            <w:r>
              <w:rPr>
                <w:rFonts w:hint="default" w:ascii="Times New Roman" w:hAnsi="Times New Roman" w:eastAsia="宋体" w:cs="Times New Roman"/>
                <w:color w:val="auto"/>
                <w:spacing w:val="-12"/>
                <w:sz w:val="22"/>
              </w:rPr>
              <w:t>项或第</w:t>
            </w:r>
            <w:r>
              <w:rPr>
                <w:rFonts w:hint="default" w:ascii="Times New Roman" w:hAnsi="Times New Roman" w:eastAsia="宋体" w:cs="Times New Roman"/>
                <w:color w:val="auto"/>
                <w:sz w:val="22"/>
              </w:rPr>
              <w:t>1.4.4</w:t>
            </w:r>
            <w:r>
              <w:rPr>
                <w:rFonts w:hint="default" w:ascii="Times New Roman" w:hAnsi="Times New Roman" w:eastAsia="宋体" w:cs="Times New Roman"/>
                <w:color w:val="auto"/>
                <w:spacing w:val="-3"/>
                <w:sz w:val="22"/>
              </w:rPr>
              <w:t>项规定的任何一种情形。</w:t>
            </w:r>
          </w:p>
          <w:p w14:paraId="21FD4F20">
            <w:pPr>
              <w:pStyle w:val="8"/>
              <w:numPr>
                <w:ilvl w:val="0"/>
                <w:numId w:val="0"/>
              </w:numPr>
              <w:tabs>
                <w:tab w:val="left" w:pos="1054"/>
              </w:tabs>
              <w:spacing w:before="81" w:line="312" w:lineRule="auto"/>
              <w:ind w:right="95"/>
              <w:jc w:val="both"/>
              <w:rPr>
                <w:rFonts w:hint="default" w:ascii="Times New Roman" w:hAnsi="Times New Roman" w:eastAsia="宋体" w:cs="Times New Roman"/>
                <w:color w:val="auto"/>
                <w:sz w:val="22"/>
              </w:rPr>
            </w:pPr>
            <w:r>
              <w:rPr>
                <w:rFonts w:hint="eastAsia" w:ascii="Times New Roman" w:hAnsi="Times New Roman" w:eastAsia="宋体" w:cs="Times New Roman"/>
                <w:color w:val="auto"/>
                <w:sz w:val="22"/>
                <w:lang w:val="en-US" w:eastAsia="zh-CN"/>
              </w:rPr>
              <w:t>(</w:t>
            </w:r>
            <w:r>
              <w:rPr>
                <w:rFonts w:hint="eastAsia" w:ascii="Times New Roman" w:hAnsi="Times New Roman" w:cs="Times New Roman"/>
                <w:color w:val="auto"/>
                <w:sz w:val="22"/>
                <w:lang w:val="en-US" w:eastAsia="zh-CN"/>
              </w:rPr>
              <w:t>8</w:t>
            </w:r>
            <w:r>
              <w:rPr>
                <w:rFonts w:hint="eastAsia" w:ascii="Times New Roman" w:hAnsi="Times New Roman" w:eastAsia="宋体" w:cs="Times New Roman"/>
                <w:color w:val="auto"/>
                <w:sz w:val="22"/>
                <w:lang w:val="en-US" w:eastAsia="zh-CN"/>
              </w:rPr>
              <w:t>)</w:t>
            </w:r>
            <w:r>
              <w:rPr>
                <w:rFonts w:hint="default" w:ascii="Times New Roman" w:hAnsi="Times New Roman" w:eastAsia="宋体" w:cs="Times New Roman"/>
                <w:color w:val="auto"/>
                <w:spacing w:val="-3"/>
                <w:sz w:val="22"/>
              </w:rPr>
              <w:t>以联合体形式参与投标的</w:t>
            </w:r>
            <w:r>
              <w:rPr>
                <w:rFonts w:hint="eastAsia" w:ascii="Times New Roman" w:hAnsi="Times New Roman" w:cs="Times New Roman"/>
                <w:color w:val="auto"/>
                <w:spacing w:val="-3"/>
                <w:sz w:val="22"/>
                <w:lang w:eastAsia="zh-CN"/>
              </w:rPr>
              <w:t>（</w:t>
            </w:r>
            <w:r>
              <w:rPr>
                <w:rFonts w:hint="eastAsia" w:ascii="Times New Roman" w:hAnsi="Times New Roman" w:cs="Times New Roman"/>
                <w:color w:val="auto"/>
                <w:spacing w:val="-3"/>
                <w:sz w:val="22"/>
                <w:lang w:val="en-US" w:eastAsia="zh-CN"/>
              </w:rPr>
              <w:t>如有</w:t>
            </w:r>
            <w:r>
              <w:rPr>
                <w:rFonts w:hint="eastAsia" w:ascii="Times New Roman" w:hAnsi="Times New Roman" w:cs="Times New Roman"/>
                <w:color w:val="auto"/>
                <w:spacing w:val="-3"/>
                <w:sz w:val="22"/>
                <w:lang w:eastAsia="zh-CN"/>
              </w:rPr>
              <w:t>）</w:t>
            </w:r>
            <w:r>
              <w:rPr>
                <w:rFonts w:hint="default" w:ascii="Times New Roman" w:hAnsi="Times New Roman" w:eastAsia="宋体" w:cs="Times New Roman"/>
                <w:color w:val="auto"/>
                <w:spacing w:val="-3"/>
                <w:sz w:val="22"/>
              </w:rPr>
              <w:t>，联合体各方均未再以自己名义单</w:t>
            </w:r>
            <w:r>
              <w:rPr>
                <w:rFonts w:hint="default" w:ascii="Times New Roman" w:hAnsi="Times New Roman" w:eastAsia="宋体" w:cs="Times New Roman"/>
                <w:color w:val="auto"/>
                <w:spacing w:val="-8"/>
                <w:sz w:val="22"/>
              </w:rPr>
              <w:t>独或参加其他联合体在同一标段中投标；独立参与投标的，投标人未同</w:t>
            </w:r>
            <w:r>
              <w:rPr>
                <w:rFonts w:hint="default" w:ascii="Times New Roman" w:hAnsi="Times New Roman" w:eastAsia="宋体" w:cs="Times New Roman"/>
                <w:color w:val="auto"/>
                <w:spacing w:val="-5"/>
                <w:sz w:val="22"/>
              </w:rPr>
              <w:t>时参加联合体在同一标段中投标。</w:t>
            </w:r>
          </w:p>
          <w:p w14:paraId="4EE6A092">
            <w:pPr>
              <w:pStyle w:val="8"/>
              <w:spacing w:before="25" w:line="229" w:lineRule="exact"/>
              <w:ind w:left="524"/>
              <w:rPr>
                <w:rFonts w:hint="default" w:ascii="Times New Roman" w:hAnsi="Times New Roman" w:eastAsia="宋体" w:cs="Times New Roman"/>
                <w:color w:val="auto"/>
                <w:sz w:val="22"/>
              </w:rPr>
            </w:pPr>
          </w:p>
        </w:tc>
      </w:tr>
    </w:tbl>
    <w:p w14:paraId="0D6F3EC5">
      <w:pPr>
        <w:pStyle w:val="2"/>
        <w:spacing w:before="10"/>
        <w:rPr>
          <w:rFonts w:hint="default" w:ascii="Times New Roman" w:hAnsi="Times New Roman" w:eastAsia="宋体" w:cs="Times New Roman"/>
          <w:color w:val="auto"/>
          <w:sz w:val="22"/>
          <w:szCs w:val="22"/>
        </w:rPr>
      </w:pPr>
    </w:p>
    <w:p w14:paraId="4D535BB0">
      <w:pPr>
        <w:spacing w:line="312" w:lineRule="auto"/>
        <w:rPr>
          <w:rFonts w:hint="default" w:ascii="Times New Roman" w:hAnsi="Times New Roman" w:eastAsia="宋体" w:cs="Times New Roman"/>
          <w:color w:val="auto"/>
          <w:sz w:val="22"/>
        </w:rPr>
        <w:sectPr>
          <w:pgSz w:w="11910" w:h="16850"/>
          <w:pgMar w:top="1460" w:right="1120" w:bottom="1280" w:left="1220" w:header="882" w:footer="1093" w:gutter="0"/>
          <w:pgBorders>
            <w:top w:val="none" w:sz="0" w:space="0"/>
            <w:left w:val="none" w:sz="0" w:space="0"/>
            <w:bottom w:val="none" w:sz="0" w:space="0"/>
            <w:right w:val="none" w:sz="0" w:space="0"/>
          </w:pgBorders>
          <w:cols w:space="720" w:num="1"/>
        </w:sectPr>
      </w:pPr>
    </w:p>
    <w:p w14:paraId="394AF3D1">
      <w:pPr>
        <w:spacing w:before="129"/>
        <w:ind w:right="462"/>
        <w:jc w:val="righ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续上表</w:t>
      </w:r>
    </w:p>
    <w:tbl>
      <w:tblPr>
        <w:tblStyle w:val="5"/>
        <w:tblW w:w="889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17"/>
        <w:gridCol w:w="6517"/>
      </w:tblGrid>
      <w:tr w14:paraId="351B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60" w:type="dxa"/>
            <w:tcBorders>
              <w:top w:val="double" w:color="000000" w:sz="4" w:space="0"/>
              <w:left w:val="double" w:color="000000" w:sz="4" w:space="0"/>
            </w:tcBorders>
            <w:vAlign w:val="top"/>
          </w:tcPr>
          <w:p w14:paraId="61681F5D">
            <w:pPr>
              <w:pStyle w:val="8"/>
              <w:spacing w:before="109" w:line="252" w:lineRule="exact"/>
              <w:ind w:left="143" w:right="134"/>
              <w:jc w:val="center"/>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条款号</w:t>
            </w:r>
          </w:p>
        </w:tc>
        <w:tc>
          <w:tcPr>
            <w:tcW w:w="1417" w:type="dxa"/>
            <w:tcBorders>
              <w:top w:val="double" w:color="000000" w:sz="4" w:space="0"/>
            </w:tcBorders>
            <w:vAlign w:val="top"/>
          </w:tcPr>
          <w:p w14:paraId="3308B8FF">
            <w:pPr>
              <w:pStyle w:val="8"/>
              <w:spacing w:before="109" w:line="252" w:lineRule="exact"/>
              <w:ind w:left="285"/>
              <w:rPr>
                <w:rFonts w:hint="default" w:ascii="Times New Roman" w:hAnsi="Times New Roman" w:eastAsia="宋体" w:cs="Times New Roman"/>
                <w:b/>
                <w:color w:val="auto"/>
                <w:sz w:val="22"/>
              </w:rPr>
            </w:pPr>
            <w:r>
              <w:rPr>
                <w:rFonts w:hint="default" w:ascii="Times New Roman" w:hAnsi="Times New Roman" w:eastAsia="宋体" w:cs="Times New Roman"/>
                <w:b/>
                <w:color w:val="auto"/>
                <w:sz w:val="22"/>
              </w:rPr>
              <w:t>条款内容</w:t>
            </w:r>
          </w:p>
        </w:tc>
        <w:tc>
          <w:tcPr>
            <w:tcW w:w="6517" w:type="dxa"/>
            <w:tcBorders>
              <w:top w:val="double" w:color="000000" w:sz="4" w:space="0"/>
              <w:right w:val="double" w:color="000000" w:sz="4" w:space="0"/>
            </w:tcBorders>
            <w:vAlign w:val="top"/>
          </w:tcPr>
          <w:p w14:paraId="5C83BDB8">
            <w:pPr>
              <w:pStyle w:val="8"/>
              <w:spacing w:before="109" w:line="252" w:lineRule="exact"/>
              <w:ind w:left="0" w:right="2806"/>
              <w:jc w:val="center"/>
              <w:rPr>
                <w:rFonts w:hint="eastAsia" w:ascii="Times New Roman" w:hAnsi="Times New Roman" w:eastAsia="宋体" w:cs="Times New Roman"/>
                <w:b/>
                <w:color w:val="auto"/>
                <w:sz w:val="22"/>
              </w:rPr>
            </w:pPr>
            <w:r>
              <w:rPr>
                <w:rFonts w:hint="eastAsia" w:ascii="Times New Roman" w:hAnsi="Times New Roman" w:cs="Times New Roman"/>
                <w:b/>
                <w:color w:val="auto"/>
                <w:sz w:val="22"/>
                <w:lang w:val="en-US" w:eastAsia="zh-CN"/>
              </w:rPr>
              <w:t xml:space="preserve">                                          编列内容</w:t>
            </w:r>
          </w:p>
        </w:tc>
      </w:tr>
      <w:tr w14:paraId="2ED1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960" w:type="dxa"/>
            <w:tcBorders>
              <w:left w:val="double" w:color="000000" w:sz="4" w:space="0"/>
            </w:tcBorders>
            <w:vAlign w:val="center"/>
          </w:tcPr>
          <w:p w14:paraId="4DD95692">
            <w:pPr>
              <w:pStyle w:val="8"/>
              <w:ind w:right="134"/>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2.2.1</w:t>
            </w:r>
          </w:p>
        </w:tc>
        <w:tc>
          <w:tcPr>
            <w:tcW w:w="1417" w:type="dxa"/>
            <w:vAlign w:val="center"/>
          </w:tcPr>
          <w:p w14:paraId="45403BA3">
            <w:pPr>
              <w:pStyle w:val="8"/>
              <w:spacing w:before="1"/>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分值构成</w:t>
            </w:r>
          </w:p>
          <w:p w14:paraId="07C78FC3">
            <w:pPr>
              <w:pStyle w:val="8"/>
              <w:spacing w:before="1"/>
              <w:jc w:val="center"/>
              <w:rPr>
                <w:rFonts w:hint="default" w:ascii="Times New Roman" w:hAnsi="Times New Roman" w:eastAsia="宋体" w:cs="Times New Roman"/>
                <w:color w:val="auto"/>
                <w:sz w:val="22"/>
              </w:rPr>
            </w:pPr>
            <w:r>
              <w:rPr>
                <w:rFonts w:hint="eastAsia" w:ascii="Times New Roman" w:hAnsi="Times New Roman" w:cs="Times New Roman"/>
                <w:color w:val="auto"/>
                <w:sz w:val="22"/>
                <w:lang w:eastAsia="zh-CN"/>
              </w:rPr>
              <w:t>（</w:t>
            </w:r>
            <w:r>
              <w:rPr>
                <w:rFonts w:hint="default" w:ascii="Times New Roman" w:hAnsi="Times New Roman" w:eastAsia="宋体" w:cs="Times New Roman"/>
                <w:color w:val="auto"/>
                <w:sz w:val="22"/>
              </w:rPr>
              <w:t>总分 100 分</w:t>
            </w:r>
            <w:r>
              <w:rPr>
                <w:rFonts w:hint="eastAsia" w:ascii="Times New Roman" w:hAnsi="Times New Roman" w:cs="Times New Roman"/>
                <w:color w:val="auto"/>
                <w:sz w:val="22"/>
                <w:lang w:eastAsia="zh-CN"/>
              </w:rPr>
              <w:t>）</w:t>
            </w:r>
          </w:p>
        </w:tc>
        <w:tc>
          <w:tcPr>
            <w:tcW w:w="6517" w:type="dxa"/>
            <w:tcBorders>
              <w:right w:val="double" w:color="000000" w:sz="4" w:space="0"/>
            </w:tcBorders>
            <w:vAlign w:val="top"/>
          </w:tcPr>
          <w:p w14:paraId="7AD3734C">
            <w:pPr>
              <w:pStyle w:val="8"/>
              <w:tabs>
                <w:tab w:val="left" w:pos="2418"/>
              </w:tabs>
              <w:spacing w:before="68" w:line="302" w:lineRule="auto"/>
              <w:ind w:right="1438"/>
              <w:rPr>
                <w:rFonts w:hint="default" w:ascii="Times New Roman" w:hAnsi="Times New Roman" w:eastAsia="宋体" w:cs="Times New Roman"/>
                <w:b/>
                <w:color w:val="auto"/>
                <w:spacing w:val="-9"/>
                <w:sz w:val="22"/>
              </w:rPr>
            </w:pPr>
            <w:r>
              <w:rPr>
                <w:rFonts w:hint="default" w:ascii="Times New Roman" w:hAnsi="Times New Roman" w:eastAsia="宋体" w:cs="Times New Roman"/>
                <w:b/>
                <w:color w:val="auto"/>
                <w:sz w:val="22"/>
              </w:rPr>
              <w:t>第一个信封（商务</w:t>
            </w:r>
            <w:r>
              <w:rPr>
                <w:rFonts w:hint="default" w:ascii="Times New Roman" w:hAnsi="Times New Roman" w:eastAsia="宋体" w:cs="Times New Roman"/>
                <w:b/>
                <w:color w:val="auto"/>
                <w:spacing w:val="-3"/>
                <w:sz w:val="22"/>
              </w:rPr>
              <w:t>及</w:t>
            </w:r>
            <w:r>
              <w:rPr>
                <w:rFonts w:hint="default" w:ascii="Times New Roman" w:hAnsi="Times New Roman" w:eastAsia="宋体" w:cs="Times New Roman"/>
                <w:b/>
                <w:color w:val="auto"/>
                <w:sz w:val="22"/>
              </w:rPr>
              <w:t>技</w:t>
            </w:r>
            <w:r>
              <w:rPr>
                <w:rFonts w:hint="default" w:ascii="Times New Roman" w:hAnsi="Times New Roman" w:eastAsia="宋体" w:cs="Times New Roman"/>
                <w:b/>
                <w:color w:val="auto"/>
                <w:spacing w:val="-3"/>
                <w:sz w:val="22"/>
              </w:rPr>
              <w:t>术</w:t>
            </w:r>
            <w:r>
              <w:rPr>
                <w:rFonts w:hint="default" w:ascii="Times New Roman" w:hAnsi="Times New Roman" w:eastAsia="宋体" w:cs="Times New Roman"/>
                <w:b/>
                <w:color w:val="auto"/>
                <w:sz w:val="22"/>
              </w:rPr>
              <w:t>文件）评分分值构</w:t>
            </w:r>
            <w:r>
              <w:rPr>
                <w:rFonts w:hint="default" w:ascii="Times New Roman" w:hAnsi="Times New Roman" w:eastAsia="宋体" w:cs="Times New Roman"/>
                <w:b/>
                <w:color w:val="auto"/>
                <w:spacing w:val="-3"/>
                <w:sz w:val="22"/>
              </w:rPr>
              <w:t>成</w:t>
            </w:r>
            <w:r>
              <w:rPr>
                <w:rFonts w:hint="default" w:ascii="Times New Roman" w:hAnsi="Times New Roman" w:eastAsia="宋体" w:cs="Times New Roman"/>
                <w:b/>
                <w:color w:val="auto"/>
                <w:spacing w:val="-9"/>
                <w:sz w:val="22"/>
              </w:rPr>
              <w:t>：</w:t>
            </w:r>
          </w:p>
          <w:p w14:paraId="648D339F">
            <w:pPr>
              <w:pStyle w:val="8"/>
              <w:tabs>
                <w:tab w:val="left" w:pos="2418"/>
              </w:tabs>
              <w:spacing w:before="68" w:line="302" w:lineRule="auto"/>
              <w:ind w:right="1438"/>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技术</w:t>
            </w:r>
            <w:r>
              <w:rPr>
                <w:rFonts w:hint="default" w:ascii="Times New Roman" w:hAnsi="Times New Roman" w:eastAsia="宋体" w:cs="Times New Roman"/>
                <w:color w:val="auto"/>
                <w:spacing w:val="-3"/>
                <w:sz w:val="22"/>
              </w:rPr>
              <w:t>建</w:t>
            </w:r>
            <w:r>
              <w:rPr>
                <w:rFonts w:hint="default" w:ascii="Times New Roman" w:hAnsi="Times New Roman" w:eastAsia="宋体" w:cs="Times New Roman"/>
                <w:color w:val="auto"/>
                <w:sz w:val="22"/>
              </w:rPr>
              <w:t>议</w:t>
            </w:r>
            <w:r>
              <w:rPr>
                <w:rFonts w:hint="default" w:ascii="Times New Roman" w:hAnsi="Times New Roman" w:eastAsia="宋体" w:cs="Times New Roman"/>
                <w:color w:val="auto"/>
                <w:spacing w:val="-3"/>
                <w:sz w:val="22"/>
              </w:rPr>
              <w:t>书</w:t>
            </w:r>
            <w:r>
              <w:rPr>
                <w:rFonts w:hint="default" w:ascii="Times New Roman" w:hAnsi="Times New Roman" w:eastAsia="宋体" w:cs="Times New Roman"/>
                <w:color w:val="auto"/>
                <w:sz w:val="22"/>
              </w:rPr>
              <w:t>：</w:t>
            </w:r>
            <w:r>
              <w:rPr>
                <w:rFonts w:hint="default" w:ascii="Times New Roman" w:hAnsi="Times New Roman" w:eastAsia="宋体" w:cs="Times New Roman"/>
                <w:color w:val="auto"/>
                <w:sz w:val="22"/>
                <w:u w:val="single"/>
              </w:rPr>
              <w:t xml:space="preserve"> </w:t>
            </w:r>
            <w:r>
              <w:rPr>
                <w:rFonts w:hint="eastAsia" w:ascii="Times New Roman" w:hAnsi="Times New Roman" w:cs="Times New Roman"/>
                <w:color w:val="auto"/>
                <w:sz w:val="22"/>
                <w:u w:val="single"/>
                <w:lang w:val="en-US" w:eastAsia="zh-CN"/>
              </w:rPr>
              <w:t>35</w:t>
            </w:r>
            <w:r>
              <w:rPr>
                <w:rFonts w:hint="default" w:ascii="Times New Roman" w:hAnsi="Times New Roman" w:eastAsia="宋体" w:cs="Times New Roman"/>
                <w:color w:val="auto"/>
                <w:sz w:val="22"/>
                <w:u w:val="single"/>
              </w:rPr>
              <w:t xml:space="preserve">  </w:t>
            </w:r>
            <w:r>
              <w:rPr>
                <w:rFonts w:hint="default" w:ascii="Times New Roman" w:hAnsi="Times New Roman" w:eastAsia="宋体" w:cs="Times New Roman"/>
                <w:color w:val="auto"/>
                <w:sz w:val="22"/>
              </w:rPr>
              <w:t>分</w:t>
            </w:r>
          </w:p>
          <w:p w14:paraId="20F24AD8">
            <w:pPr>
              <w:pStyle w:val="8"/>
              <w:tabs>
                <w:tab w:val="left" w:pos="2418"/>
              </w:tabs>
              <w:spacing w:before="68" w:line="302" w:lineRule="auto"/>
              <w:ind w:right="1438"/>
              <w:rPr>
                <w:rFonts w:hint="default" w:ascii="Times New Roman" w:hAnsi="Times New Roman" w:eastAsia="宋体" w:cs="Times New Roman"/>
                <w:color w:val="auto"/>
                <w:sz w:val="22"/>
                <w:lang w:val="en-US" w:eastAsia="zh-CN"/>
              </w:rPr>
            </w:pPr>
            <w:r>
              <w:rPr>
                <w:rFonts w:hint="eastAsia" w:ascii="Times New Roman" w:hAnsi="Times New Roman" w:cs="Times New Roman"/>
                <w:color w:val="auto"/>
                <w:sz w:val="22"/>
                <w:lang w:val="en-US" w:eastAsia="zh-CN"/>
              </w:rPr>
              <w:t>履约信誉：</w:t>
            </w:r>
            <w:r>
              <w:rPr>
                <w:rFonts w:hint="eastAsia" w:ascii="Times New Roman" w:hAnsi="Times New Roman" w:cs="Times New Roman"/>
                <w:color w:val="auto"/>
                <w:sz w:val="22"/>
                <w:u w:val="single"/>
                <w:lang w:val="en-US" w:eastAsia="zh-CN"/>
              </w:rPr>
              <w:t xml:space="preserve"> 5  </w:t>
            </w:r>
            <w:r>
              <w:rPr>
                <w:rFonts w:hint="eastAsia" w:ascii="Times New Roman" w:hAnsi="Times New Roman" w:cs="Times New Roman"/>
                <w:color w:val="auto"/>
                <w:sz w:val="22"/>
                <w:lang w:val="en-US" w:eastAsia="zh-CN"/>
              </w:rPr>
              <w:t>分</w:t>
            </w:r>
          </w:p>
          <w:p w14:paraId="076CDC8B">
            <w:pPr>
              <w:pStyle w:val="8"/>
              <w:tabs>
                <w:tab w:val="left" w:pos="2209"/>
              </w:tabs>
              <w:spacing w:before="1"/>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主要</w:t>
            </w:r>
            <w:r>
              <w:rPr>
                <w:rFonts w:hint="default" w:ascii="Times New Roman" w:hAnsi="Times New Roman" w:eastAsia="宋体" w:cs="Times New Roman"/>
                <w:color w:val="auto"/>
                <w:spacing w:val="-3"/>
                <w:sz w:val="22"/>
              </w:rPr>
              <w:t>人</w:t>
            </w:r>
            <w:r>
              <w:rPr>
                <w:rFonts w:hint="default" w:ascii="Times New Roman" w:hAnsi="Times New Roman" w:eastAsia="宋体" w:cs="Times New Roman"/>
                <w:color w:val="auto"/>
                <w:sz w:val="22"/>
              </w:rPr>
              <w:t>员</w:t>
            </w:r>
            <w:r>
              <w:rPr>
                <w:rFonts w:hint="default" w:ascii="Times New Roman" w:hAnsi="Times New Roman" w:eastAsia="宋体" w:cs="Times New Roman"/>
                <w:color w:val="auto"/>
                <w:spacing w:val="-3"/>
                <w:sz w:val="22"/>
              </w:rPr>
              <w:t>：</w:t>
            </w:r>
            <w:r>
              <w:rPr>
                <w:rFonts w:hint="default" w:ascii="Times New Roman" w:hAnsi="Times New Roman" w:eastAsia="宋体" w:cs="Times New Roman"/>
                <w:color w:val="auto"/>
                <w:spacing w:val="-3"/>
                <w:sz w:val="22"/>
                <w:u w:val="single"/>
              </w:rPr>
              <w:t xml:space="preserve"> 25 </w:t>
            </w:r>
            <w:r>
              <w:rPr>
                <w:rFonts w:hint="default" w:ascii="Times New Roman" w:hAnsi="Times New Roman" w:eastAsia="宋体" w:cs="Times New Roman"/>
                <w:color w:val="auto"/>
                <w:sz w:val="22"/>
              </w:rPr>
              <w:t>分</w:t>
            </w:r>
          </w:p>
          <w:p w14:paraId="4FEE7F3C">
            <w:pPr>
              <w:pStyle w:val="8"/>
              <w:tabs>
                <w:tab w:val="left" w:pos="1789"/>
                <w:tab w:val="left" w:pos="2320"/>
              </w:tabs>
              <w:spacing w:before="1" w:line="340" w:lineRule="atLeast"/>
              <w:ind w:right="3973"/>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业绩</w:t>
            </w:r>
            <w:r>
              <w:rPr>
                <w:rFonts w:hint="default" w:ascii="Times New Roman" w:hAnsi="Times New Roman" w:eastAsia="宋体" w:cs="Times New Roman"/>
                <w:color w:val="auto"/>
                <w:spacing w:val="-3"/>
                <w:sz w:val="22"/>
              </w:rPr>
              <w:t>：</w:t>
            </w:r>
            <w:r>
              <w:rPr>
                <w:rFonts w:hint="eastAsia" w:ascii="Times New Roman" w:hAnsi="Times New Roman" w:cs="Times New Roman"/>
                <w:color w:val="auto"/>
                <w:spacing w:val="-3"/>
                <w:sz w:val="22"/>
                <w:u w:val="single"/>
                <w:lang w:val="en-US" w:eastAsia="zh-CN"/>
              </w:rPr>
              <w:t>2</w:t>
            </w:r>
            <w:r>
              <w:rPr>
                <w:rFonts w:hint="default" w:ascii="Times New Roman" w:hAnsi="Times New Roman" w:eastAsia="宋体" w:cs="Times New Roman"/>
                <w:color w:val="auto"/>
                <w:spacing w:val="-3"/>
                <w:sz w:val="22"/>
                <w:u w:val="single"/>
              </w:rPr>
              <w:t xml:space="preserve">5  </w:t>
            </w:r>
            <w:r>
              <w:rPr>
                <w:rFonts w:hint="default" w:ascii="Times New Roman" w:hAnsi="Times New Roman" w:eastAsia="宋体" w:cs="Times New Roman"/>
                <w:color w:val="auto"/>
                <w:sz w:val="22"/>
              </w:rPr>
              <w:t>分</w:t>
            </w:r>
          </w:p>
          <w:p w14:paraId="07118DC7">
            <w:pPr>
              <w:pStyle w:val="8"/>
              <w:tabs>
                <w:tab w:val="left" w:pos="527"/>
                <w:tab w:val="left" w:pos="2209"/>
              </w:tabs>
              <w:spacing w:line="339" w:lineRule="exact"/>
              <w:rPr>
                <w:rFonts w:hint="default" w:ascii="Times New Roman" w:hAnsi="Times New Roman" w:eastAsia="宋体" w:cs="Times New Roman"/>
                <w:color w:val="auto"/>
                <w:sz w:val="22"/>
              </w:rPr>
            </w:pPr>
            <w:r>
              <w:rPr>
                <w:rFonts w:hint="default" w:ascii="Times New Roman" w:hAnsi="Times New Roman" w:eastAsia="宋体" w:cs="Times New Roman"/>
                <w:b/>
                <w:color w:val="auto"/>
                <w:sz w:val="22"/>
              </w:rPr>
              <w:t>第二个信封（报价</w:t>
            </w:r>
            <w:r>
              <w:rPr>
                <w:rFonts w:hint="default" w:ascii="Times New Roman" w:hAnsi="Times New Roman" w:eastAsia="宋体" w:cs="Times New Roman"/>
                <w:b/>
                <w:color w:val="auto"/>
                <w:spacing w:val="-3"/>
                <w:sz w:val="22"/>
              </w:rPr>
              <w:t>文</w:t>
            </w:r>
            <w:r>
              <w:rPr>
                <w:rFonts w:hint="default" w:ascii="Times New Roman" w:hAnsi="Times New Roman" w:eastAsia="宋体" w:cs="Times New Roman"/>
                <w:b/>
                <w:color w:val="auto"/>
                <w:sz w:val="22"/>
              </w:rPr>
              <w:t>件</w:t>
            </w:r>
            <w:r>
              <w:rPr>
                <w:rFonts w:hint="default" w:ascii="Times New Roman" w:hAnsi="Times New Roman" w:eastAsia="宋体" w:cs="Times New Roman"/>
                <w:b/>
                <w:color w:val="auto"/>
                <w:spacing w:val="-3"/>
                <w:sz w:val="22"/>
              </w:rPr>
              <w:t>）</w:t>
            </w:r>
            <w:r>
              <w:rPr>
                <w:rFonts w:hint="default" w:ascii="Times New Roman" w:hAnsi="Times New Roman" w:eastAsia="宋体" w:cs="Times New Roman"/>
                <w:b/>
                <w:color w:val="auto"/>
                <w:sz w:val="22"/>
              </w:rPr>
              <w:t>评分分值构成</w:t>
            </w:r>
            <w:r>
              <w:rPr>
                <w:rFonts w:hint="default" w:ascii="Times New Roman" w:hAnsi="Times New Roman" w:eastAsia="宋体" w:cs="Times New Roman"/>
                <w:b/>
                <w:color w:val="auto"/>
                <w:spacing w:val="-16"/>
                <w:sz w:val="22"/>
              </w:rPr>
              <w:t xml:space="preserve">： </w:t>
            </w:r>
            <w:r>
              <w:rPr>
                <w:rFonts w:hint="default" w:ascii="Times New Roman" w:hAnsi="Times New Roman" w:eastAsia="宋体" w:cs="Times New Roman"/>
                <w:color w:val="auto"/>
                <w:sz w:val="22"/>
              </w:rPr>
              <w:t>评标</w:t>
            </w:r>
            <w:r>
              <w:rPr>
                <w:rFonts w:hint="default" w:ascii="Times New Roman" w:hAnsi="Times New Roman" w:eastAsia="宋体" w:cs="Times New Roman"/>
                <w:color w:val="auto"/>
                <w:spacing w:val="-3"/>
                <w:sz w:val="22"/>
              </w:rPr>
              <w:t>价</w:t>
            </w:r>
            <w:r>
              <w:rPr>
                <w:rFonts w:hint="default" w:ascii="Times New Roman" w:hAnsi="Times New Roman" w:eastAsia="宋体" w:cs="Times New Roman"/>
                <w:color w:val="auto"/>
                <w:sz w:val="22"/>
              </w:rPr>
              <w:t>：</w:t>
            </w:r>
            <w:r>
              <w:rPr>
                <w:rFonts w:hint="default" w:ascii="Times New Roman" w:hAnsi="Times New Roman" w:eastAsia="宋体" w:cs="Times New Roman"/>
                <w:color w:val="auto"/>
                <w:sz w:val="22"/>
                <w:u w:val="single"/>
              </w:rPr>
              <w:t xml:space="preserve"> 10 </w:t>
            </w:r>
            <w:r>
              <w:rPr>
                <w:rFonts w:hint="default" w:ascii="Times New Roman" w:hAnsi="Times New Roman" w:eastAsia="宋体" w:cs="Times New Roman"/>
                <w:color w:val="auto"/>
                <w:sz w:val="22"/>
              </w:rPr>
              <w:t>分</w:t>
            </w:r>
          </w:p>
        </w:tc>
      </w:tr>
      <w:tr w14:paraId="6007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3" w:hRule="atLeast"/>
        </w:trPr>
        <w:tc>
          <w:tcPr>
            <w:tcW w:w="960" w:type="dxa"/>
            <w:vMerge w:val="restart"/>
            <w:tcBorders>
              <w:left w:val="double" w:color="000000" w:sz="4" w:space="0"/>
            </w:tcBorders>
            <w:vAlign w:val="center"/>
          </w:tcPr>
          <w:p w14:paraId="33358031">
            <w:pPr>
              <w:pStyle w:val="8"/>
              <w:jc w:val="center"/>
              <w:rPr>
                <w:rFonts w:hint="default" w:ascii="Times New Roman" w:hAnsi="Times New Roman" w:eastAsia="宋体" w:cs="Times New Roman"/>
                <w:color w:val="auto"/>
              </w:rPr>
            </w:pPr>
          </w:p>
          <w:p w14:paraId="175841A6">
            <w:pPr>
              <w:pStyle w:val="8"/>
              <w:ind w:left="143" w:right="134"/>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2.2.2</w:t>
            </w:r>
          </w:p>
        </w:tc>
        <w:tc>
          <w:tcPr>
            <w:tcW w:w="1417" w:type="dxa"/>
            <w:vMerge w:val="restart"/>
            <w:vAlign w:val="center"/>
          </w:tcPr>
          <w:p w14:paraId="4406C230">
            <w:pPr>
              <w:pStyle w:val="8"/>
              <w:spacing w:line="338" w:lineRule="auto"/>
              <w:ind w:left="287" w:right="169" w:hanging="106"/>
              <w:jc w:val="center"/>
              <w:rPr>
                <w:rFonts w:hint="default" w:ascii="Times New Roman" w:hAnsi="Times New Roman" w:eastAsia="宋体" w:cs="Times New Roman"/>
                <w:color w:val="auto"/>
                <w:sz w:val="22"/>
              </w:rPr>
            </w:pPr>
            <w:r>
              <w:rPr>
                <w:rFonts w:hint="eastAsia" w:ascii="宋体" w:hAnsi="宋体" w:eastAsia="宋体" w:cs="宋体"/>
                <w:color w:val="auto"/>
                <w:sz w:val="22"/>
              </w:rPr>
              <w:t>评标基准价计算方法</w:t>
            </w:r>
          </w:p>
        </w:tc>
        <w:tc>
          <w:tcPr>
            <w:tcW w:w="6517" w:type="dxa"/>
            <w:tcBorders>
              <w:right w:val="double" w:color="000000" w:sz="4" w:space="0"/>
            </w:tcBorders>
            <w:vAlign w:val="top"/>
          </w:tcPr>
          <w:p w14:paraId="6BD28567">
            <w:pPr>
              <w:pStyle w:val="8"/>
              <w:spacing w:before="73"/>
              <w:rPr>
                <w:rFonts w:hint="default" w:ascii="Times New Roman" w:hAnsi="Times New Roman" w:eastAsia="宋体" w:cs="Times New Roman"/>
                <w:sz w:val="22"/>
              </w:rPr>
            </w:pPr>
            <w:r>
              <w:rPr>
                <w:rFonts w:hint="default" w:ascii="Times New Roman" w:hAnsi="Times New Roman" w:eastAsia="宋体" w:cs="Times New Roman"/>
                <w:sz w:val="22"/>
              </w:rPr>
              <w:t>1、有效投标报价：低于招标控制价并且经评标委员会初步评审合格的投标人的报价为有效投标报价。</w:t>
            </w:r>
          </w:p>
          <w:p w14:paraId="6EF96605">
            <w:pPr>
              <w:pStyle w:val="8"/>
              <w:spacing w:before="73"/>
              <w:rPr>
                <w:rFonts w:hint="default" w:ascii="Times New Roman" w:hAnsi="Times New Roman" w:eastAsia="宋体" w:cs="Times New Roman"/>
                <w:sz w:val="22"/>
              </w:rPr>
            </w:pPr>
            <w:r>
              <w:rPr>
                <w:rFonts w:hint="default" w:ascii="Times New Roman" w:hAnsi="Times New Roman" w:eastAsia="宋体" w:cs="Times New Roman"/>
                <w:sz w:val="22"/>
              </w:rPr>
              <w:t>2、评标基准价：有效投标报价算术平均值为评标基准价。若有效报价大于5家时，去掉一个最高报价和一个最低报价后进行计算。</w:t>
            </w:r>
          </w:p>
          <w:p w14:paraId="401758A4">
            <w:pPr>
              <w:pStyle w:val="8"/>
              <w:spacing w:before="73"/>
              <w:rPr>
                <w:rFonts w:hint="default" w:ascii="Times New Roman" w:hAnsi="Times New Roman" w:eastAsia="宋体" w:cs="Times New Roman"/>
                <w:color w:val="auto"/>
                <w:sz w:val="22"/>
              </w:rPr>
            </w:pPr>
            <w:r>
              <w:rPr>
                <w:rFonts w:hint="default" w:ascii="Times New Roman" w:hAnsi="Times New Roman" w:eastAsia="宋体" w:cs="Times New Roman"/>
                <w:sz w:val="22"/>
              </w:rPr>
              <w:t>3、报价分计算标准：以评标基准价作为评标标准值，投标报价等于评标标准值的得</w:t>
            </w:r>
            <w:r>
              <w:rPr>
                <w:rFonts w:hint="eastAsia" w:ascii="Times New Roman" w:hAnsi="Times New Roman" w:cs="Times New Roman"/>
                <w:sz w:val="22"/>
                <w:lang w:val="en-US" w:eastAsia="zh-CN"/>
              </w:rPr>
              <w:t>10</w:t>
            </w:r>
            <w:r>
              <w:rPr>
                <w:rFonts w:hint="default" w:ascii="Times New Roman" w:hAnsi="Times New Roman" w:eastAsia="宋体" w:cs="Times New Roman"/>
                <w:sz w:val="22"/>
              </w:rPr>
              <w:t>分，投标报价每高于评标标准值 1%（含 1%）减 0.25分，投标报价每低于评标标准值 1%（含 1%）减 0.25分，中间值按插入法计算，保留小数点后2位。</w:t>
            </w:r>
          </w:p>
        </w:tc>
      </w:tr>
      <w:tr w14:paraId="17FC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Merge w:val="continue"/>
            <w:tcBorders>
              <w:left w:val="double" w:color="000000" w:sz="4" w:space="0"/>
            </w:tcBorders>
            <w:vAlign w:val="top"/>
          </w:tcPr>
          <w:p w14:paraId="743ED109">
            <w:pPr>
              <w:pStyle w:val="8"/>
              <w:rPr>
                <w:rFonts w:hint="default" w:ascii="Times New Roman" w:hAnsi="Times New Roman" w:eastAsia="宋体" w:cs="Times New Roman"/>
                <w:color w:val="auto"/>
                <w:sz w:val="22"/>
              </w:rPr>
            </w:pPr>
          </w:p>
        </w:tc>
        <w:tc>
          <w:tcPr>
            <w:tcW w:w="1417" w:type="dxa"/>
            <w:vMerge w:val="continue"/>
            <w:vAlign w:val="top"/>
          </w:tcPr>
          <w:p w14:paraId="7FD3AB73">
            <w:pPr>
              <w:pStyle w:val="8"/>
              <w:rPr>
                <w:rFonts w:hint="default" w:ascii="Times New Roman" w:hAnsi="Times New Roman" w:eastAsia="宋体" w:cs="Times New Roman"/>
                <w:color w:val="auto"/>
                <w:sz w:val="22"/>
              </w:rPr>
            </w:pPr>
          </w:p>
        </w:tc>
        <w:tc>
          <w:tcPr>
            <w:tcW w:w="6517" w:type="dxa"/>
            <w:tcBorders>
              <w:right w:val="double" w:color="000000" w:sz="4" w:space="0"/>
            </w:tcBorders>
            <w:vAlign w:val="top"/>
          </w:tcPr>
          <w:p w14:paraId="40E2BC67">
            <w:pPr>
              <w:pStyle w:val="8"/>
              <w:spacing w:before="68" w:line="302" w:lineRule="auto"/>
              <w:ind w:right="-15"/>
              <w:rPr>
                <w:rFonts w:hint="eastAsia" w:ascii="Times New Roman" w:hAnsi="Times New Roman" w:eastAsia="宋体" w:cs="Times New Roman"/>
                <w:color w:val="auto"/>
                <w:sz w:val="22"/>
                <w:lang w:eastAsia="zh-CN"/>
              </w:rPr>
            </w:pPr>
            <w:r>
              <w:rPr>
                <w:rFonts w:hint="default" w:ascii="Times New Roman" w:hAnsi="Times New Roman" w:eastAsia="宋体" w:cs="Times New Roman"/>
                <w:color w:val="auto"/>
                <w:spacing w:val="-3"/>
                <w:sz w:val="22"/>
              </w:rPr>
              <w:t>在评标过程中，评标委员会应对招标人计算的评标基准价进行复</w:t>
            </w:r>
            <w:r>
              <w:rPr>
                <w:rFonts w:hint="default" w:ascii="Times New Roman" w:hAnsi="Times New Roman" w:eastAsia="宋体" w:cs="Times New Roman"/>
                <w:color w:val="auto"/>
                <w:spacing w:val="-11"/>
                <w:sz w:val="22"/>
              </w:rPr>
              <w:t>核，存在计算错误的应予以修正并在评标报告中作出说明。除此之外，</w:t>
            </w:r>
            <w:r>
              <w:rPr>
                <w:rFonts w:hint="default" w:ascii="Times New Roman" w:hAnsi="Times New Roman" w:eastAsia="宋体" w:cs="Times New Roman"/>
                <w:color w:val="auto"/>
                <w:sz w:val="22"/>
              </w:rPr>
              <w:t>评标基准价在整个评标期间保持不变，不随任何因素发生变化</w:t>
            </w:r>
            <w:r>
              <w:rPr>
                <w:rFonts w:hint="eastAsia" w:ascii="Times New Roman" w:hAnsi="Times New Roman" w:cs="Times New Roman"/>
                <w:color w:val="auto"/>
                <w:sz w:val="22"/>
                <w:lang w:eastAsia="zh-CN"/>
              </w:rPr>
              <w:t>。</w:t>
            </w:r>
          </w:p>
        </w:tc>
      </w:tr>
      <w:tr w14:paraId="089CA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60" w:type="dxa"/>
            <w:tcBorders>
              <w:left w:val="double" w:color="000000" w:sz="4" w:space="0"/>
              <w:bottom w:val="double" w:color="000000" w:sz="4" w:space="0"/>
            </w:tcBorders>
            <w:vAlign w:val="top"/>
          </w:tcPr>
          <w:p w14:paraId="16390AD4">
            <w:pPr>
              <w:pStyle w:val="8"/>
              <w:rPr>
                <w:rFonts w:hint="default" w:ascii="Times New Roman" w:hAnsi="Times New Roman" w:eastAsia="宋体" w:cs="Times New Roman"/>
                <w:color w:val="auto"/>
                <w:sz w:val="22"/>
              </w:rPr>
            </w:pPr>
          </w:p>
          <w:p w14:paraId="72EA06DD">
            <w:pPr>
              <w:pStyle w:val="8"/>
              <w:ind w:left="268"/>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2.2.3</w:t>
            </w:r>
          </w:p>
        </w:tc>
        <w:tc>
          <w:tcPr>
            <w:tcW w:w="1417" w:type="dxa"/>
            <w:tcBorders>
              <w:bottom w:val="double" w:color="000000" w:sz="4" w:space="0"/>
            </w:tcBorders>
            <w:vAlign w:val="top"/>
          </w:tcPr>
          <w:p w14:paraId="3A85536F">
            <w:pPr>
              <w:pStyle w:val="8"/>
              <w:spacing w:before="15" w:line="380" w:lineRule="exact"/>
              <w:ind w:left="182" w:right="65" w:hanging="106"/>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评标价的偏差率计算公式</w:t>
            </w:r>
          </w:p>
        </w:tc>
        <w:tc>
          <w:tcPr>
            <w:tcW w:w="6517" w:type="dxa"/>
            <w:tcBorders>
              <w:bottom w:val="double" w:color="000000" w:sz="4" w:space="0"/>
              <w:right w:val="double" w:color="000000" w:sz="4" w:space="0"/>
            </w:tcBorders>
            <w:vAlign w:val="top"/>
          </w:tcPr>
          <w:p w14:paraId="5CD82779">
            <w:pPr>
              <w:pStyle w:val="8"/>
              <w:tabs>
                <w:tab w:val="left" w:pos="1998"/>
              </w:tabs>
              <w:spacing w:before="38" w:line="340" w:lineRule="atLeast"/>
              <w:ind w:right="517"/>
              <w:rPr>
                <w:rFonts w:hint="default" w:ascii="Times New Roman" w:hAnsi="Times New Roman" w:eastAsia="宋体" w:cs="Times New Roman"/>
                <w:color w:val="auto"/>
                <w:sz w:val="22"/>
                <w:lang w:eastAsia="zh-CN"/>
              </w:rPr>
            </w:pPr>
            <w:r>
              <w:rPr>
                <w:rFonts w:hint="default" w:ascii="Times New Roman" w:hAnsi="Times New Roman" w:eastAsia="宋体" w:cs="Times New Roman"/>
                <w:color w:val="auto"/>
                <w:sz w:val="22"/>
              </w:rPr>
              <w:t>偏差</w:t>
            </w:r>
            <w:r>
              <w:rPr>
                <w:rFonts w:hint="default" w:ascii="Times New Roman" w:hAnsi="Times New Roman" w:eastAsia="宋体" w:cs="Times New Roman"/>
                <w:color w:val="auto"/>
                <w:spacing w:val="-3"/>
                <w:sz w:val="22"/>
              </w:rPr>
              <w:t>率</w:t>
            </w:r>
            <w:r>
              <w:rPr>
                <w:rFonts w:hint="default" w:ascii="Times New Roman" w:hAnsi="Times New Roman" w:eastAsia="宋体" w:cs="Times New Roman"/>
                <w:color w:val="auto"/>
                <w:sz w:val="22"/>
              </w:rPr>
              <w:t>=100%</w:t>
            </w:r>
            <w:r>
              <w:rPr>
                <w:rFonts w:hint="default" w:ascii="Times New Roman" w:hAnsi="Times New Roman" w:eastAsia="宋体" w:cs="Times New Roman"/>
                <w:color w:val="auto"/>
                <w:spacing w:val="19"/>
                <w:sz w:val="22"/>
              </w:rPr>
              <w:t xml:space="preserve"> </w:t>
            </w:r>
            <w:r>
              <w:rPr>
                <w:rFonts w:hint="default" w:ascii="Times New Roman" w:hAnsi="Times New Roman" w:eastAsia="宋体" w:cs="Times New Roman"/>
                <w:color w:val="auto"/>
                <w:spacing w:val="-3"/>
                <w:sz w:val="22"/>
              </w:rPr>
              <w:t>×（</w:t>
            </w:r>
            <w:r>
              <w:rPr>
                <w:rFonts w:hint="default" w:ascii="Times New Roman" w:hAnsi="Times New Roman" w:eastAsia="宋体" w:cs="Times New Roman"/>
                <w:color w:val="auto"/>
                <w:sz w:val="22"/>
              </w:rPr>
              <w:t>投</w:t>
            </w:r>
            <w:r>
              <w:rPr>
                <w:rFonts w:hint="default" w:ascii="Times New Roman" w:hAnsi="Times New Roman" w:eastAsia="宋体" w:cs="Times New Roman"/>
                <w:color w:val="auto"/>
                <w:spacing w:val="-3"/>
                <w:sz w:val="22"/>
              </w:rPr>
              <w:t>标人</w:t>
            </w:r>
            <w:r>
              <w:rPr>
                <w:rFonts w:hint="default" w:ascii="Times New Roman" w:hAnsi="Times New Roman" w:eastAsia="宋体" w:cs="Times New Roman"/>
                <w:color w:val="auto"/>
                <w:sz w:val="22"/>
              </w:rPr>
              <w:t>评标</w:t>
            </w:r>
            <w:r>
              <w:rPr>
                <w:rFonts w:hint="default" w:ascii="Times New Roman" w:hAnsi="Times New Roman" w:eastAsia="宋体" w:cs="Times New Roman"/>
                <w:color w:val="auto"/>
                <w:spacing w:val="-3"/>
                <w:sz w:val="22"/>
              </w:rPr>
              <w:t>价</w:t>
            </w:r>
            <w:r>
              <w:rPr>
                <w:rFonts w:hint="default" w:ascii="Times New Roman" w:hAnsi="Times New Roman" w:eastAsia="宋体" w:cs="Times New Roman"/>
                <w:color w:val="auto"/>
                <w:sz w:val="22"/>
              </w:rPr>
              <w:t>－</w:t>
            </w:r>
            <w:r>
              <w:rPr>
                <w:rFonts w:hint="default" w:ascii="Times New Roman" w:hAnsi="Times New Roman" w:eastAsia="宋体" w:cs="Times New Roman"/>
                <w:color w:val="auto"/>
                <w:spacing w:val="-3"/>
                <w:sz w:val="22"/>
              </w:rPr>
              <w:t>评</w:t>
            </w:r>
            <w:r>
              <w:rPr>
                <w:rFonts w:hint="default" w:ascii="Times New Roman" w:hAnsi="Times New Roman" w:eastAsia="宋体" w:cs="Times New Roman"/>
                <w:color w:val="auto"/>
                <w:sz w:val="22"/>
              </w:rPr>
              <w:t>标</w:t>
            </w:r>
            <w:r>
              <w:rPr>
                <w:rFonts w:hint="default" w:ascii="Times New Roman" w:hAnsi="Times New Roman" w:eastAsia="宋体" w:cs="Times New Roman"/>
                <w:color w:val="auto"/>
                <w:spacing w:val="-3"/>
                <w:sz w:val="22"/>
              </w:rPr>
              <w:t>基</w:t>
            </w:r>
            <w:r>
              <w:rPr>
                <w:rFonts w:hint="default" w:ascii="Times New Roman" w:hAnsi="Times New Roman" w:eastAsia="宋体" w:cs="Times New Roman"/>
                <w:color w:val="auto"/>
                <w:sz w:val="22"/>
              </w:rPr>
              <w:t>准</w:t>
            </w:r>
            <w:r>
              <w:rPr>
                <w:rFonts w:hint="default" w:ascii="Times New Roman" w:hAnsi="Times New Roman" w:eastAsia="宋体" w:cs="Times New Roman"/>
                <w:color w:val="auto"/>
                <w:spacing w:val="-3"/>
                <w:sz w:val="22"/>
              </w:rPr>
              <w:t>价</w:t>
            </w:r>
            <w:r>
              <w:rPr>
                <w:rFonts w:hint="default" w:ascii="Times New Roman" w:hAnsi="Times New Roman" w:eastAsia="宋体" w:cs="Times New Roman"/>
                <w:color w:val="auto"/>
                <w:sz w:val="22"/>
              </w:rPr>
              <w:t>）/</w:t>
            </w:r>
            <w:r>
              <w:rPr>
                <w:rFonts w:hint="default" w:ascii="Times New Roman" w:hAnsi="Times New Roman" w:eastAsia="宋体" w:cs="Times New Roman"/>
                <w:color w:val="auto"/>
                <w:spacing w:val="-3"/>
                <w:sz w:val="22"/>
              </w:rPr>
              <w:t>评</w:t>
            </w:r>
            <w:r>
              <w:rPr>
                <w:rFonts w:hint="default" w:ascii="Times New Roman" w:hAnsi="Times New Roman" w:eastAsia="宋体" w:cs="Times New Roman"/>
                <w:color w:val="auto"/>
                <w:sz w:val="22"/>
              </w:rPr>
              <w:t>标基</w:t>
            </w:r>
            <w:r>
              <w:rPr>
                <w:rFonts w:hint="default" w:ascii="Times New Roman" w:hAnsi="Times New Roman" w:eastAsia="宋体" w:cs="Times New Roman"/>
                <w:color w:val="auto"/>
                <w:spacing w:val="-3"/>
                <w:sz w:val="22"/>
              </w:rPr>
              <w:t>准</w:t>
            </w:r>
            <w:r>
              <w:rPr>
                <w:rFonts w:hint="default" w:ascii="Times New Roman" w:hAnsi="Times New Roman" w:eastAsia="宋体" w:cs="Times New Roman"/>
                <w:color w:val="auto"/>
                <w:sz w:val="22"/>
              </w:rPr>
              <w:t>价</w:t>
            </w:r>
            <w:r>
              <w:rPr>
                <w:rFonts w:hint="default" w:ascii="Times New Roman" w:hAnsi="Times New Roman" w:eastAsia="宋体" w:cs="Times New Roman"/>
                <w:color w:val="auto"/>
                <w:sz w:val="22"/>
                <w:lang w:eastAsia="zh-CN"/>
              </w:rPr>
              <w:t>；</w:t>
            </w:r>
          </w:p>
          <w:p w14:paraId="4E2D7A70">
            <w:pPr>
              <w:pStyle w:val="8"/>
              <w:tabs>
                <w:tab w:val="left" w:pos="1998"/>
              </w:tabs>
              <w:spacing w:before="38" w:line="340" w:lineRule="atLeast"/>
              <w:ind w:right="517"/>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偏差</w:t>
            </w:r>
            <w:r>
              <w:rPr>
                <w:rFonts w:hint="default" w:ascii="Times New Roman" w:hAnsi="Times New Roman" w:eastAsia="宋体" w:cs="Times New Roman"/>
                <w:color w:val="auto"/>
                <w:spacing w:val="-3"/>
                <w:sz w:val="22"/>
              </w:rPr>
              <w:t>率</w:t>
            </w:r>
            <w:r>
              <w:rPr>
                <w:rFonts w:hint="default" w:ascii="Times New Roman" w:hAnsi="Times New Roman" w:eastAsia="宋体" w:cs="Times New Roman"/>
                <w:color w:val="auto"/>
                <w:sz w:val="22"/>
              </w:rPr>
              <w:t>保</w:t>
            </w:r>
            <w:r>
              <w:rPr>
                <w:rFonts w:hint="default" w:ascii="Times New Roman" w:hAnsi="Times New Roman" w:eastAsia="宋体" w:cs="Times New Roman"/>
                <w:color w:val="auto"/>
                <w:spacing w:val="-3"/>
                <w:sz w:val="22"/>
              </w:rPr>
              <w:t>留</w:t>
            </w:r>
            <w:r>
              <w:rPr>
                <w:rFonts w:hint="default" w:ascii="Times New Roman" w:hAnsi="Times New Roman" w:eastAsia="宋体" w:cs="Times New Roman"/>
                <w:color w:val="auto"/>
                <w:spacing w:val="-3"/>
                <w:sz w:val="22"/>
                <w:u w:val="single"/>
              </w:rPr>
              <w:t xml:space="preserve"> 2 </w:t>
            </w:r>
            <w:r>
              <w:rPr>
                <w:rFonts w:hint="default" w:ascii="Times New Roman" w:hAnsi="Times New Roman" w:eastAsia="宋体" w:cs="Times New Roman"/>
                <w:color w:val="auto"/>
                <w:sz w:val="22"/>
              </w:rPr>
              <w:t>位</w:t>
            </w:r>
            <w:r>
              <w:rPr>
                <w:rFonts w:hint="default" w:ascii="Times New Roman" w:hAnsi="Times New Roman" w:eastAsia="宋体" w:cs="Times New Roman"/>
                <w:color w:val="auto"/>
                <w:spacing w:val="-3"/>
                <w:sz w:val="22"/>
              </w:rPr>
              <w:t>小数</w:t>
            </w:r>
          </w:p>
        </w:tc>
      </w:tr>
    </w:tbl>
    <w:p w14:paraId="1CEAEF36">
      <w:pPr>
        <w:spacing w:line="340" w:lineRule="atLeast"/>
        <w:rPr>
          <w:rFonts w:hint="default" w:ascii="Times New Roman" w:hAnsi="Times New Roman" w:eastAsia="宋体" w:cs="Times New Roman"/>
          <w:color w:val="auto"/>
          <w:sz w:val="22"/>
        </w:rPr>
        <w:sectPr>
          <w:pgSz w:w="11910" w:h="16850"/>
          <w:pgMar w:top="1460" w:right="1120" w:bottom="1280" w:left="1220" w:header="882" w:footer="1093" w:gutter="0"/>
          <w:pgBorders>
            <w:top w:val="none" w:sz="0" w:space="0"/>
            <w:left w:val="none" w:sz="0" w:space="0"/>
            <w:bottom w:val="none" w:sz="0" w:space="0"/>
            <w:right w:val="none" w:sz="0" w:space="0"/>
          </w:pgBorders>
          <w:cols w:space="720" w:num="1"/>
        </w:sectPr>
      </w:pPr>
    </w:p>
    <w:p w14:paraId="027886D3">
      <w:pPr>
        <w:spacing w:before="72" w:after="3"/>
        <w:ind w:right="462"/>
        <w:jc w:val="righ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续上表</w:t>
      </w:r>
    </w:p>
    <w:tbl>
      <w:tblPr>
        <w:tblStyle w:val="5"/>
        <w:tblW w:w="9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9"/>
        <w:gridCol w:w="628"/>
        <w:gridCol w:w="634"/>
        <w:gridCol w:w="1069"/>
        <w:gridCol w:w="1201"/>
        <w:gridCol w:w="709"/>
        <w:gridCol w:w="3542"/>
      </w:tblGrid>
      <w:tr w14:paraId="55954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399" w:type="dxa"/>
            <w:vMerge w:val="restart"/>
            <w:tcBorders>
              <w:top w:val="double" w:color="000000" w:sz="4" w:space="0"/>
              <w:left w:val="double" w:color="000000" w:sz="4" w:space="0"/>
              <w:bottom w:val="single" w:color="000000" w:sz="4" w:space="0"/>
            </w:tcBorders>
            <w:vAlign w:val="center"/>
          </w:tcPr>
          <w:p w14:paraId="2B3BB329">
            <w:pPr>
              <w:bidi w:val="0"/>
              <w:jc w:val="center"/>
              <w:rPr>
                <w:rFonts w:hint="eastAsia" w:ascii="宋体" w:hAnsi="宋体" w:eastAsia="宋体" w:cs="宋体"/>
                <w:sz w:val="21"/>
                <w:szCs w:val="21"/>
              </w:rPr>
            </w:pPr>
          </w:p>
          <w:p w14:paraId="7C85C2D2">
            <w:pPr>
              <w:bidi w:val="0"/>
              <w:jc w:val="center"/>
              <w:rPr>
                <w:rFonts w:hint="eastAsia" w:ascii="宋体" w:hAnsi="宋体" w:eastAsia="宋体" w:cs="宋体"/>
                <w:sz w:val="21"/>
                <w:szCs w:val="21"/>
              </w:rPr>
            </w:pPr>
          </w:p>
          <w:p w14:paraId="3D4C6811">
            <w:pPr>
              <w:bidi w:val="0"/>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4241" w:type="dxa"/>
            <w:gridSpan w:val="5"/>
            <w:tcBorders>
              <w:top w:val="double" w:color="000000" w:sz="4" w:space="0"/>
              <w:bottom w:val="single" w:color="000000" w:sz="4" w:space="0"/>
            </w:tcBorders>
            <w:vAlign w:val="center"/>
          </w:tcPr>
          <w:p w14:paraId="36F9C2D0">
            <w:pPr>
              <w:bidi w:val="0"/>
              <w:jc w:val="center"/>
              <w:rPr>
                <w:rFonts w:hint="eastAsia" w:ascii="宋体" w:hAnsi="宋体" w:eastAsia="宋体" w:cs="宋体"/>
                <w:sz w:val="21"/>
                <w:szCs w:val="21"/>
              </w:rPr>
            </w:pPr>
            <w:r>
              <w:rPr>
                <w:rFonts w:hint="eastAsia" w:ascii="宋体" w:hAnsi="宋体" w:eastAsia="宋体" w:cs="宋体"/>
                <w:sz w:val="21"/>
                <w:szCs w:val="21"/>
              </w:rPr>
              <w:t>评分因素与权重分值</w:t>
            </w:r>
          </w:p>
        </w:tc>
        <w:tc>
          <w:tcPr>
            <w:tcW w:w="3542" w:type="dxa"/>
            <w:vMerge w:val="restart"/>
            <w:tcBorders>
              <w:top w:val="double" w:color="000000" w:sz="4" w:space="0"/>
              <w:bottom w:val="single" w:color="000000" w:sz="4" w:space="0"/>
              <w:right w:val="double" w:color="000000" w:sz="4" w:space="0"/>
            </w:tcBorders>
            <w:vAlign w:val="center"/>
          </w:tcPr>
          <w:p w14:paraId="099C4283">
            <w:pPr>
              <w:bidi w:val="0"/>
              <w:jc w:val="center"/>
              <w:rPr>
                <w:rFonts w:hint="eastAsia" w:ascii="宋体" w:hAnsi="宋体" w:eastAsia="宋体" w:cs="宋体"/>
                <w:sz w:val="21"/>
                <w:szCs w:val="21"/>
              </w:rPr>
            </w:pPr>
          </w:p>
          <w:p w14:paraId="66DB29F7">
            <w:pPr>
              <w:bidi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14:paraId="664B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1399" w:type="dxa"/>
            <w:vMerge w:val="continue"/>
            <w:tcBorders>
              <w:top w:val="single" w:color="000000" w:sz="4" w:space="0"/>
              <w:left w:val="double" w:color="000000" w:sz="4" w:space="0"/>
              <w:bottom w:val="single" w:color="000000" w:sz="4" w:space="0"/>
            </w:tcBorders>
            <w:vAlign w:val="center"/>
          </w:tcPr>
          <w:p w14:paraId="72C39013">
            <w:pPr>
              <w:bidi w:val="0"/>
              <w:jc w:val="center"/>
              <w:rPr>
                <w:rFonts w:hint="eastAsia" w:ascii="宋体" w:hAnsi="宋体" w:eastAsia="宋体" w:cs="宋体"/>
                <w:sz w:val="21"/>
                <w:szCs w:val="21"/>
              </w:rPr>
            </w:pPr>
          </w:p>
        </w:tc>
        <w:tc>
          <w:tcPr>
            <w:tcW w:w="1262" w:type="dxa"/>
            <w:gridSpan w:val="2"/>
            <w:tcBorders>
              <w:top w:val="single" w:color="000000" w:sz="4" w:space="0"/>
              <w:bottom w:val="single" w:color="000000" w:sz="4" w:space="0"/>
            </w:tcBorders>
            <w:vAlign w:val="center"/>
          </w:tcPr>
          <w:p w14:paraId="416022DB">
            <w:pPr>
              <w:bidi w:val="0"/>
              <w:jc w:val="center"/>
              <w:rPr>
                <w:rFonts w:hint="eastAsia" w:ascii="宋体" w:hAnsi="宋体" w:eastAsia="宋体" w:cs="宋体"/>
                <w:sz w:val="21"/>
                <w:szCs w:val="21"/>
              </w:rPr>
            </w:pPr>
          </w:p>
          <w:p w14:paraId="1DEEC9F5">
            <w:pPr>
              <w:bidi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069" w:type="dxa"/>
            <w:tcBorders>
              <w:top w:val="single" w:color="000000" w:sz="4" w:space="0"/>
              <w:bottom w:val="single" w:color="000000" w:sz="4" w:space="0"/>
            </w:tcBorders>
            <w:vAlign w:val="center"/>
          </w:tcPr>
          <w:p w14:paraId="41ADBC31">
            <w:pPr>
              <w:bidi w:val="0"/>
              <w:jc w:val="center"/>
              <w:rPr>
                <w:rFonts w:hint="eastAsia" w:ascii="宋体" w:hAnsi="宋体" w:eastAsia="宋体" w:cs="宋体"/>
                <w:sz w:val="21"/>
                <w:szCs w:val="21"/>
              </w:rPr>
            </w:pPr>
            <w:r>
              <w:rPr>
                <w:rFonts w:hint="eastAsia" w:ascii="宋体" w:hAnsi="宋体" w:eastAsia="宋体" w:cs="宋体"/>
                <w:sz w:val="21"/>
                <w:szCs w:val="21"/>
              </w:rPr>
              <w:t>评分因素权重分值</w:t>
            </w:r>
          </w:p>
        </w:tc>
        <w:tc>
          <w:tcPr>
            <w:tcW w:w="1201" w:type="dxa"/>
            <w:tcBorders>
              <w:top w:val="single" w:color="000000" w:sz="4" w:space="0"/>
              <w:bottom w:val="single" w:color="000000" w:sz="4" w:space="0"/>
            </w:tcBorders>
            <w:vAlign w:val="center"/>
          </w:tcPr>
          <w:p w14:paraId="63FF8D0A">
            <w:pPr>
              <w:bidi w:val="0"/>
              <w:jc w:val="center"/>
              <w:rPr>
                <w:rFonts w:hint="eastAsia" w:ascii="宋体" w:hAnsi="宋体" w:eastAsia="宋体" w:cs="宋体"/>
                <w:sz w:val="21"/>
                <w:szCs w:val="21"/>
              </w:rPr>
            </w:pPr>
            <w:r>
              <w:rPr>
                <w:rFonts w:hint="eastAsia" w:ascii="宋体" w:hAnsi="宋体" w:eastAsia="宋体" w:cs="宋体"/>
                <w:sz w:val="21"/>
                <w:szCs w:val="21"/>
              </w:rPr>
              <w:t>各评分因素细分项</w:t>
            </w:r>
          </w:p>
        </w:tc>
        <w:tc>
          <w:tcPr>
            <w:tcW w:w="709" w:type="dxa"/>
            <w:tcBorders>
              <w:top w:val="single" w:color="000000" w:sz="4" w:space="0"/>
              <w:bottom w:val="single" w:color="000000" w:sz="4" w:space="0"/>
            </w:tcBorders>
            <w:vAlign w:val="center"/>
          </w:tcPr>
          <w:p w14:paraId="119729BE">
            <w:pPr>
              <w:bidi w:val="0"/>
              <w:jc w:val="center"/>
              <w:rPr>
                <w:rFonts w:hint="eastAsia" w:ascii="宋体" w:hAnsi="宋体" w:eastAsia="宋体" w:cs="宋体"/>
                <w:sz w:val="21"/>
                <w:szCs w:val="21"/>
              </w:rPr>
            </w:pPr>
            <w:r>
              <w:rPr>
                <w:rFonts w:hint="eastAsia" w:ascii="宋体" w:hAnsi="宋体" w:eastAsia="宋体" w:cs="宋体"/>
                <w:sz w:val="21"/>
                <w:szCs w:val="21"/>
              </w:rPr>
              <w:t>分值</w:t>
            </w:r>
          </w:p>
        </w:tc>
        <w:tc>
          <w:tcPr>
            <w:tcW w:w="3542" w:type="dxa"/>
            <w:vMerge w:val="continue"/>
            <w:tcBorders>
              <w:top w:val="single" w:color="000000" w:sz="4" w:space="0"/>
              <w:bottom w:val="single" w:color="000000" w:sz="4" w:space="0"/>
              <w:right w:val="double" w:color="000000" w:sz="4" w:space="0"/>
            </w:tcBorders>
            <w:vAlign w:val="center"/>
          </w:tcPr>
          <w:p w14:paraId="01282A5A">
            <w:pPr>
              <w:bidi w:val="0"/>
              <w:jc w:val="center"/>
              <w:rPr>
                <w:rFonts w:hint="eastAsia" w:ascii="宋体" w:hAnsi="宋体" w:eastAsia="宋体" w:cs="宋体"/>
                <w:sz w:val="21"/>
                <w:szCs w:val="21"/>
              </w:rPr>
            </w:pPr>
          </w:p>
        </w:tc>
      </w:tr>
      <w:tr w14:paraId="0000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7" w:hRule="atLeast"/>
          <w:jc w:val="center"/>
        </w:trPr>
        <w:tc>
          <w:tcPr>
            <w:tcW w:w="1399" w:type="dxa"/>
            <w:vMerge w:val="restart"/>
            <w:tcBorders>
              <w:top w:val="single" w:color="000000" w:sz="4" w:space="0"/>
              <w:left w:val="double" w:color="000000" w:sz="4" w:space="0"/>
              <w:bottom w:val="single" w:color="000000" w:sz="4" w:space="0"/>
            </w:tcBorders>
            <w:vAlign w:val="center"/>
          </w:tcPr>
          <w:p w14:paraId="41DAF9A2">
            <w:pPr>
              <w:bidi w:val="0"/>
              <w:jc w:val="center"/>
              <w:rPr>
                <w:rFonts w:hint="eastAsia" w:ascii="宋体" w:hAnsi="宋体" w:eastAsia="宋体" w:cs="宋体"/>
                <w:sz w:val="21"/>
                <w:szCs w:val="21"/>
              </w:rPr>
            </w:pPr>
            <w:r>
              <w:rPr>
                <w:rFonts w:hint="eastAsia" w:ascii="宋体" w:hAnsi="宋体" w:eastAsia="宋体" w:cs="宋体"/>
                <w:sz w:val="21"/>
                <w:szCs w:val="21"/>
              </w:rPr>
              <w:t>2.2.4(1)</w:t>
            </w:r>
          </w:p>
        </w:tc>
        <w:tc>
          <w:tcPr>
            <w:tcW w:w="1262" w:type="dxa"/>
            <w:gridSpan w:val="2"/>
            <w:vMerge w:val="restart"/>
            <w:tcBorders>
              <w:top w:val="single" w:color="000000" w:sz="4" w:space="0"/>
              <w:bottom w:val="single" w:color="000000" w:sz="4" w:space="0"/>
            </w:tcBorders>
            <w:vAlign w:val="center"/>
          </w:tcPr>
          <w:p w14:paraId="0AC9B9D0">
            <w:pPr>
              <w:bidi w:val="0"/>
              <w:jc w:val="center"/>
              <w:rPr>
                <w:rFonts w:hint="eastAsia" w:ascii="宋体" w:hAnsi="宋体" w:eastAsia="宋体" w:cs="宋体"/>
                <w:sz w:val="21"/>
                <w:szCs w:val="21"/>
              </w:rPr>
            </w:pPr>
            <w:r>
              <w:rPr>
                <w:rFonts w:hint="eastAsia" w:ascii="宋体" w:hAnsi="宋体" w:eastAsia="宋体" w:cs="宋体"/>
                <w:sz w:val="21"/>
                <w:szCs w:val="21"/>
              </w:rPr>
              <w:t>技术建议书</w:t>
            </w:r>
          </w:p>
        </w:tc>
        <w:tc>
          <w:tcPr>
            <w:tcW w:w="1069" w:type="dxa"/>
            <w:vMerge w:val="restart"/>
            <w:tcBorders>
              <w:top w:val="single" w:color="000000" w:sz="4" w:space="0"/>
              <w:bottom w:val="single" w:color="000000" w:sz="4" w:space="0"/>
            </w:tcBorders>
            <w:vAlign w:val="center"/>
          </w:tcPr>
          <w:p w14:paraId="288323A8">
            <w:pPr>
              <w:bidi w:val="0"/>
              <w:jc w:val="center"/>
              <w:rPr>
                <w:rFonts w:hint="eastAsia" w:ascii="宋体" w:hAnsi="宋体" w:eastAsia="宋体" w:cs="宋体"/>
                <w:sz w:val="21"/>
                <w:szCs w:val="21"/>
              </w:rPr>
            </w:pPr>
            <w:r>
              <w:rPr>
                <w:rFonts w:hint="eastAsia" w:cs="宋体"/>
                <w:sz w:val="21"/>
                <w:szCs w:val="21"/>
                <w:lang w:val="en-US" w:eastAsia="zh-CN"/>
              </w:rPr>
              <w:t>35</w:t>
            </w:r>
            <w:r>
              <w:rPr>
                <w:rFonts w:hint="eastAsia" w:ascii="宋体" w:hAnsi="宋体" w:eastAsia="宋体" w:cs="宋体"/>
                <w:sz w:val="21"/>
                <w:szCs w:val="21"/>
              </w:rPr>
              <w:t>分</w:t>
            </w:r>
          </w:p>
        </w:tc>
        <w:tc>
          <w:tcPr>
            <w:tcW w:w="1201" w:type="dxa"/>
            <w:tcBorders>
              <w:top w:val="single" w:color="000000" w:sz="4" w:space="0"/>
              <w:bottom w:val="single" w:color="000000" w:sz="4" w:space="0"/>
            </w:tcBorders>
            <w:vAlign w:val="center"/>
          </w:tcPr>
          <w:p w14:paraId="4F663434">
            <w:pPr>
              <w:bidi w:val="0"/>
              <w:jc w:val="center"/>
              <w:rPr>
                <w:rFonts w:hint="eastAsia" w:ascii="宋体" w:hAnsi="宋体" w:eastAsia="宋体" w:cs="宋体"/>
                <w:sz w:val="21"/>
                <w:szCs w:val="21"/>
              </w:rPr>
            </w:pPr>
            <w:r>
              <w:rPr>
                <w:rFonts w:hint="eastAsia" w:ascii="宋体" w:hAnsi="宋体" w:eastAsia="宋体" w:cs="宋体"/>
                <w:sz w:val="21"/>
                <w:szCs w:val="21"/>
              </w:rPr>
              <w:t>监理大纲</w:t>
            </w:r>
          </w:p>
          <w:p w14:paraId="32551731">
            <w:pPr>
              <w:bidi w:val="0"/>
              <w:jc w:val="center"/>
              <w:rPr>
                <w:rFonts w:hint="eastAsia" w:ascii="宋体" w:hAnsi="宋体" w:eastAsia="宋体" w:cs="宋体"/>
                <w:sz w:val="21"/>
                <w:szCs w:val="21"/>
              </w:rPr>
            </w:pPr>
            <w:r>
              <w:rPr>
                <w:rFonts w:hint="eastAsia" w:ascii="宋体" w:hAnsi="宋体" w:eastAsia="宋体" w:cs="宋体"/>
                <w:sz w:val="21"/>
                <w:szCs w:val="21"/>
              </w:rPr>
              <w:t>和措施</w:t>
            </w:r>
          </w:p>
        </w:tc>
        <w:tc>
          <w:tcPr>
            <w:tcW w:w="709" w:type="dxa"/>
            <w:tcBorders>
              <w:top w:val="single" w:color="000000" w:sz="4" w:space="0"/>
              <w:bottom w:val="single" w:color="000000" w:sz="4" w:space="0"/>
            </w:tcBorders>
            <w:vAlign w:val="center"/>
          </w:tcPr>
          <w:p w14:paraId="4D8A6F78">
            <w:pPr>
              <w:bidi w:val="0"/>
              <w:jc w:val="center"/>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cs="宋体"/>
                <w:sz w:val="21"/>
                <w:szCs w:val="21"/>
                <w:lang w:val="en-US" w:eastAsia="zh-CN"/>
              </w:rPr>
              <w:t>0</w:t>
            </w:r>
            <w:r>
              <w:rPr>
                <w:rFonts w:hint="eastAsia" w:ascii="宋体" w:hAnsi="宋体" w:eastAsia="宋体" w:cs="宋体"/>
                <w:sz w:val="21"/>
                <w:szCs w:val="21"/>
              </w:rPr>
              <w:t>分</w:t>
            </w:r>
          </w:p>
        </w:tc>
        <w:tc>
          <w:tcPr>
            <w:tcW w:w="3542" w:type="dxa"/>
            <w:tcBorders>
              <w:top w:val="single" w:color="000000" w:sz="4" w:space="0"/>
              <w:bottom w:val="single" w:color="000000" w:sz="4" w:space="0"/>
              <w:right w:val="double" w:color="000000" w:sz="4" w:space="0"/>
            </w:tcBorders>
            <w:vAlign w:val="center"/>
          </w:tcPr>
          <w:p w14:paraId="700AFBFD">
            <w:pPr>
              <w:bidi w:val="0"/>
              <w:jc w:val="both"/>
              <w:rPr>
                <w:rFonts w:hint="eastAsia" w:ascii="宋体" w:hAnsi="宋体" w:eastAsia="宋体" w:cs="宋体"/>
                <w:sz w:val="21"/>
                <w:szCs w:val="21"/>
              </w:rPr>
            </w:pPr>
            <w:r>
              <w:rPr>
                <w:rFonts w:hint="eastAsia" w:ascii="宋体" w:hAnsi="宋体" w:eastAsia="宋体" w:cs="宋体"/>
                <w:sz w:val="21"/>
                <w:szCs w:val="21"/>
              </w:rPr>
              <w:t>1.1.1工程项目概况</w:t>
            </w:r>
          </w:p>
          <w:p w14:paraId="272F1FC7">
            <w:pPr>
              <w:bidi w:val="0"/>
              <w:jc w:val="both"/>
              <w:rPr>
                <w:rFonts w:hint="eastAsia" w:ascii="宋体" w:hAnsi="宋体" w:eastAsia="宋体" w:cs="宋体"/>
                <w:sz w:val="21"/>
                <w:szCs w:val="21"/>
              </w:rPr>
            </w:pPr>
            <w:r>
              <w:rPr>
                <w:rFonts w:hint="eastAsia" w:ascii="宋体" w:hAnsi="宋体" w:eastAsia="宋体" w:cs="宋体"/>
                <w:sz w:val="21"/>
                <w:szCs w:val="21"/>
              </w:rPr>
              <w:t>1.1.2监理目标</w:t>
            </w:r>
          </w:p>
          <w:p w14:paraId="7861E262">
            <w:pPr>
              <w:bidi w:val="0"/>
              <w:jc w:val="both"/>
              <w:rPr>
                <w:rFonts w:hint="eastAsia" w:ascii="宋体" w:hAnsi="宋体" w:eastAsia="宋体" w:cs="宋体"/>
                <w:sz w:val="21"/>
                <w:szCs w:val="21"/>
              </w:rPr>
            </w:pPr>
            <w:r>
              <w:rPr>
                <w:rFonts w:hint="eastAsia" w:ascii="宋体" w:hAnsi="宋体" w:eastAsia="宋体" w:cs="宋体"/>
                <w:sz w:val="21"/>
                <w:szCs w:val="21"/>
              </w:rPr>
              <w:t>1.1.3监理工作范围</w:t>
            </w:r>
          </w:p>
          <w:p w14:paraId="202634AA">
            <w:pPr>
              <w:bidi w:val="0"/>
              <w:jc w:val="both"/>
              <w:rPr>
                <w:rFonts w:hint="eastAsia" w:ascii="宋体" w:hAnsi="宋体" w:eastAsia="宋体" w:cs="宋体"/>
                <w:sz w:val="21"/>
                <w:szCs w:val="21"/>
              </w:rPr>
            </w:pPr>
            <w:r>
              <w:rPr>
                <w:rFonts w:hint="eastAsia" w:ascii="宋体" w:hAnsi="宋体" w:eastAsia="宋体" w:cs="宋体"/>
                <w:sz w:val="21"/>
                <w:szCs w:val="21"/>
              </w:rPr>
              <w:t>1.1.4监理工作内容</w:t>
            </w:r>
          </w:p>
          <w:p w14:paraId="6F3BA5EE">
            <w:pPr>
              <w:bidi w:val="0"/>
              <w:jc w:val="both"/>
              <w:rPr>
                <w:rFonts w:hint="eastAsia" w:ascii="宋体" w:hAnsi="宋体" w:eastAsia="宋体" w:cs="宋体"/>
                <w:sz w:val="21"/>
                <w:szCs w:val="21"/>
              </w:rPr>
            </w:pPr>
            <w:r>
              <w:rPr>
                <w:rFonts w:hint="eastAsia" w:ascii="宋体" w:hAnsi="宋体" w:eastAsia="宋体" w:cs="宋体"/>
                <w:sz w:val="21"/>
                <w:szCs w:val="21"/>
              </w:rPr>
              <w:t>1.1.5监理工作依据</w:t>
            </w:r>
          </w:p>
          <w:p w14:paraId="5FFF0D40">
            <w:pPr>
              <w:bidi w:val="0"/>
              <w:jc w:val="both"/>
              <w:rPr>
                <w:rFonts w:hint="eastAsia" w:ascii="宋体" w:hAnsi="宋体" w:eastAsia="宋体" w:cs="宋体"/>
                <w:sz w:val="21"/>
                <w:szCs w:val="21"/>
              </w:rPr>
            </w:pPr>
            <w:r>
              <w:rPr>
                <w:rFonts w:hint="eastAsia" w:ascii="宋体" w:hAnsi="宋体" w:eastAsia="宋体" w:cs="宋体"/>
                <w:sz w:val="21"/>
                <w:szCs w:val="21"/>
              </w:rPr>
              <w:t>1.1.6监理工作程序</w:t>
            </w:r>
          </w:p>
          <w:p w14:paraId="1741F430">
            <w:pPr>
              <w:bidi w:val="0"/>
              <w:jc w:val="both"/>
              <w:rPr>
                <w:rFonts w:hint="eastAsia" w:ascii="宋体" w:hAnsi="宋体" w:eastAsia="宋体" w:cs="宋体"/>
                <w:sz w:val="21"/>
                <w:szCs w:val="21"/>
              </w:rPr>
            </w:pPr>
            <w:r>
              <w:rPr>
                <w:rFonts w:hint="eastAsia" w:ascii="宋体" w:hAnsi="宋体" w:eastAsia="宋体" w:cs="宋体"/>
                <w:sz w:val="21"/>
                <w:szCs w:val="21"/>
              </w:rPr>
              <w:t>1.1.7监理工作方法及措施</w:t>
            </w:r>
          </w:p>
          <w:p w14:paraId="41AB9E89">
            <w:pPr>
              <w:bidi w:val="0"/>
              <w:jc w:val="both"/>
              <w:rPr>
                <w:rFonts w:hint="eastAsia" w:ascii="宋体" w:hAnsi="宋体" w:eastAsia="宋体" w:cs="宋体"/>
                <w:sz w:val="21"/>
                <w:szCs w:val="21"/>
              </w:rPr>
            </w:pPr>
            <w:r>
              <w:rPr>
                <w:rFonts w:hint="eastAsia" w:ascii="宋体" w:hAnsi="宋体" w:eastAsia="宋体" w:cs="宋体"/>
                <w:sz w:val="21"/>
                <w:szCs w:val="21"/>
              </w:rPr>
              <w:t>1.1.8监理组织机构</w:t>
            </w:r>
          </w:p>
          <w:p w14:paraId="43965E82">
            <w:pPr>
              <w:bidi w:val="0"/>
              <w:jc w:val="both"/>
              <w:rPr>
                <w:rFonts w:hint="eastAsia" w:ascii="宋体" w:hAnsi="宋体" w:eastAsia="宋体" w:cs="宋体"/>
                <w:sz w:val="21"/>
                <w:szCs w:val="21"/>
              </w:rPr>
            </w:pPr>
            <w:r>
              <w:rPr>
                <w:rFonts w:hint="eastAsia" w:ascii="宋体" w:hAnsi="宋体" w:eastAsia="宋体" w:cs="宋体"/>
                <w:sz w:val="21"/>
                <w:szCs w:val="21"/>
              </w:rPr>
              <w:t>1.1.9检测设备及手段</w:t>
            </w:r>
          </w:p>
          <w:p w14:paraId="55B03FF7">
            <w:pPr>
              <w:bidi w:val="0"/>
              <w:jc w:val="both"/>
              <w:rPr>
                <w:rFonts w:hint="eastAsia" w:ascii="宋体" w:hAnsi="宋体" w:eastAsia="宋体" w:cs="宋体"/>
                <w:sz w:val="21"/>
                <w:szCs w:val="21"/>
              </w:rPr>
            </w:pPr>
            <w:r>
              <w:rPr>
                <w:rFonts w:hint="eastAsia" w:ascii="宋体" w:hAnsi="宋体" w:eastAsia="宋体" w:cs="宋体"/>
                <w:sz w:val="21"/>
                <w:szCs w:val="21"/>
              </w:rPr>
              <w:t>1.1.10监理工作管理制度</w:t>
            </w:r>
          </w:p>
          <w:p w14:paraId="252EF96A">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rPr>
              <w:t>1.1.11关键工序、特殊工序、重点部位、关键控制点的控制措施等。</w:t>
            </w:r>
          </w:p>
          <w:p w14:paraId="34C175DF">
            <w:pPr>
              <w:bidi w:val="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内容较完整、措施较好、可操作性较强</w:t>
            </w:r>
            <w:r>
              <w:rPr>
                <w:rFonts w:hint="eastAsia" w:cs="宋体"/>
                <w:sz w:val="21"/>
                <w:szCs w:val="21"/>
                <w:lang w:val="en-US" w:eastAsia="zh-CN"/>
              </w:rPr>
              <w:t>1</w:t>
            </w:r>
            <w:r>
              <w:rPr>
                <w:rFonts w:hint="eastAsia" w:ascii="宋体" w:hAnsi="宋体" w:eastAsia="宋体" w:cs="宋体"/>
                <w:sz w:val="21"/>
                <w:szCs w:val="21"/>
              </w:rPr>
              <w:t>-</w:t>
            </w:r>
            <w:r>
              <w:rPr>
                <w:rFonts w:hint="eastAsia" w:cs="宋体"/>
                <w:sz w:val="21"/>
                <w:szCs w:val="21"/>
                <w:lang w:val="en-US" w:eastAsia="zh-CN"/>
              </w:rPr>
              <w:t>5</w:t>
            </w:r>
            <w:r>
              <w:rPr>
                <w:rFonts w:hint="eastAsia" w:ascii="宋体" w:hAnsi="宋体" w:eastAsia="宋体" w:cs="宋体"/>
                <w:sz w:val="21"/>
                <w:szCs w:val="21"/>
              </w:rPr>
              <w:t>分；</w:t>
            </w:r>
          </w:p>
          <w:p w14:paraId="332B1580">
            <w:pPr>
              <w:bidi w:val="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内容完整、措施全面、可操作性强</w:t>
            </w:r>
            <w:r>
              <w:rPr>
                <w:rFonts w:hint="eastAsia"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rPr>
              <w:t>1</w:t>
            </w:r>
            <w:r>
              <w:rPr>
                <w:rFonts w:hint="eastAsia" w:cs="宋体"/>
                <w:sz w:val="21"/>
                <w:szCs w:val="21"/>
                <w:lang w:val="en-US" w:eastAsia="zh-CN"/>
              </w:rPr>
              <w:t>0</w:t>
            </w:r>
            <w:r>
              <w:rPr>
                <w:rFonts w:hint="eastAsia" w:ascii="宋体" w:hAnsi="宋体" w:eastAsia="宋体" w:cs="宋体"/>
                <w:sz w:val="21"/>
                <w:szCs w:val="21"/>
              </w:rPr>
              <w:t>分（含</w:t>
            </w:r>
            <w:r>
              <w:rPr>
                <w:rFonts w:hint="eastAsia" w:cs="宋体"/>
                <w:sz w:val="21"/>
                <w:szCs w:val="21"/>
                <w:lang w:val="en-US" w:eastAsia="zh-CN"/>
              </w:rPr>
              <w:t>5</w:t>
            </w:r>
            <w:r>
              <w:rPr>
                <w:rFonts w:hint="eastAsia" w:ascii="宋体" w:hAnsi="宋体" w:eastAsia="宋体" w:cs="宋体"/>
                <w:sz w:val="21"/>
                <w:szCs w:val="21"/>
              </w:rPr>
              <w:t>分）。</w:t>
            </w:r>
          </w:p>
          <w:p w14:paraId="4019EB8D">
            <w:pPr>
              <w:bidi w:val="0"/>
              <w:jc w:val="both"/>
              <w:rPr>
                <w:rFonts w:hint="default" w:ascii="宋体" w:hAnsi="宋体" w:eastAsia="宋体" w:cs="宋体"/>
                <w:sz w:val="21"/>
                <w:szCs w:val="21"/>
                <w:lang w:val="en-US" w:eastAsia="zh-CN"/>
              </w:rPr>
            </w:pPr>
            <w:r>
              <w:rPr>
                <w:rFonts w:hint="eastAsia" w:cs="宋体"/>
                <w:sz w:val="21"/>
                <w:szCs w:val="21"/>
                <w:lang w:val="en-US" w:eastAsia="zh-CN"/>
              </w:rPr>
              <w:t>没有不得分。</w:t>
            </w:r>
          </w:p>
        </w:tc>
      </w:tr>
      <w:tr w14:paraId="4A4D1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jc w:val="center"/>
        </w:trPr>
        <w:tc>
          <w:tcPr>
            <w:tcW w:w="1399" w:type="dxa"/>
            <w:vMerge w:val="continue"/>
            <w:tcBorders>
              <w:left w:val="double" w:color="000000" w:sz="4" w:space="0"/>
            </w:tcBorders>
            <w:vAlign w:val="center"/>
          </w:tcPr>
          <w:p w14:paraId="335237B8">
            <w:pPr>
              <w:bidi w:val="0"/>
              <w:jc w:val="center"/>
              <w:rPr>
                <w:rFonts w:hint="eastAsia" w:ascii="宋体" w:hAnsi="宋体" w:eastAsia="宋体" w:cs="宋体"/>
                <w:sz w:val="21"/>
                <w:szCs w:val="21"/>
              </w:rPr>
            </w:pPr>
          </w:p>
        </w:tc>
        <w:tc>
          <w:tcPr>
            <w:tcW w:w="1262" w:type="dxa"/>
            <w:gridSpan w:val="2"/>
            <w:vMerge w:val="continue"/>
            <w:vAlign w:val="center"/>
          </w:tcPr>
          <w:p w14:paraId="7E0385A5">
            <w:pPr>
              <w:bidi w:val="0"/>
              <w:jc w:val="center"/>
              <w:rPr>
                <w:rFonts w:hint="eastAsia" w:ascii="宋体" w:hAnsi="宋体" w:eastAsia="宋体" w:cs="宋体"/>
                <w:sz w:val="21"/>
                <w:szCs w:val="21"/>
              </w:rPr>
            </w:pPr>
          </w:p>
        </w:tc>
        <w:tc>
          <w:tcPr>
            <w:tcW w:w="1069" w:type="dxa"/>
            <w:vMerge w:val="continue"/>
            <w:vAlign w:val="center"/>
          </w:tcPr>
          <w:p w14:paraId="54E844D4">
            <w:pPr>
              <w:bidi w:val="0"/>
              <w:jc w:val="center"/>
              <w:rPr>
                <w:rFonts w:hint="eastAsia" w:ascii="宋体" w:hAnsi="宋体" w:eastAsia="宋体" w:cs="宋体"/>
                <w:sz w:val="21"/>
                <w:szCs w:val="21"/>
              </w:rPr>
            </w:pPr>
          </w:p>
        </w:tc>
        <w:tc>
          <w:tcPr>
            <w:tcW w:w="1201" w:type="dxa"/>
            <w:tcBorders>
              <w:top w:val="single" w:color="000000" w:sz="4" w:space="0"/>
              <w:bottom w:val="single" w:color="000000" w:sz="4" w:space="0"/>
            </w:tcBorders>
            <w:vAlign w:val="center"/>
          </w:tcPr>
          <w:p w14:paraId="6A2DB8E8">
            <w:pPr>
              <w:bidi w:val="0"/>
              <w:jc w:val="center"/>
              <w:rPr>
                <w:rFonts w:hint="eastAsia" w:ascii="宋体" w:hAnsi="宋体" w:eastAsia="宋体" w:cs="宋体"/>
                <w:sz w:val="21"/>
                <w:szCs w:val="21"/>
              </w:rPr>
            </w:pPr>
            <w:r>
              <w:rPr>
                <w:rFonts w:hint="eastAsia" w:ascii="宋体" w:hAnsi="宋体" w:eastAsia="宋体" w:cs="宋体"/>
                <w:sz w:val="21"/>
                <w:szCs w:val="21"/>
              </w:rPr>
              <w:t>质量控制方案</w:t>
            </w:r>
          </w:p>
        </w:tc>
        <w:tc>
          <w:tcPr>
            <w:tcW w:w="709" w:type="dxa"/>
            <w:tcBorders>
              <w:top w:val="single" w:color="000000" w:sz="4" w:space="0"/>
              <w:bottom w:val="single" w:color="000000" w:sz="4" w:space="0"/>
            </w:tcBorders>
            <w:vAlign w:val="center"/>
          </w:tcPr>
          <w:p w14:paraId="304FBEC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分</w:t>
            </w:r>
          </w:p>
        </w:tc>
        <w:tc>
          <w:tcPr>
            <w:tcW w:w="3542" w:type="dxa"/>
            <w:tcBorders>
              <w:top w:val="single" w:color="000000" w:sz="4" w:space="0"/>
              <w:bottom w:val="single" w:color="000000" w:sz="4" w:space="0"/>
              <w:right w:val="double" w:color="000000" w:sz="4" w:space="0"/>
            </w:tcBorders>
            <w:vAlign w:val="center"/>
          </w:tcPr>
          <w:p w14:paraId="7076C376">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rPr>
              <w:t>质量控制方案中有各阶段质量控制目标得明确得5 分；叙述基本明确得3分；叙述一般者，得1分；没有不得分。</w:t>
            </w:r>
          </w:p>
        </w:tc>
      </w:tr>
      <w:tr w14:paraId="6DFE7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jc w:val="center"/>
        </w:trPr>
        <w:tc>
          <w:tcPr>
            <w:tcW w:w="1399" w:type="dxa"/>
            <w:vMerge w:val="continue"/>
            <w:tcBorders>
              <w:left w:val="double" w:color="000000" w:sz="4" w:space="0"/>
            </w:tcBorders>
            <w:vAlign w:val="center"/>
          </w:tcPr>
          <w:p w14:paraId="17902523">
            <w:pPr>
              <w:bidi w:val="0"/>
              <w:jc w:val="center"/>
              <w:rPr>
                <w:rFonts w:hint="eastAsia" w:ascii="宋体" w:hAnsi="宋体" w:eastAsia="宋体" w:cs="宋体"/>
                <w:sz w:val="21"/>
                <w:szCs w:val="21"/>
              </w:rPr>
            </w:pPr>
          </w:p>
        </w:tc>
        <w:tc>
          <w:tcPr>
            <w:tcW w:w="1262" w:type="dxa"/>
            <w:gridSpan w:val="2"/>
            <w:vMerge w:val="continue"/>
            <w:vAlign w:val="center"/>
          </w:tcPr>
          <w:p w14:paraId="69A877EC">
            <w:pPr>
              <w:bidi w:val="0"/>
              <w:jc w:val="center"/>
              <w:rPr>
                <w:rFonts w:hint="eastAsia" w:ascii="宋体" w:hAnsi="宋体" w:eastAsia="宋体" w:cs="宋体"/>
                <w:sz w:val="21"/>
                <w:szCs w:val="21"/>
              </w:rPr>
            </w:pPr>
          </w:p>
        </w:tc>
        <w:tc>
          <w:tcPr>
            <w:tcW w:w="1069" w:type="dxa"/>
            <w:vMerge w:val="continue"/>
            <w:vAlign w:val="center"/>
          </w:tcPr>
          <w:p w14:paraId="5ECC420F">
            <w:pPr>
              <w:bidi w:val="0"/>
              <w:jc w:val="center"/>
              <w:rPr>
                <w:rFonts w:hint="eastAsia" w:ascii="宋体" w:hAnsi="宋体" w:eastAsia="宋体" w:cs="宋体"/>
                <w:sz w:val="21"/>
                <w:szCs w:val="21"/>
              </w:rPr>
            </w:pPr>
          </w:p>
        </w:tc>
        <w:tc>
          <w:tcPr>
            <w:tcW w:w="1201" w:type="dxa"/>
            <w:tcBorders>
              <w:top w:val="single" w:color="000000" w:sz="4" w:space="0"/>
              <w:bottom w:val="single" w:color="000000" w:sz="4" w:space="0"/>
            </w:tcBorders>
            <w:vAlign w:val="center"/>
          </w:tcPr>
          <w:p w14:paraId="6A601714">
            <w:pPr>
              <w:bidi w:val="0"/>
              <w:jc w:val="center"/>
              <w:rPr>
                <w:rFonts w:hint="eastAsia" w:ascii="宋体" w:hAnsi="宋体" w:eastAsia="宋体" w:cs="宋体"/>
                <w:sz w:val="21"/>
                <w:szCs w:val="21"/>
              </w:rPr>
            </w:pPr>
            <w:r>
              <w:rPr>
                <w:rFonts w:hint="eastAsia" w:ascii="宋体" w:hAnsi="宋体" w:eastAsia="宋体" w:cs="宋体"/>
                <w:sz w:val="21"/>
                <w:szCs w:val="21"/>
              </w:rPr>
              <w:t>进度控制措施</w:t>
            </w:r>
          </w:p>
        </w:tc>
        <w:tc>
          <w:tcPr>
            <w:tcW w:w="709" w:type="dxa"/>
            <w:tcBorders>
              <w:top w:val="single" w:color="000000" w:sz="4" w:space="0"/>
              <w:bottom w:val="single" w:color="000000" w:sz="4" w:space="0"/>
            </w:tcBorders>
            <w:vAlign w:val="center"/>
          </w:tcPr>
          <w:p w14:paraId="0880E05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3542" w:type="dxa"/>
            <w:tcBorders>
              <w:top w:val="single" w:color="000000" w:sz="4" w:space="0"/>
              <w:bottom w:val="single" w:color="000000" w:sz="4" w:space="0"/>
              <w:right w:val="double" w:color="000000" w:sz="4" w:space="0"/>
            </w:tcBorders>
            <w:vAlign w:val="center"/>
          </w:tcPr>
          <w:p w14:paraId="751797D6">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rPr>
              <w:t>进度控制措施明确，得5 分；措施一般者得3分；措施较差，得1分；没有不得分。</w:t>
            </w:r>
          </w:p>
        </w:tc>
      </w:tr>
      <w:tr w14:paraId="1E76B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jc w:val="center"/>
        </w:trPr>
        <w:tc>
          <w:tcPr>
            <w:tcW w:w="1399" w:type="dxa"/>
            <w:vMerge w:val="continue"/>
            <w:tcBorders>
              <w:left w:val="double" w:color="000000" w:sz="4" w:space="0"/>
            </w:tcBorders>
            <w:vAlign w:val="center"/>
          </w:tcPr>
          <w:p w14:paraId="63944BB8">
            <w:pPr>
              <w:bidi w:val="0"/>
              <w:jc w:val="center"/>
              <w:rPr>
                <w:rFonts w:hint="eastAsia" w:ascii="宋体" w:hAnsi="宋体" w:eastAsia="宋体" w:cs="宋体"/>
                <w:sz w:val="21"/>
                <w:szCs w:val="21"/>
              </w:rPr>
            </w:pPr>
          </w:p>
        </w:tc>
        <w:tc>
          <w:tcPr>
            <w:tcW w:w="1262" w:type="dxa"/>
            <w:gridSpan w:val="2"/>
            <w:vMerge w:val="continue"/>
            <w:vAlign w:val="center"/>
          </w:tcPr>
          <w:p w14:paraId="3E9605AE">
            <w:pPr>
              <w:bidi w:val="0"/>
              <w:jc w:val="center"/>
              <w:rPr>
                <w:rFonts w:hint="eastAsia" w:ascii="宋体" w:hAnsi="宋体" w:eastAsia="宋体" w:cs="宋体"/>
                <w:sz w:val="21"/>
                <w:szCs w:val="21"/>
              </w:rPr>
            </w:pPr>
          </w:p>
        </w:tc>
        <w:tc>
          <w:tcPr>
            <w:tcW w:w="1069" w:type="dxa"/>
            <w:vMerge w:val="continue"/>
            <w:vAlign w:val="center"/>
          </w:tcPr>
          <w:p w14:paraId="4AF471FC">
            <w:pPr>
              <w:bidi w:val="0"/>
              <w:jc w:val="center"/>
              <w:rPr>
                <w:rFonts w:hint="eastAsia" w:ascii="宋体" w:hAnsi="宋体" w:eastAsia="宋体" w:cs="宋体"/>
                <w:sz w:val="21"/>
                <w:szCs w:val="21"/>
              </w:rPr>
            </w:pPr>
          </w:p>
        </w:tc>
        <w:tc>
          <w:tcPr>
            <w:tcW w:w="1201" w:type="dxa"/>
            <w:tcBorders>
              <w:top w:val="single" w:color="000000" w:sz="4" w:space="0"/>
              <w:bottom w:val="single" w:color="000000" w:sz="4" w:space="0"/>
            </w:tcBorders>
            <w:vAlign w:val="center"/>
          </w:tcPr>
          <w:p w14:paraId="77AC0974">
            <w:pPr>
              <w:bidi w:val="0"/>
              <w:jc w:val="center"/>
              <w:rPr>
                <w:rFonts w:hint="eastAsia" w:ascii="宋体" w:hAnsi="宋体" w:eastAsia="宋体" w:cs="宋体"/>
                <w:sz w:val="21"/>
                <w:szCs w:val="21"/>
                <w:lang w:val="zh-CN" w:eastAsia="zh-CN"/>
              </w:rPr>
            </w:pPr>
            <w:r>
              <w:rPr>
                <w:rFonts w:hint="eastAsia" w:ascii="宋体" w:hAnsi="宋体" w:eastAsia="宋体" w:cs="宋体"/>
                <w:sz w:val="21"/>
                <w:szCs w:val="21"/>
              </w:rPr>
              <w:t>竣工阶段的管理措施</w:t>
            </w:r>
          </w:p>
        </w:tc>
        <w:tc>
          <w:tcPr>
            <w:tcW w:w="709" w:type="dxa"/>
            <w:tcBorders>
              <w:top w:val="single" w:color="000000" w:sz="4" w:space="0"/>
              <w:bottom w:val="single" w:color="000000" w:sz="4" w:space="0"/>
            </w:tcBorders>
            <w:vAlign w:val="center"/>
          </w:tcPr>
          <w:p w14:paraId="37D16BD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分</w:t>
            </w:r>
          </w:p>
        </w:tc>
        <w:tc>
          <w:tcPr>
            <w:tcW w:w="3542" w:type="dxa"/>
            <w:tcBorders>
              <w:top w:val="single" w:color="000000" w:sz="4" w:space="0"/>
              <w:bottom w:val="single" w:color="000000" w:sz="4" w:space="0"/>
              <w:right w:val="double" w:color="000000" w:sz="4" w:space="0"/>
            </w:tcBorders>
            <w:vAlign w:val="center"/>
          </w:tcPr>
          <w:p w14:paraId="64DABAE3">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rPr>
              <w:t>竣工阶段的管理措施措施明确得5分；措施一般者得3分；措施较差得1分；没有不得分</w:t>
            </w:r>
            <w:r>
              <w:rPr>
                <w:rFonts w:hint="eastAsia" w:ascii="宋体" w:hAnsi="宋体" w:eastAsia="宋体" w:cs="宋体"/>
                <w:sz w:val="21"/>
                <w:szCs w:val="21"/>
                <w:lang w:eastAsia="zh-CN"/>
              </w:rPr>
              <w:t>。</w:t>
            </w:r>
          </w:p>
        </w:tc>
      </w:tr>
      <w:tr w14:paraId="520A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jc w:val="center"/>
        </w:trPr>
        <w:tc>
          <w:tcPr>
            <w:tcW w:w="1399" w:type="dxa"/>
            <w:vMerge w:val="continue"/>
            <w:tcBorders>
              <w:top w:val="single" w:color="000000" w:sz="4" w:space="0"/>
              <w:left w:val="double" w:color="000000" w:sz="4" w:space="0"/>
              <w:bottom w:val="single" w:color="000000" w:sz="4" w:space="0"/>
            </w:tcBorders>
            <w:vAlign w:val="center"/>
          </w:tcPr>
          <w:p w14:paraId="41D383B4">
            <w:pPr>
              <w:bidi w:val="0"/>
              <w:jc w:val="center"/>
              <w:rPr>
                <w:rFonts w:hint="eastAsia" w:ascii="宋体" w:hAnsi="宋体" w:eastAsia="宋体" w:cs="宋体"/>
                <w:sz w:val="21"/>
                <w:szCs w:val="21"/>
              </w:rPr>
            </w:pPr>
          </w:p>
        </w:tc>
        <w:tc>
          <w:tcPr>
            <w:tcW w:w="1262" w:type="dxa"/>
            <w:gridSpan w:val="2"/>
            <w:vMerge w:val="continue"/>
            <w:tcBorders>
              <w:top w:val="single" w:color="000000" w:sz="4" w:space="0"/>
              <w:bottom w:val="single" w:color="000000" w:sz="4" w:space="0"/>
            </w:tcBorders>
            <w:vAlign w:val="center"/>
          </w:tcPr>
          <w:p w14:paraId="6EAB5BB1">
            <w:pPr>
              <w:bidi w:val="0"/>
              <w:jc w:val="center"/>
              <w:rPr>
                <w:rFonts w:hint="eastAsia" w:ascii="宋体" w:hAnsi="宋体" w:eastAsia="宋体" w:cs="宋体"/>
                <w:sz w:val="21"/>
                <w:szCs w:val="21"/>
              </w:rPr>
            </w:pPr>
          </w:p>
        </w:tc>
        <w:tc>
          <w:tcPr>
            <w:tcW w:w="1069" w:type="dxa"/>
            <w:vMerge w:val="continue"/>
            <w:tcBorders>
              <w:top w:val="single" w:color="000000" w:sz="4" w:space="0"/>
              <w:bottom w:val="single" w:color="000000" w:sz="4" w:space="0"/>
            </w:tcBorders>
            <w:vAlign w:val="center"/>
          </w:tcPr>
          <w:p w14:paraId="29AA4890">
            <w:pPr>
              <w:bidi w:val="0"/>
              <w:jc w:val="center"/>
              <w:rPr>
                <w:rFonts w:hint="eastAsia" w:ascii="宋体" w:hAnsi="宋体" w:eastAsia="宋体" w:cs="宋体"/>
                <w:sz w:val="21"/>
                <w:szCs w:val="21"/>
              </w:rPr>
            </w:pPr>
          </w:p>
        </w:tc>
        <w:tc>
          <w:tcPr>
            <w:tcW w:w="1201" w:type="dxa"/>
            <w:tcBorders>
              <w:top w:val="single" w:color="000000" w:sz="4" w:space="0"/>
              <w:bottom w:val="single" w:color="000000" w:sz="4" w:space="0"/>
            </w:tcBorders>
            <w:vAlign w:val="center"/>
          </w:tcPr>
          <w:p w14:paraId="5EC3BC0A">
            <w:pPr>
              <w:bidi w:val="0"/>
              <w:jc w:val="center"/>
              <w:rPr>
                <w:rFonts w:hint="eastAsia" w:ascii="宋体" w:hAnsi="宋体" w:eastAsia="宋体" w:cs="宋体"/>
                <w:sz w:val="21"/>
                <w:szCs w:val="21"/>
              </w:rPr>
            </w:pPr>
            <w:r>
              <w:rPr>
                <w:rFonts w:hint="eastAsia" w:ascii="宋体" w:hAnsi="宋体" w:eastAsia="宋体" w:cs="宋体"/>
                <w:sz w:val="21"/>
                <w:szCs w:val="21"/>
              </w:rPr>
              <w:t>本工程监理工作的重点与难点分析</w:t>
            </w:r>
          </w:p>
        </w:tc>
        <w:tc>
          <w:tcPr>
            <w:tcW w:w="709" w:type="dxa"/>
            <w:tcBorders>
              <w:top w:val="single" w:color="000000" w:sz="4" w:space="0"/>
              <w:bottom w:val="single" w:color="000000" w:sz="4" w:space="0"/>
            </w:tcBorders>
            <w:vAlign w:val="center"/>
          </w:tcPr>
          <w:p w14:paraId="75271220">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3542" w:type="dxa"/>
            <w:tcBorders>
              <w:top w:val="single" w:color="000000" w:sz="4" w:space="0"/>
              <w:bottom w:val="single" w:color="000000" w:sz="4" w:space="0"/>
              <w:right w:val="double" w:color="000000" w:sz="4" w:space="0"/>
            </w:tcBorders>
            <w:vAlign w:val="center"/>
          </w:tcPr>
          <w:p w14:paraId="31AEF883">
            <w:pPr>
              <w:bidi w:val="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对本工程重点难点分析较透彻，针对性较强</w:t>
            </w:r>
            <w:r>
              <w:rPr>
                <w:rFonts w:hint="eastAsia" w:ascii="宋体" w:hAnsi="宋体" w:eastAsia="宋体" w:cs="宋体"/>
                <w:sz w:val="21"/>
                <w:szCs w:val="21"/>
                <w:lang w:val="en-US" w:eastAsia="zh-CN"/>
              </w:rPr>
              <w:t>1-3</w:t>
            </w:r>
            <w:r>
              <w:rPr>
                <w:rFonts w:hint="eastAsia" w:ascii="宋体" w:hAnsi="宋体" w:eastAsia="宋体" w:cs="宋体"/>
                <w:sz w:val="21"/>
                <w:szCs w:val="21"/>
              </w:rPr>
              <w:t>分；</w:t>
            </w:r>
          </w:p>
          <w:p w14:paraId="38D748D8">
            <w:pPr>
              <w:bidi w:val="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对本工程重点难点分析透彻，针对性强</w:t>
            </w:r>
            <w:r>
              <w:rPr>
                <w:rFonts w:hint="eastAsia" w:ascii="宋体" w:hAnsi="宋体" w:eastAsia="宋体" w:cs="宋体"/>
                <w:sz w:val="21"/>
                <w:szCs w:val="21"/>
                <w:lang w:val="en-US" w:eastAsia="zh-CN"/>
              </w:rPr>
              <w:t>3-5</w:t>
            </w:r>
            <w:r>
              <w:rPr>
                <w:rFonts w:hint="eastAsia" w:ascii="宋体" w:hAnsi="宋体" w:eastAsia="宋体" w:cs="宋体"/>
                <w:sz w:val="21"/>
                <w:szCs w:val="21"/>
              </w:rPr>
              <w:t>分（含</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cs="宋体"/>
                <w:sz w:val="21"/>
                <w:szCs w:val="21"/>
                <w:lang w:eastAsia="zh-CN"/>
              </w:rPr>
              <w:t>；</w:t>
            </w:r>
            <w:r>
              <w:rPr>
                <w:rFonts w:hint="eastAsia" w:ascii="宋体" w:hAnsi="宋体" w:eastAsia="宋体" w:cs="宋体"/>
                <w:sz w:val="21"/>
                <w:szCs w:val="21"/>
              </w:rPr>
              <w:t>没有不得分</w:t>
            </w:r>
            <w:r>
              <w:rPr>
                <w:rFonts w:hint="eastAsia" w:ascii="宋体" w:hAnsi="宋体" w:eastAsia="宋体" w:cs="宋体"/>
                <w:sz w:val="21"/>
                <w:szCs w:val="21"/>
                <w:lang w:eastAsia="zh-CN"/>
              </w:rPr>
              <w:t>。</w:t>
            </w:r>
          </w:p>
        </w:tc>
      </w:tr>
      <w:tr w14:paraId="7ABB0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399" w:type="dxa"/>
            <w:vMerge w:val="continue"/>
            <w:tcBorders>
              <w:top w:val="single" w:color="000000" w:sz="4" w:space="0"/>
              <w:left w:val="double" w:color="000000" w:sz="4" w:space="0"/>
              <w:bottom w:val="single" w:color="000000" w:sz="4" w:space="0"/>
            </w:tcBorders>
            <w:vAlign w:val="center"/>
          </w:tcPr>
          <w:p w14:paraId="78FB9E86">
            <w:pPr>
              <w:bidi w:val="0"/>
              <w:jc w:val="center"/>
              <w:rPr>
                <w:rFonts w:hint="eastAsia" w:ascii="宋体" w:hAnsi="宋体" w:eastAsia="宋体" w:cs="宋体"/>
                <w:sz w:val="21"/>
                <w:szCs w:val="21"/>
              </w:rPr>
            </w:pPr>
          </w:p>
        </w:tc>
        <w:tc>
          <w:tcPr>
            <w:tcW w:w="1262" w:type="dxa"/>
            <w:gridSpan w:val="2"/>
            <w:vMerge w:val="continue"/>
            <w:tcBorders>
              <w:top w:val="single" w:color="000000" w:sz="4" w:space="0"/>
              <w:bottom w:val="single" w:color="000000" w:sz="4" w:space="0"/>
            </w:tcBorders>
            <w:vAlign w:val="center"/>
          </w:tcPr>
          <w:p w14:paraId="5F9349CC">
            <w:pPr>
              <w:bidi w:val="0"/>
              <w:jc w:val="center"/>
              <w:rPr>
                <w:rFonts w:hint="eastAsia" w:ascii="宋体" w:hAnsi="宋体" w:eastAsia="宋体" w:cs="宋体"/>
                <w:sz w:val="21"/>
                <w:szCs w:val="21"/>
              </w:rPr>
            </w:pPr>
          </w:p>
        </w:tc>
        <w:tc>
          <w:tcPr>
            <w:tcW w:w="1069" w:type="dxa"/>
            <w:vMerge w:val="continue"/>
            <w:tcBorders>
              <w:top w:val="single" w:color="000000" w:sz="4" w:space="0"/>
              <w:bottom w:val="single" w:color="000000" w:sz="4" w:space="0"/>
            </w:tcBorders>
            <w:vAlign w:val="center"/>
          </w:tcPr>
          <w:p w14:paraId="36A73BD9">
            <w:pPr>
              <w:bidi w:val="0"/>
              <w:jc w:val="center"/>
              <w:rPr>
                <w:rFonts w:hint="eastAsia" w:ascii="宋体" w:hAnsi="宋体" w:eastAsia="宋体" w:cs="宋体"/>
                <w:sz w:val="21"/>
                <w:szCs w:val="21"/>
              </w:rPr>
            </w:pPr>
          </w:p>
        </w:tc>
        <w:tc>
          <w:tcPr>
            <w:tcW w:w="1201" w:type="dxa"/>
            <w:tcBorders>
              <w:top w:val="single" w:color="000000" w:sz="4" w:space="0"/>
              <w:bottom w:val="single" w:color="000000" w:sz="4" w:space="0"/>
            </w:tcBorders>
            <w:vAlign w:val="center"/>
          </w:tcPr>
          <w:p w14:paraId="45B39FFE">
            <w:pPr>
              <w:bidi w:val="0"/>
              <w:jc w:val="center"/>
              <w:rPr>
                <w:rFonts w:hint="eastAsia" w:ascii="宋体" w:hAnsi="宋体" w:eastAsia="宋体" w:cs="宋体"/>
                <w:sz w:val="21"/>
                <w:szCs w:val="21"/>
              </w:rPr>
            </w:pPr>
            <w:r>
              <w:rPr>
                <w:rFonts w:hint="eastAsia" w:ascii="宋体" w:hAnsi="宋体" w:eastAsia="宋体" w:cs="宋体"/>
                <w:sz w:val="21"/>
                <w:szCs w:val="21"/>
              </w:rPr>
              <w:t>对本工程的建议</w:t>
            </w:r>
          </w:p>
        </w:tc>
        <w:tc>
          <w:tcPr>
            <w:tcW w:w="709" w:type="dxa"/>
            <w:tcBorders>
              <w:top w:val="single" w:color="000000" w:sz="4" w:space="0"/>
              <w:bottom w:val="single" w:color="000000" w:sz="4" w:space="0"/>
            </w:tcBorders>
            <w:vAlign w:val="center"/>
          </w:tcPr>
          <w:p w14:paraId="52EC8F5D">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3542" w:type="dxa"/>
            <w:tcBorders>
              <w:top w:val="single" w:color="000000" w:sz="4" w:space="0"/>
              <w:bottom w:val="single" w:color="000000" w:sz="4" w:space="0"/>
              <w:right w:val="double" w:color="000000" w:sz="4" w:space="0"/>
            </w:tcBorders>
            <w:vAlign w:val="center"/>
          </w:tcPr>
          <w:p w14:paraId="603CDA7F">
            <w:pPr>
              <w:bidi w:val="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针对性较强、可操作性较强</w:t>
            </w:r>
            <w:r>
              <w:rPr>
                <w:rFonts w:hint="eastAsia" w:ascii="宋体" w:hAnsi="宋体" w:eastAsia="宋体" w:cs="宋体"/>
                <w:sz w:val="21"/>
                <w:szCs w:val="21"/>
                <w:lang w:val="en-US" w:eastAsia="zh-CN"/>
              </w:rPr>
              <w:t>1-3</w:t>
            </w:r>
            <w:r>
              <w:rPr>
                <w:rFonts w:hint="eastAsia" w:ascii="宋体" w:hAnsi="宋体" w:eastAsia="宋体" w:cs="宋体"/>
                <w:sz w:val="21"/>
                <w:szCs w:val="21"/>
              </w:rPr>
              <w:t>分；</w:t>
            </w:r>
          </w:p>
          <w:p w14:paraId="14A432F6">
            <w:pPr>
              <w:bidi w:val="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针对性强、可操作性强</w:t>
            </w:r>
            <w:r>
              <w:rPr>
                <w:rFonts w:hint="eastAsia" w:ascii="宋体" w:hAnsi="宋体" w:eastAsia="宋体" w:cs="宋体"/>
                <w:sz w:val="21"/>
                <w:szCs w:val="21"/>
                <w:lang w:val="en-US" w:eastAsia="zh-CN"/>
              </w:rPr>
              <w:t>3-5</w:t>
            </w:r>
            <w:r>
              <w:rPr>
                <w:rFonts w:hint="eastAsia" w:ascii="宋体" w:hAnsi="宋体" w:eastAsia="宋体" w:cs="宋体"/>
                <w:sz w:val="21"/>
                <w:szCs w:val="21"/>
              </w:rPr>
              <w:t>分（含</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cs="宋体"/>
                <w:sz w:val="21"/>
                <w:szCs w:val="21"/>
                <w:lang w:eastAsia="zh-CN"/>
              </w:rPr>
              <w:t>；</w:t>
            </w:r>
            <w:r>
              <w:rPr>
                <w:rFonts w:hint="eastAsia" w:ascii="宋体" w:hAnsi="宋体" w:eastAsia="宋体" w:cs="宋体"/>
                <w:sz w:val="21"/>
                <w:szCs w:val="21"/>
              </w:rPr>
              <w:t>没有不得分</w:t>
            </w:r>
            <w:r>
              <w:rPr>
                <w:rFonts w:hint="eastAsia" w:ascii="宋体" w:hAnsi="宋体" w:eastAsia="宋体" w:cs="宋体"/>
                <w:sz w:val="21"/>
                <w:szCs w:val="21"/>
                <w:lang w:eastAsia="zh-CN"/>
              </w:rPr>
              <w:t>。</w:t>
            </w:r>
          </w:p>
        </w:tc>
      </w:tr>
      <w:tr w14:paraId="428E3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399" w:type="dxa"/>
            <w:tcBorders>
              <w:top w:val="single" w:color="000000" w:sz="4" w:space="0"/>
              <w:left w:val="double" w:color="000000" w:sz="4" w:space="0"/>
              <w:bottom w:val="single" w:color="000000" w:sz="4" w:space="0"/>
            </w:tcBorders>
            <w:vAlign w:val="center"/>
          </w:tcPr>
          <w:p w14:paraId="0A7A3125">
            <w:pPr>
              <w:bidi w:val="0"/>
              <w:jc w:val="center"/>
              <w:rPr>
                <w:rFonts w:hint="eastAsia" w:ascii="宋体" w:hAnsi="宋体" w:eastAsia="宋体" w:cs="宋体"/>
                <w:sz w:val="21"/>
                <w:szCs w:val="21"/>
              </w:rPr>
            </w:pPr>
            <w:r>
              <w:rPr>
                <w:rFonts w:hint="eastAsia" w:ascii="宋体" w:hAnsi="宋体" w:eastAsia="宋体" w:cs="宋体"/>
                <w:sz w:val="21"/>
                <w:szCs w:val="21"/>
              </w:rPr>
              <w:t>2.2.4(</w:t>
            </w:r>
            <w:r>
              <w:rPr>
                <w:rFonts w:hint="eastAsia" w:ascii="宋体" w:hAnsi="宋体" w:eastAsia="宋体" w:cs="宋体"/>
                <w:sz w:val="21"/>
                <w:szCs w:val="21"/>
                <w:lang w:val="en-US" w:eastAsia="zh-CN"/>
              </w:rPr>
              <w:t>2</w:t>
            </w:r>
            <w:r>
              <w:rPr>
                <w:rFonts w:hint="eastAsia" w:ascii="宋体" w:hAnsi="宋体" w:eastAsia="宋体" w:cs="宋体"/>
                <w:sz w:val="21"/>
                <w:szCs w:val="21"/>
              </w:rPr>
              <w:t>)</w:t>
            </w:r>
          </w:p>
        </w:tc>
        <w:tc>
          <w:tcPr>
            <w:tcW w:w="1262" w:type="dxa"/>
            <w:gridSpan w:val="2"/>
            <w:tcBorders>
              <w:top w:val="single" w:color="000000" w:sz="4" w:space="0"/>
              <w:bottom w:val="single" w:color="000000" w:sz="4" w:space="0"/>
            </w:tcBorders>
            <w:vAlign w:val="center"/>
          </w:tcPr>
          <w:p w14:paraId="5C210871">
            <w:pPr>
              <w:bidi w:val="0"/>
              <w:jc w:val="center"/>
              <w:rPr>
                <w:rFonts w:hint="default" w:ascii="宋体" w:hAnsi="宋体" w:eastAsia="宋体" w:cs="宋体"/>
                <w:sz w:val="21"/>
                <w:szCs w:val="21"/>
                <w:lang w:val="en-US" w:eastAsia="zh-CN"/>
              </w:rPr>
            </w:pPr>
            <w:r>
              <w:rPr>
                <w:rFonts w:hint="eastAsia" w:cs="宋体"/>
                <w:sz w:val="21"/>
                <w:szCs w:val="21"/>
                <w:lang w:val="en-US" w:eastAsia="zh-CN"/>
              </w:rPr>
              <w:t>履约信誉</w:t>
            </w:r>
          </w:p>
        </w:tc>
        <w:tc>
          <w:tcPr>
            <w:tcW w:w="1069" w:type="dxa"/>
            <w:tcBorders>
              <w:top w:val="single" w:color="000000" w:sz="4" w:space="0"/>
              <w:bottom w:val="single" w:color="000000" w:sz="4" w:space="0"/>
            </w:tcBorders>
            <w:vAlign w:val="center"/>
          </w:tcPr>
          <w:p w14:paraId="290165DD">
            <w:pPr>
              <w:bidi w:val="0"/>
              <w:jc w:val="center"/>
              <w:rPr>
                <w:rFonts w:hint="default" w:ascii="宋体" w:hAnsi="宋体" w:eastAsia="宋体" w:cs="宋体"/>
                <w:sz w:val="21"/>
                <w:szCs w:val="21"/>
                <w:lang w:val="en-US" w:eastAsia="zh-CN"/>
              </w:rPr>
            </w:pPr>
            <w:r>
              <w:rPr>
                <w:rFonts w:hint="eastAsia" w:cs="宋体"/>
                <w:sz w:val="21"/>
                <w:szCs w:val="21"/>
                <w:lang w:val="en-US" w:eastAsia="zh-CN"/>
              </w:rPr>
              <w:t>5分</w:t>
            </w:r>
          </w:p>
        </w:tc>
        <w:tc>
          <w:tcPr>
            <w:tcW w:w="1201" w:type="dxa"/>
            <w:tcBorders>
              <w:top w:val="single" w:color="000000" w:sz="4" w:space="0"/>
              <w:bottom w:val="single" w:color="000000" w:sz="4" w:space="0"/>
            </w:tcBorders>
            <w:vAlign w:val="center"/>
          </w:tcPr>
          <w:p w14:paraId="50C708D4">
            <w:pPr>
              <w:bidi w:val="0"/>
              <w:jc w:val="center"/>
              <w:rPr>
                <w:rFonts w:hint="eastAsia" w:ascii="宋体" w:hAnsi="宋体" w:eastAsia="宋体" w:cs="宋体"/>
                <w:sz w:val="21"/>
                <w:szCs w:val="21"/>
              </w:rPr>
            </w:pPr>
            <w:r>
              <w:rPr>
                <w:rFonts w:hint="eastAsia" w:cs="宋体"/>
                <w:sz w:val="21"/>
                <w:szCs w:val="21"/>
                <w:lang w:val="en-US" w:eastAsia="zh-CN"/>
              </w:rPr>
              <w:t>履约信誉</w:t>
            </w:r>
          </w:p>
        </w:tc>
        <w:tc>
          <w:tcPr>
            <w:tcW w:w="709" w:type="dxa"/>
            <w:tcBorders>
              <w:top w:val="single" w:color="000000" w:sz="4" w:space="0"/>
              <w:bottom w:val="single" w:color="000000" w:sz="4" w:space="0"/>
            </w:tcBorders>
            <w:vAlign w:val="center"/>
          </w:tcPr>
          <w:p w14:paraId="56910139">
            <w:pPr>
              <w:bidi w:val="0"/>
              <w:jc w:val="center"/>
              <w:rPr>
                <w:rFonts w:hint="eastAsia" w:ascii="宋体" w:hAnsi="宋体" w:eastAsia="宋体" w:cs="宋体"/>
                <w:sz w:val="21"/>
                <w:szCs w:val="21"/>
                <w:lang w:val="en-US" w:eastAsia="zh-CN"/>
              </w:rPr>
            </w:pPr>
            <w:r>
              <w:rPr>
                <w:rFonts w:hint="eastAsia" w:cs="宋体"/>
                <w:sz w:val="21"/>
                <w:szCs w:val="21"/>
                <w:lang w:val="en-US" w:eastAsia="zh-CN"/>
              </w:rPr>
              <w:t>5分</w:t>
            </w:r>
          </w:p>
        </w:tc>
        <w:tc>
          <w:tcPr>
            <w:tcW w:w="3542" w:type="dxa"/>
            <w:tcBorders>
              <w:top w:val="single" w:color="000000" w:sz="4" w:space="0"/>
              <w:bottom w:val="single" w:color="000000" w:sz="4" w:space="0"/>
              <w:right w:val="double" w:color="000000" w:sz="4" w:space="0"/>
            </w:tcBorders>
            <w:vAlign w:val="center"/>
          </w:tcPr>
          <w:p w14:paraId="228B52D2">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信誉满足资格审查条件得 3 分；</w:t>
            </w:r>
          </w:p>
          <w:p w14:paraId="2C787392">
            <w:pPr>
              <w:bidi w:val="0"/>
              <w:jc w:val="both"/>
              <w:rPr>
                <w:rFonts w:hint="eastAsia" w:ascii="宋体" w:hAnsi="宋体" w:eastAsia="宋体" w:cs="宋体"/>
                <w:sz w:val="21"/>
                <w:szCs w:val="21"/>
                <w:lang w:val="en-US" w:eastAsia="zh-CN"/>
              </w:rPr>
            </w:pPr>
            <w:r>
              <w:rPr>
                <w:rFonts w:hint="eastAsia" w:cs="宋体"/>
                <w:sz w:val="21"/>
                <w:szCs w:val="21"/>
                <w:lang w:val="en-US" w:eastAsia="zh-CN"/>
              </w:rPr>
              <w:t>1.</w:t>
            </w:r>
            <w:r>
              <w:rPr>
                <w:rFonts w:hint="eastAsia" w:ascii="宋体" w:hAnsi="宋体" w:eastAsia="宋体" w:cs="宋体"/>
                <w:sz w:val="21"/>
                <w:szCs w:val="21"/>
                <w:lang w:val="en-US" w:eastAsia="zh-CN"/>
              </w:rPr>
              <w:t>202</w:t>
            </w:r>
            <w:r>
              <w:rPr>
                <w:rFonts w:hint="eastAsia" w:cs="宋体"/>
                <w:sz w:val="21"/>
                <w:szCs w:val="21"/>
                <w:lang w:val="en-US" w:eastAsia="zh-CN"/>
              </w:rPr>
              <w:t>4</w:t>
            </w:r>
            <w:r>
              <w:rPr>
                <w:rFonts w:hint="eastAsia" w:ascii="宋体" w:hAnsi="宋体" w:eastAsia="宋体" w:cs="宋体"/>
                <w:sz w:val="21"/>
                <w:szCs w:val="21"/>
                <w:lang w:val="en-US" w:eastAsia="zh-CN"/>
              </w:rPr>
              <w:t>年度被黑龙江省交通运输厅或 2023年度被交通运输部认定为监理企业 AA 级信用评价等级的，加 2 分；</w:t>
            </w:r>
          </w:p>
          <w:p w14:paraId="3FFFE17C">
            <w:pPr>
              <w:bidi w:val="0"/>
              <w:jc w:val="both"/>
              <w:rPr>
                <w:rFonts w:hint="eastAsia" w:ascii="宋体" w:hAnsi="宋体" w:eastAsia="宋体" w:cs="宋体"/>
                <w:sz w:val="21"/>
                <w:szCs w:val="21"/>
                <w:lang w:val="en-US" w:eastAsia="zh-CN"/>
              </w:rPr>
            </w:pPr>
            <w:r>
              <w:rPr>
                <w:rFonts w:hint="eastAsia" w:cs="宋体"/>
                <w:sz w:val="21"/>
                <w:szCs w:val="21"/>
                <w:lang w:val="en-US" w:eastAsia="zh-CN"/>
              </w:rPr>
              <w:t>2.</w:t>
            </w:r>
            <w:r>
              <w:rPr>
                <w:rFonts w:hint="eastAsia" w:ascii="宋体" w:hAnsi="宋体" w:eastAsia="宋体" w:cs="宋体"/>
                <w:sz w:val="21"/>
                <w:szCs w:val="21"/>
                <w:lang w:val="en-US" w:eastAsia="zh-CN"/>
              </w:rPr>
              <w:t>202</w:t>
            </w:r>
            <w:r>
              <w:rPr>
                <w:rFonts w:hint="eastAsia" w:cs="宋体"/>
                <w:sz w:val="21"/>
                <w:szCs w:val="21"/>
                <w:lang w:val="en-US" w:eastAsia="zh-CN"/>
              </w:rPr>
              <w:t>4</w:t>
            </w:r>
            <w:r>
              <w:rPr>
                <w:rFonts w:hint="eastAsia" w:ascii="宋体" w:hAnsi="宋体" w:eastAsia="宋体" w:cs="宋体"/>
                <w:sz w:val="21"/>
                <w:szCs w:val="21"/>
                <w:lang w:val="en-US" w:eastAsia="zh-CN"/>
              </w:rPr>
              <w:t>年度被黑龙江省交通运输厅或 2023年度被交通运输部认定为监理企业A级信用评价等级的，加 1 分；</w:t>
            </w:r>
          </w:p>
          <w:p w14:paraId="283244AC">
            <w:pPr>
              <w:bidi w:val="0"/>
              <w:jc w:val="both"/>
              <w:rPr>
                <w:rFonts w:hint="eastAsia" w:ascii="宋体" w:hAnsi="宋体" w:eastAsia="宋体" w:cs="宋体"/>
                <w:sz w:val="21"/>
                <w:szCs w:val="21"/>
                <w:lang w:val="en-US" w:eastAsia="zh-CN"/>
              </w:rPr>
            </w:pPr>
            <w:r>
              <w:rPr>
                <w:rFonts w:hint="eastAsia" w:cs="宋体"/>
                <w:sz w:val="21"/>
                <w:szCs w:val="21"/>
                <w:lang w:val="en-US" w:eastAsia="zh-CN"/>
              </w:rPr>
              <w:t>3.</w:t>
            </w:r>
            <w:r>
              <w:rPr>
                <w:rFonts w:hint="eastAsia" w:ascii="宋体" w:hAnsi="宋体" w:eastAsia="宋体" w:cs="宋体"/>
                <w:sz w:val="21"/>
                <w:szCs w:val="21"/>
                <w:lang w:val="en-US" w:eastAsia="zh-CN"/>
              </w:rPr>
              <w:t>202</w:t>
            </w:r>
            <w:r>
              <w:rPr>
                <w:rFonts w:hint="eastAsia" w:cs="宋体"/>
                <w:sz w:val="21"/>
                <w:szCs w:val="21"/>
                <w:lang w:val="en-US" w:eastAsia="zh-CN"/>
              </w:rPr>
              <w:t>4</w:t>
            </w:r>
            <w:r>
              <w:rPr>
                <w:rFonts w:hint="eastAsia" w:ascii="宋体" w:hAnsi="宋体" w:eastAsia="宋体" w:cs="宋体"/>
                <w:sz w:val="21"/>
                <w:szCs w:val="21"/>
                <w:lang w:val="en-US" w:eastAsia="zh-CN"/>
              </w:rPr>
              <w:t>年度在黑龙江省交通运输厅和 2023年度交通运输部无监理企业信用评价结果的， 采用202</w:t>
            </w:r>
            <w:r>
              <w:rPr>
                <w:rFonts w:hint="eastAsia" w:cs="宋体"/>
                <w:sz w:val="21"/>
                <w:szCs w:val="21"/>
                <w:lang w:val="en-US" w:eastAsia="zh-CN"/>
              </w:rPr>
              <w:t>3</w:t>
            </w:r>
            <w:r>
              <w:rPr>
                <w:rFonts w:hint="eastAsia" w:ascii="宋体" w:hAnsi="宋体" w:eastAsia="宋体" w:cs="宋体"/>
                <w:sz w:val="21"/>
                <w:szCs w:val="21"/>
                <w:lang w:val="en-US" w:eastAsia="zh-CN"/>
              </w:rPr>
              <w:t>年度黑龙江省交通运输厅或2022年度交通运输部监理企业信用评价结果。</w:t>
            </w:r>
          </w:p>
          <w:p w14:paraId="01CD3563">
            <w:pPr>
              <w:bidi w:val="0"/>
              <w:jc w:val="both"/>
              <w:rPr>
                <w:rFonts w:hint="eastAsia" w:ascii="宋体" w:hAnsi="宋体" w:eastAsia="宋体" w:cs="宋体"/>
                <w:sz w:val="21"/>
                <w:szCs w:val="21"/>
                <w:lang w:val="en-US" w:eastAsia="zh-CN"/>
              </w:rPr>
            </w:pPr>
            <w:r>
              <w:rPr>
                <w:rFonts w:hint="eastAsia" w:cs="宋体"/>
                <w:sz w:val="21"/>
                <w:szCs w:val="21"/>
                <w:lang w:val="en-US" w:eastAsia="zh-CN"/>
              </w:rPr>
              <w:t>4.</w:t>
            </w:r>
            <w:r>
              <w:rPr>
                <w:rFonts w:hint="eastAsia" w:ascii="宋体" w:hAnsi="宋体" w:eastAsia="宋体" w:cs="宋体"/>
                <w:sz w:val="21"/>
                <w:szCs w:val="21"/>
                <w:lang w:val="en-US" w:eastAsia="zh-CN"/>
              </w:rPr>
              <w:t>投标人202</w:t>
            </w:r>
            <w:r>
              <w:rPr>
                <w:rFonts w:hint="eastAsia" w:cs="宋体"/>
                <w:sz w:val="21"/>
                <w:szCs w:val="21"/>
                <w:lang w:val="en-US" w:eastAsia="zh-CN"/>
              </w:rPr>
              <w:t>4</w:t>
            </w:r>
            <w:r>
              <w:rPr>
                <w:rFonts w:hint="eastAsia" w:ascii="宋体" w:hAnsi="宋体" w:eastAsia="宋体" w:cs="宋体"/>
                <w:sz w:val="21"/>
                <w:szCs w:val="21"/>
                <w:lang w:val="en-US" w:eastAsia="zh-CN"/>
              </w:rPr>
              <w:t>、202</w:t>
            </w:r>
            <w:r>
              <w:rPr>
                <w:rFonts w:hint="eastAsia" w:cs="宋体"/>
                <w:sz w:val="21"/>
                <w:szCs w:val="21"/>
                <w:lang w:val="en-US" w:eastAsia="zh-CN"/>
              </w:rPr>
              <w:t>3</w:t>
            </w:r>
            <w:r>
              <w:rPr>
                <w:rFonts w:hint="eastAsia" w:ascii="宋体" w:hAnsi="宋体" w:eastAsia="宋体" w:cs="宋体"/>
                <w:sz w:val="21"/>
                <w:szCs w:val="21"/>
                <w:lang w:val="en-US" w:eastAsia="zh-CN"/>
              </w:rPr>
              <w:t>年度在黑龙江省交通运输厅和 2023、2022 年度交通运输部均无监理企业信用评价的，国务院有关部门许可资质的， 若无不良信用记录，按 A 级对待，加 1 分。 其他情形不加分。</w:t>
            </w:r>
          </w:p>
          <w:p w14:paraId="16675FE7">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注：①加分项不累计，只计一次最高分，本项最高得分 5 分。</w:t>
            </w:r>
          </w:p>
        </w:tc>
      </w:tr>
      <w:tr w14:paraId="4C50C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1399" w:type="dxa"/>
            <w:tcBorders>
              <w:top w:val="single" w:color="000000" w:sz="4" w:space="0"/>
              <w:left w:val="double" w:color="000000" w:sz="4" w:space="0"/>
              <w:bottom w:val="single" w:color="000000" w:sz="4" w:space="0"/>
            </w:tcBorders>
            <w:vAlign w:val="center"/>
          </w:tcPr>
          <w:p w14:paraId="2ECB8AD0">
            <w:pPr>
              <w:bidi w:val="0"/>
              <w:jc w:val="center"/>
              <w:rPr>
                <w:rFonts w:hint="eastAsia" w:ascii="宋体" w:hAnsi="宋体" w:eastAsia="宋体" w:cs="宋体"/>
                <w:sz w:val="21"/>
                <w:szCs w:val="21"/>
              </w:rPr>
            </w:pPr>
            <w:r>
              <w:rPr>
                <w:rFonts w:hint="eastAsia" w:ascii="宋体" w:hAnsi="宋体" w:eastAsia="宋体" w:cs="宋体"/>
                <w:sz w:val="21"/>
                <w:szCs w:val="21"/>
              </w:rPr>
              <w:t>2.2.4(</w:t>
            </w:r>
            <w:r>
              <w:rPr>
                <w:rFonts w:hint="eastAsia" w:cs="宋体"/>
                <w:sz w:val="21"/>
                <w:szCs w:val="21"/>
                <w:lang w:val="en-US" w:eastAsia="zh-CN"/>
              </w:rPr>
              <w:t>3</w:t>
            </w:r>
            <w:r>
              <w:rPr>
                <w:rFonts w:hint="eastAsia" w:ascii="宋体" w:hAnsi="宋体" w:eastAsia="宋体" w:cs="宋体"/>
                <w:sz w:val="21"/>
                <w:szCs w:val="21"/>
              </w:rPr>
              <w:t>)</w:t>
            </w:r>
          </w:p>
        </w:tc>
        <w:tc>
          <w:tcPr>
            <w:tcW w:w="1262" w:type="dxa"/>
            <w:gridSpan w:val="2"/>
            <w:tcBorders>
              <w:top w:val="single" w:color="000000" w:sz="4" w:space="0"/>
              <w:bottom w:val="single" w:color="000000" w:sz="4" w:space="0"/>
            </w:tcBorders>
            <w:vAlign w:val="center"/>
          </w:tcPr>
          <w:p w14:paraId="498CDF6C">
            <w:pPr>
              <w:bidi w:val="0"/>
              <w:jc w:val="center"/>
              <w:rPr>
                <w:rFonts w:hint="eastAsia" w:ascii="宋体" w:hAnsi="宋体" w:eastAsia="宋体" w:cs="宋体"/>
                <w:sz w:val="21"/>
                <w:szCs w:val="21"/>
              </w:rPr>
            </w:pPr>
            <w:r>
              <w:rPr>
                <w:rFonts w:hint="eastAsia" w:ascii="宋体" w:hAnsi="宋体" w:eastAsia="宋体" w:cs="宋体"/>
                <w:sz w:val="21"/>
                <w:szCs w:val="21"/>
              </w:rPr>
              <w:t>主要人员</w:t>
            </w:r>
          </w:p>
        </w:tc>
        <w:tc>
          <w:tcPr>
            <w:tcW w:w="1069" w:type="dxa"/>
            <w:tcBorders>
              <w:top w:val="single" w:color="000000" w:sz="4" w:space="0"/>
              <w:bottom w:val="single" w:color="000000" w:sz="4" w:space="0"/>
            </w:tcBorders>
            <w:vAlign w:val="center"/>
          </w:tcPr>
          <w:p w14:paraId="5DABEC2B">
            <w:pPr>
              <w:bidi w:val="0"/>
              <w:jc w:val="center"/>
              <w:rPr>
                <w:rFonts w:hint="eastAsia" w:ascii="宋体" w:hAnsi="宋体" w:eastAsia="宋体" w:cs="宋体"/>
                <w:sz w:val="21"/>
                <w:szCs w:val="21"/>
              </w:rPr>
            </w:pPr>
            <w:r>
              <w:rPr>
                <w:rFonts w:hint="eastAsia" w:ascii="宋体" w:hAnsi="宋体" w:eastAsia="宋体" w:cs="宋体"/>
                <w:sz w:val="21"/>
                <w:szCs w:val="21"/>
              </w:rPr>
              <w:t>25分</w:t>
            </w:r>
          </w:p>
        </w:tc>
        <w:tc>
          <w:tcPr>
            <w:tcW w:w="1201" w:type="dxa"/>
            <w:tcBorders>
              <w:top w:val="single" w:color="000000" w:sz="4" w:space="0"/>
              <w:bottom w:val="single" w:color="000000" w:sz="4" w:space="0"/>
            </w:tcBorders>
            <w:vAlign w:val="center"/>
          </w:tcPr>
          <w:p w14:paraId="60D3D229">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总监理工程师任职资格与业绩</w:t>
            </w:r>
          </w:p>
        </w:tc>
        <w:tc>
          <w:tcPr>
            <w:tcW w:w="709" w:type="dxa"/>
            <w:tcBorders>
              <w:top w:val="single" w:color="000000" w:sz="4" w:space="0"/>
              <w:bottom w:val="single" w:color="000000" w:sz="4" w:space="0"/>
            </w:tcBorders>
            <w:vAlign w:val="center"/>
          </w:tcPr>
          <w:p w14:paraId="5B2E5265">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分</w:t>
            </w:r>
          </w:p>
        </w:tc>
        <w:tc>
          <w:tcPr>
            <w:tcW w:w="3542" w:type="dxa"/>
            <w:tcBorders>
              <w:top w:val="single" w:color="000000" w:sz="4" w:space="0"/>
              <w:bottom w:val="single" w:color="000000" w:sz="4" w:space="0"/>
              <w:right w:val="double" w:color="000000" w:sz="4" w:space="0"/>
            </w:tcBorders>
            <w:vAlign w:val="center"/>
          </w:tcPr>
          <w:p w14:paraId="2897ADAD">
            <w:pPr>
              <w:bidi w:val="0"/>
              <w:jc w:val="both"/>
              <w:rPr>
                <w:rFonts w:hint="eastAsia" w:ascii="宋体" w:hAnsi="宋体" w:eastAsia="宋体" w:cs="宋体"/>
                <w:sz w:val="21"/>
                <w:szCs w:val="21"/>
                <w:highlight w:val="none"/>
              </w:rPr>
            </w:pPr>
            <w:r>
              <w:rPr>
                <w:rFonts w:hint="eastAsia" w:cs="宋体"/>
                <w:sz w:val="21"/>
                <w:szCs w:val="21"/>
                <w:highlight w:val="none"/>
                <w:lang w:eastAsia="zh-CN"/>
              </w:rPr>
              <w:t>（</w:t>
            </w:r>
            <w:r>
              <w:rPr>
                <w:rFonts w:hint="eastAsia" w:cs="宋体"/>
                <w:sz w:val="21"/>
                <w:szCs w:val="21"/>
                <w:highlight w:val="none"/>
                <w:lang w:val="en-US" w:eastAsia="zh-CN"/>
              </w:rPr>
              <w:t>1</w:t>
            </w:r>
            <w:r>
              <w:rPr>
                <w:rFonts w:hint="eastAsia" w:cs="宋体"/>
                <w:sz w:val="21"/>
                <w:szCs w:val="21"/>
                <w:highlight w:val="none"/>
                <w:lang w:eastAsia="zh-CN"/>
              </w:rPr>
              <w:t>）、</w:t>
            </w:r>
            <w:r>
              <w:rPr>
                <w:rFonts w:hint="eastAsia" w:ascii="宋体" w:hAnsi="宋体" w:eastAsia="宋体" w:cs="宋体"/>
                <w:sz w:val="21"/>
                <w:szCs w:val="21"/>
                <w:highlight w:val="none"/>
              </w:rPr>
              <w:t>总监理工程师满足招标文件最低要求得</w:t>
            </w:r>
            <w:r>
              <w:rPr>
                <w:rFonts w:hint="eastAsia" w:cs="宋体"/>
                <w:sz w:val="21"/>
                <w:szCs w:val="21"/>
                <w:highlight w:val="none"/>
                <w:lang w:val="en-US" w:eastAsia="zh-CN"/>
              </w:rPr>
              <w:t>15</w:t>
            </w:r>
            <w:r>
              <w:rPr>
                <w:rFonts w:hint="eastAsia" w:ascii="宋体" w:hAnsi="宋体" w:eastAsia="宋体" w:cs="宋体"/>
                <w:sz w:val="21"/>
                <w:szCs w:val="21"/>
                <w:highlight w:val="none"/>
              </w:rPr>
              <w:t>分；</w:t>
            </w:r>
          </w:p>
          <w:p w14:paraId="6C5A54DE">
            <w:pPr>
              <w:bidi w:val="0"/>
              <w:jc w:val="both"/>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总监理工程师提供二级及以上公路施工监理项目业绩（以标段计）中任职总监理工程师或驻地监理工程师（驻地办主任）的证明材料， 每有 1 项加 5 分，最多加 10 分。</w:t>
            </w:r>
          </w:p>
          <w:p w14:paraId="7F741CF6">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总监理工程师个人业绩加分条件中，加分项不设年限要求。</w:t>
            </w:r>
          </w:p>
          <w:p w14:paraId="62081A22">
            <w:pPr>
              <w:bidi w:val="0"/>
              <w:jc w:val="both"/>
              <w:rPr>
                <w:rFonts w:hint="eastAsia" w:ascii="宋体" w:hAnsi="宋体" w:eastAsia="宋体" w:cs="宋体"/>
                <w:sz w:val="21"/>
                <w:szCs w:val="21"/>
                <w:highlight w:val="none"/>
                <w:lang w:val="en-US" w:eastAsia="zh-CN"/>
              </w:rPr>
            </w:pPr>
            <w:r>
              <w:rPr>
                <w:rFonts w:hint="eastAsia" w:ascii="宋体" w:hAnsi="宋体"/>
                <w:color w:val="auto"/>
                <w:sz w:val="21"/>
                <w:szCs w:val="21"/>
                <w:highlight w:val="none"/>
                <w:lang w:eastAsia="zh-CN"/>
              </w:rPr>
              <w:t>业绩要求在</w:t>
            </w:r>
            <w:r>
              <w:rPr>
                <w:rFonts w:hint="eastAsia" w:ascii="宋体" w:hAnsi="宋体" w:eastAsia="宋体" w:cs="宋体"/>
                <w:color w:val="auto"/>
                <w:sz w:val="21"/>
                <w:szCs w:val="21"/>
                <w:highlight w:val="none"/>
              </w:rPr>
              <w:t>交通运输部“全国公路建设市场信用信息管理系统”中载明的、能够证明总监理工程师具有相关业绩的网页截图复印件。在交通运输部“全国公路建设市场信用信息管理系统” 中无法查询，但可在省级交通运输主管部门“公路建设市场信用信息管理系统”中查询的，应附省级交通运输主管部门“公路建设市场信用信息管理系统”中查询到的网页截图复印件并注明查询路径。</w:t>
            </w:r>
            <w:r>
              <w:rPr>
                <w:rFonts w:hint="eastAsia" w:ascii="宋体" w:hAnsi="宋体" w:eastAsia="宋体" w:cs="宋体"/>
                <w:color w:val="auto"/>
                <w:sz w:val="21"/>
                <w:szCs w:val="21"/>
                <w:highlight w:val="none"/>
                <w:lang w:val="en-US" w:eastAsia="zh-CN"/>
              </w:rPr>
              <w:t>如网页截图中的内容不能明确体现业绩包含的内容、里程等信息，除网页截图外，投标人还可提供合同及交工证书（或项目评定书或业主证明）等业绩证明材料。如投标人未提供相关项目网页截图或相关项目网页截图中的信息及补充的合同及交工证书（或项目评定书或业主证明）等业绩证明材料无法证实投标人满足加分条件，</w:t>
            </w:r>
            <w:r>
              <w:rPr>
                <w:rFonts w:hint="eastAsia" w:ascii="宋体" w:hAnsi="宋体" w:eastAsia="宋体" w:cs="宋体"/>
                <w:color w:val="auto"/>
                <w:sz w:val="21"/>
                <w:szCs w:val="21"/>
                <w:highlight w:val="none"/>
              </w:rPr>
              <w:t>则该业绩加分时不予认定。</w:t>
            </w:r>
          </w:p>
        </w:tc>
      </w:tr>
      <w:tr w14:paraId="13E7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99" w:type="dxa"/>
            <w:tcBorders>
              <w:top w:val="single" w:color="000000" w:sz="4" w:space="0"/>
              <w:left w:val="double" w:color="000000" w:sz="4" w:space="0"/>
              <w:bottom w:val="single" w:color="000000" w:sz="4" w:space="0"/>
            </w:tcBorders>
            <w:vAlign w:val="center"/>
          </w:tcPr>
          <w:p w14:paraId="0F840E05">
            <w:pPr>
              <w:bidi w:val="0"/>
              <w:jc w:val="center"/>
              <w:rPr>
                <w:rFonts w:hint="eastAsia" w:ascii="宋体" w:hAnsi="宋体" w:eastAsia="宋体" w:cs="宋体"/>
                <w:sz w:val="21"/>
                <w:szCs w:val="21"/>
              </w:rPr>
            </w:pPr>
          </w:p>
        </w:tc>
        <w:tc>
          <w:tcPr>
            <w:tcW w:w="1262" w:type="dxa"/>
            <w:gridSpan w:val="2"/>
            <w:tcBorders>
              <w:top w:val="single" w:color="000000" w:sz="4" w:space="0"/>
              <w:bottom w:val="single" w:color="000000" w:sz="4" w:space="0"/>
            </w:tcBorders>
            <w:vAlign w:val="center"/>
          </w:tcPr>
          <w:p w14:paraId="4D7DD7AB">
            <w:pPr>
              <w:bidi w:val="0"/>
              <w:jc w:val="center"/>
              <w:rPr>
                <w:rFonts w:hint="eastAsia" w:ascii="宋体" w:hAnsi="宋体" w:eastAsia="宋体" w:cs="宋体"/>
                <w:sz w:val="21"/>
                <w:szCs w:val="21"/>
              </w:rPr>
            </w:pPr>
          </w:p>
        </w:tc>
        <w:tc>
          <w:tcPr>
            <w:tcW w:w="1069" w:type="dxa"/>
            <w:tcBorders>
              <w:top w:val="single" w:color="000000" w:sz="4" w:space="0"/>
              <w:bottom w:val="single" w:color="000000" w:sz="4" w:space="0"/>
            </w:tcBorders>
            <w:vAlign w:val="center"/>
          </w:tcPr>
          <w:p w14:paraId="45D96600">
            <w:pPr>
              <w:bidi w:val="0"/>
              <w:jc w:val="center"/>
              <w:rPr>
                <w:rFonts w:hint="eastAsia" w:ascii="宋体" w:hAnsi="宋体" w:eastAsia="宋体" w:cs="宋体"/>
                <w:sz w:val="21"/>
                <w:szCs w:val="21"/>
              </w:rPr>
            </w:pPr>
          </w:p>
        </w:tc>
        <w:tc>
          <w:tcPr>
            <w:tcW w:w="5452" w:type="dxa"/>
            <w:gridSpan w:val="3"/>
            <w:tcBorders>
              <w:top w:val="single" w:color="000000" w:sz="4" w:space="0"/>
              <w:bottom w:val="single" w:color="000000" w:sz="4" w:space="0"/>
              <w:right w:val="double" w:color="000000" w:sz="4" w:space="0"/>
            </w:tcBorders>
            <w:vAlign w:val="center"/>
          </w:tcPr>
          <w:p w14:paraId="09CFCD54">
            <w:pPr>
              <w:bidi w:val="0"/>
              <w:jc w:val="both"/>
              <w:rPr>
                <w:rFonts w:hint="eastAsia" w:ascii="宋体" w:hAnsi="宋体" w:eastAsia="宋体" w:cs="宋体"/>
                <w:sz w:val="21"/>
                <w:szCs w:val="21"/>
              </w:rPr>
            </w:pPr>
          </w:p>
        </w:tc>
      </w:tr>
      <w:tr w14:paraId="38C8D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jc w:val="center"/>
        </w:trPr>
        <w:tc>
          <w:tcPr>
            <w:tcW w:w="1399" w:type="dxa"/>
            <w:tcBorders>
              <w:top w:val="single" w:color="000000" w:sz="4" w:space="0"/>
              <w:left w:val="double" w:color="000000" w:sz="4" w:space="0"/>
              <w:bottom w:val="single" w:color="000000" w:sz="4" w:space="0"/>
            </w:tcBorders>
            <w:vAlign w:val="center"/>
          </w:tcPr>
          <w:p w14:paraId="08D4779E">
            <w:pPr>
              <w:bidi w:val="0"/>
              <w:jc w:val="center"/>
              <w:rPr>
                <w:rFonts w:hint="eastAsia" w:ascii="宋体" w:hAnsi="宋体" w:eastAsia="宋体" w:cs="宋体"/>
                <w:sz w:val="21"/>
                <w:szCs w:val="21"/>
              </w:rPr>
            </w:pPr>
            <w:r>
              <w:rPr>
                <w:rFonts w:hint="eastAsia" w:ascii="宋体" w:hAnsi="宋体" w:eastAsia="宋体" w:cs="宋体"/>
                <w:sz w:val="21"/>
                <w:szCs w:val="21"/>
              </w:rPr>
              <w:t>2.2.4(</w:t>
            </w:r>
            <w:r>
              <w:rPr>
                <w:rFonts w:hint="eastAsia" w:cs="宋体"/>
                <w:sz w:val="21"/>
                <w:szCs w:val="21"/>
                <w:lang w:val="en-US" w:eastAsia="zh-CN"/>
              </w:rPr>
              <w:t>4</w:t>
            </w:r>
            <w:r>
              <w:rPr>
                <w:rFonts w:hint="eastAsia" w:ascii="宋体" w:hAnsi="宋体" w:eastAsia="宋体" w:cs="宋体"/>
                <w:sz w:val="21"/>
                <w:szCs w:val="21"/>
              </w:rPr>
              <w:t>)</w:t>
            </w:r>
          </w:p>
          <w:p w14:paraId="4A5174ED">
            <w:pPr>
              <w:bidi w:val="0"/>
              <w:jc w:val="center"/>
              <w:rPr>
                <w:rFonts w:hint="eastAsia" w:ascii="宋体" w:hAnsi="宋体" w:eastAsia="宋体" w:cs="宋体"/>
                <w:sz w:val="21"/>
                <w:szCs w:val="21"/>
              </w:rPr>
            </w:pPr>
          </w:p>
        </w:tc>
        <w:tc>
          <w:tcPr>
            <w:tcW w:w="628" w:type="dxa"/>
            <w:tcBorders>
              <w:top w:val="single" w:color="000000" w:sz="4" w:space="0"/>
              <w:bottom w:val="single" w:color="000000" w:sz="4" w:space="0"/>
            </w:tcBorders>
            <w:vAlign w:val="center"/>
          </w:tcPr>
          <w:p w14:paraId="250C8253">
            <w:pPr>
              <w:bidi w:val="0"/>
              <w:jc w:val="center"/>
              <w:rPr>
                <w:rFonts w:hint="eastAsia" w:ascii="宋体" w:hAnsi="宋体" w:eastAsia="宋体" w:cs="宋体"/>
                <w:sz w:val="21"/>
                <w:szCs w:val="21"/>
              </w:rPr>
            </w:pPr>
          </w:p>
          <w:p w14:paraId="106908E2">
            <w:pPr>
              <w:bidi w:val="0"/>
              <w:jc w:val="center"/>
              <w:rPr>
                <w:rFonts w:hint="eastAsia" w:ascii="宋体" w:hAnsi="宋体" w:eastAsia="宋体" w:cs="宋体"/>
                <w:sz w:val="21"/>
                <w:szCs w:val="21"/>
              </w:rPr>
            </w:pPr>
            <w:r>
              <w:rPr>
                <w:rFonts w:hint="eastAsia" w:ascii="宋体" w:hAnsi="宋体" w:eastAsia="宋体" w:cs="宋体"/>
                <w:sz w:val="21"/>
                <w:szCs w:val="21"/>
              </w:rPr>
              <w:t>其他因素</w:t>
            </w:r>
          </w:p>
        </w:tc>
        <w:tc>
          <w:tcPr>
            <w:tcW w:w="634" w:type="dxa"/>
            <w:tcBorders>
              <w:top w:val="single" w:color="000000" w:sz="4" w:space="0"/>
              <w:bottom w:val="single" w:color="000000" w:sz="4" w:space="0"/>
            </w:tcBorders>
            <w:vAlign w:val="center"/>
          </w:tcPr>
          <w:p w14:paraId="7422029E">
            <w:pPr>
              <w:bidi w:val="0"/>
              <w:jc w:val="center"/>
              <w:rPr>
                <w:rFonts w:hint="eastAsia" w:ascii="宋体" w:hAnsi="宋体" w:eastAsia="宋体" w:cs="宋体"/>
                <w:sz w:val="21"/>
                <w:szCs w:val="21"/>
              </w:rPr>
            </w:pPr>
            <w:r>
              <w:rPr>
                <w:rFonts w:hint="eastAsia" w:ascii="宋体" w:hAnsi="宋体" w:eastAsia="宋体" w:cs="宋体"/>
                <w:sz w:val="21"/>
                <w:szCs w:val="21"/>
              </w:rPr>
              <w:t>业绩</w:t>
            </w:r>
          </w:p>
        </w:tc>
        <w:tc>
          <w:tcPr>
            <w:tcW w:w="1069" w:type="dxa"/>
            <w:tcBorders>
              <w:top w:val="single" w:color="000000" w:sz="4" w:space="0"/>
              <w:bottom w:val="single" w:color="000000" w:sz="4" w:space="0"/>
            </w:tcBorders>
            <w:vAlign w:val="center"/>
          </w:tcPr>
          <w:p w14:paraId="238A67AE">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5分</w:t>
            </w:r>
          </w:p>
        </w:tc>
        <w:tc>
          <w:tcPr>
            <w:tcW w:w="1201" w:type="dxa"/>
            <w:tcBorders>
              <w:top w:val="single" w:color="000000" w:sz="4" w:space="0"/>
              <w:bottom w:val="single" w:color="000000" w:sz="4" w:space="0"/>
            </w:tcBorders>
            <w:vAlign w:val="center"/>
          </w:tcPr>
          <w:p w14:paraId="728EB065">
            <w:pPr>
              <w:bidi w:val="0"/>
              <w:jc w:val="center"/>
              <w:rPr>
                <w:rFonts w:hint="eastAsia" w:ascii="宋体" w:hAnsi="宋体" w:eastAsia="宋体" w:cs="宋体"/>
                <w:sz w:val="21"/>
                <w:szCs w:val="21"/>
              </w:rPr>
            </w:pPr>
            <w:r>
              <w:rPr>
                <w:rFonts w:hint="eastAsia" w:ascii="宋体" w:hAnsi="宋体" w:eastAsia="宋体" w:cs="宋体"/>
                <w:sz w:val="21"/>
                <w:szCs w:val="21"/>
              </w:rPr>
              <w:t>业绩</w:t>
            </w:r>
          </w:p>
        </w:tc>
        <w:tc>
          <w:tcPr>
            <w:tcW w:w="709" w:type="dxa"/>
            <w:tcBorders>
              <w:top w:val="single" w:color="000000" w:sz="4" w:space="0"/>
              <w:bottom w:val="single" w:color="000000" w:sz="4" w:space="0"/>
            </w:tcBorders>
            <w:vAlign w:val="center"/>
          </w:tcPr>
          <w:p w14:paraId="64ADB2A2">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5分</w:t>
            </w:r>
          </w:p>
        </w:tc>
        <w:tc>
          <w:tcPr>
            <w:tcW w:w="3542" w:type="dxa"/>
            <w:tcBorders>
              <w:top w:val="single" w:color="000000" w:sz="4" w:space="0"/>
              <w:bottom w:val="single" w:color="000000" w:sz="4" w:space="0"/>
              <w:right w:val="double" w:color="000000" w:sz="4" w:space="0"/>
            </w:tcBorders>
            <w:vAlign w:val="center"/>
          </w:tcPr>
          <w:p w14:paraId="5039A5BC">
            <w:pPr>
              <w:bidi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w:t>
            </w:r>
            <w:r>
              <w:rPr>
                <w:rFonts w:hint="eastAsia" w:ascii="宋体" w:hAnsi="宋体" w:eastAsia="宋体" w:cs="宋体"/>
                <w:sz w:val="21"/>
                <w:szCs w:val="21"/>
                <w:highlight w:val="none"/>
                <w:lang w:val="en-US"/>
              </w:rPr>
              <w:t>招标文件最低要求</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1C2A1CB3">
            <w:pPr>
              <w:pStyle w:val="9"/>
              <w:shd w:val="clear" w:color="auto" w:fill="auto"/>
              <w:spacing w:line="320" w:lineRule="exact"/>
              <w:jc w:val="both"/>
              <w:rPr>
                <w:rStyle w:val="10"/>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近</w:t>
            </w: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5</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年（</w:t>
            </w:r>
            <w:r>
              <w:rPr>
                <w:rFonts w:hint="eastAsia" w:ascii="Times New Roman" w:hAnsi="Times New Roman" w:eastAsia="宋体" w:cs="Times New Roman"/>
                <w:i w:val="0"/>
                <w:caps w:val="0"/>
                <w:color w:val="auto"/>
                <w:spacing w:val="0"/>
                <w:kern w:val="0"/>
                <w:sz w:val="21"/>
                <w:szCs w:val="21"/>
                <w:highlight w:val="none"/>
                <w:shd w:val="clear" w:color="auto" w:fill="FFFFFF"/>
                <w:lang w:val="en-US" w:eastAsia="zh-CN" w:bidi="ar"/>
              </w:rPr>
              <w:t>2020年5月1日-递交投标文件截止日</w:t>
            </w:r>
            <w:r>
              <w:rPr>
                <w:rFonts w:hint="default" w:ascii="Times New Roman" w:hAnsi="Times New Roman" w:eastAsia="宋体" w:cs="Times New Roman"/>
                <w:i w:val="0"/>
                <w:caps w:val="0"/>
                <w:color w:val="auto"/>
                <w:spacing w:val="0"/>
                <w:kern w:val="0"/>
                <w:sz w:val="21"/>
                <w:szCs w:val="21"/>
                <w:highlight w:val="none"/>
                <w:shd w:val="clear" w:color="auto" w:fill="FFFFFF"/>
                <w:lang w:val="en-US" w:eastAsia="zh-CN" w:bidi="ar"/>
              </w:rPr>
              <w:t>）</w:t>
            </w:r>
            <w:r>
              <w:rPr>
                <w:rStyle w:val="10"/>
                <w:rFonts w:hint="eastAsia" w:ascii="Times New Roman" w:hAnsi="Times New Roman" w:eastAsia="宋体" w:cs="Times New Roman"/>
                <w:b w:val="0"/>
                <w:color w:val="auto"/>
                <w:sz w:val="21"/>
                <w:szCs w:val="21"/>
                <w:highlight w:val="none"/>
                <w:lang w:eastAsia="zh-CN"/>
              </w:rPr>
              <w:t>独立完成过的不少于</w:t>
            </w:r>
            <w:r>
              <w:rPr>
                <w:rStyle w:val="10"/>
                <w:rFonts w:hint="eastAsia" w:ascii="Times New Roman" w:hAnsi="Times New Roman" w:eastAsia="宋体" w:cs="Times New Roman"/>
                <w:b w:val="0"/>
                <w:color w:val="auto"/>
                <w:sz w:val="21"/>
                <w:szCs w:val="21"/>
                <w:highlight w:val="none"/>
                <w:lang w:val="en-US" w:eastAsia="zh-CN"/>
              </w:rPr>
              <w:t>30</w:t>
            </w:r>
            <w:r>
              <w:rPr>
                <w:rStyle w:val="10"/>
                <w:rFonts w:hint="eastAsia" w:ascii="Times New Roman" w:hAnsi="Times New Roman" w:eastAsia="宋体" w:cs="Times New Roman"/>
                <w:b w:val="0"/>
                <w:color w:val="auto"/>
                <w:sz w:val="21"/>
                <w:szCs w:val="21"/>
                <w:highlight w:val="none"/>
                <w:lang w:eastAsia="zh-CN"/>
              </w:rPr>
              <w:t>公里的</w:t>
            </w:r>
            <w:r>
              <w:rPr>
                <w:rStyle w:val="10"/>
                <w:rFonts w:hint="eastAsia" w:ascii="Times New Roman" w:hAnsi="Times New Roman" w:eastAsia="宋体" w:cs="Times New Roman"/>
                <w:b w:val="0"/>
                <w:color w:val="auto"/>
                <w:sz w:val="21"/>
                <w:szCs w:val="21"/>
                <w:highlight w:val="none"/>
                <w:lang w:val="en-US" w:eastAsia="zh-CN"/>
              </w:rPr>
              <w:t>二</w:t>
            </w:r>
            <w:r>
              <w:rPr>
                <w:rStyle w:val="10"/>
                <w:rFonts w:hint="eastAsia" w:ascii="Times New Roman" w:hAnsi="Times New Roman" w:eastAsia="宋体" w:cs="Times New Roman"/>
                <w:b w:val="0"/>
                <w:color w:val="auto"/>
                <w:sz w:val="21"/>
                <w:szCs w:val="21"/>
                <w:highlight w:val="none"/>
                <w:lang w:eastAsia="zh-CN"/>
              </w:rPr>
              <w:t>级及以上施工监理项目（以标段计）业绩，每增加1个项目，加5分，最多加10分。</w:t>
            </w:r>
          </w:p>
          <w:p w14:paraId="2949AAC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注：①上述施工监理业绩指的是公路新建、改扩建不包含养护项目的施工监理，如单个业绩能同时满足上述条件要求的，则该业绩可分别予以认定。如投标人提供高速公路、一级公路业绩的，其公路里程可折算成2倍的二级公路里程。例如：投标人已完成某条一级（高速）公路的监理里程为10公里，则评标时可折算为：投标人已完成二级公路监理里程为20公里。</w:t>
            </w:r>
          </w:p>
          <w:p w14:paraId="206A0C4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宋体" w:hAnsi="宋体" w:eastAsia="宋体" w:cs="宋体"/>
                <w:sz w:val="21"/>
                <w:szCs w:val="21"/>
                <w:highlight w:val="yellow"/>
              </w:rPr>
            </w:pPr>
            <w:r>
              <w:rPr>
                <w:rFonts w:hint="eastAsia" w:ascii="Times New Roman" w:hAnsi="Times New Roman" w:cs="Times New Roman"/>
                <w:i w:val="0"/>
                <w:caps w:val="0"/>
                <w:color w:val="auto"/>
                <w:spacing w:val="0"/>
                <w:kern w:val="0"/>
                <w:sz w:val="21"/>
                <w:szCs w:val="21"/>
                <w:highlight w:val="none"/>
                <w:shd w:val="clear" w:color="auto" w:fill="FFFFFF"/>
                <w:lang w:val="en-US" w:eastAsia="zh-CN" w:bidi="ar"/>
              </w:rPr>
              <w:t xml:space="preserve">业绩要求在黑龙江省交通运输厅网站的“黑龙江省公路水路建设市场信用信息管理系统”或 交通运输部网站“全国公路建设市场监督管理系统”中能够查询截图；如网页截图中的内容不能明确体现业绩包含的内容、里程等信息，除网页截图复印件外，投标人还可提供合同及交工验收证书等业绩证明材料。如投标人未提供相关项目网页截图复印件或相关项目网页截图中的信息及补充的合同及交工验收证书等业绩证明材料无法证实投标人满足招标文件规定的资格审查条件（业绩最低要求），则该项目业绩不予认定。 </w:t>
            </w:r>
          </w:p>
        </w:tc>
      </w:tr>
      <w:tr w14:paraId="6CEB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jc w:val="center"/>
        </w:trPr>
        <w:tc>
          <w:tcPr>
            <w:tcW w:w="1399" w:type="dxa"/>
            <w:tcBorders>
              <w:top w:val="single" w:color="000000" w:sz="4" w:space="0"/>
              <w:left w:val="double" w:color="000000" w:sz="4" w:space="0"/>
              <w:bottom w:val="single" w:color="000000" w:sz="4" w:space="0"/>
            </w:tcBorders>
            <w:shd w:val="clear" w:color="auto" w:fill="auto"/>
            <w:vAlign w:val="center"/>
          </w:tcPr>
          <w:p w14:paraId="78E95758">
            <w:pPr>
              <w:bidi w:val="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2.2.4(</w:t>
            </w:r>
            <w:r>
              <w:rPr>
                <w:rFonts w:hint="eastAsia" w:cs="宋体"/>
                <w:sz w:val="21"/>
                <w:szCs w:val="21"/>
                <w:lang w:val="en-US" w:eastAsia="zh-CN"/>
              </w:rPr>
              <w:t>5</w:t>
            </w:r>
            <w:r>
              <w:rPr>
                <w:rFonts w:hint="eastAsia" w:ascii="宋体" w:hAnsi="宋体" w:eastAsia="宋体" w:cs="宋体"/>
                <w:sz w:val="21"/>
                <w:szCs w:val="21"/>
              </w:rPr>
              <w:t>)</w:t>
            </w:r>
          </w:p>
        </w:tc>
        <w:tc>
          <w:tcPr>
            <w:tcW w:w="628" w:type="dxa"/>
            <w:tcBorders>
              <w:top w:val="single" w:color="000000" w:sz="4" w:space="0"/>
              <w:bottom w:val="single" w:color="000000" w:sz="4" w:space="0"/>
            </w:tcBorders>
            <w:shd w:val="clear" w:color="auto" w:fill="auto"/>
            <w:vAlign w:val="center"/>
          </w:tcPr>
          <w:p w14:paraId="5B34E194">
            <w:pPr>
              <w:bidi w:val="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评标价</w:t>
            </w:r>
          </w:p>
        </w:tc>
        <w:tc>
          <w:tcPr>
            <w:tcW w:w="1703" w:type="dxa"/>
            <w:gridSpan w:val="2"/>
            <w:tcBorders>
              <w:top w:val="single" w:color="000000" w:sz="4" w:space="0"/>
              <w:bottom w:val="single" w:color="000000" w:sz="4" w:space="0"/>
            </w:tcBorders>
            <w:shd w:val="clear" w:color="auto" w:fill="auto"/>
            <w:vAlign w:val="center"/>
          </w:tcPr>
          <w:p w14:paraId="46D50FF2">
            <w:pPr>
              <w:bidi w:val="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10分</w:t>
            </w:r>
          </w:p>
        </w:tc>
        <w:tc>
          <w:tcPr>
            <w:tcW w:w="5452" w:type="dxa"/>
            <w:gridSpan w:val="3"/>
            <w:tcBorders>
              <w:top w:val="single" w:color="000000" w:sz="4" w:space="0"/>
              <w:bottom w:val="single" w:color="000000" w:sz="4" w:space="0"/>
              <w:right w:val="double" w:color="000000" w:sz="4" w:space="0"/>
            </w:tcBorders>
            <w:shd w:val="clear" w:color="auto" w:fill="auto"/>
            <w:vAlign w:val="center"/>
          </w:tcPr>
          <w:p w14:paraId="00842626">
            <w:pPr>
              <w:pStyle w:val="8"/>
              <w:spacing w:before="73"/>
              <w:rPr>
                <w:rFonts w:hint="default" w:ascii="Times New Roman" w:hAnsi="Times New Roman" w:eastAsia="宋体" w:cs="Times New Roman"/>
                <w:sz w:val="22"/>
              </w:rPr>
            </w:pPr>
            <w:r>
              <w:rPr>
                <w:rFonts w:hint="default" w:ascii="Times New Roman" w:hAnsi="Times New Roman" w:eastAsia="宋体" w:cs="Times New Roman"/>
                <w:sz w:val="22"/>
              </w:rPr>
              <w:t>1、有效投标报价：低于招标控制价并且经评标委员会初步评审合格的投标人的报价为有效投标报价。</w:t>
            </w:r>
          </w:p>
          <w:p w14:paraId="285B5457">
            <w:pPr>
              <w:pStyle w:val="8"/>
              <w:spacing w:before="73"/>
              <w:rPr>
                <w:rFonts w:hint="default" w:ascii="Times New Roman" w:hAnsi="Times New Roman" w:eastAsia="宋体" w:cs="Times New Roman"/>
                <w:sz w:val="22"/>
              </w:rPr>
            </w:pPr>
            <w:r>
              <w:rPr>
                <w:rFonts w:hint="default" w:ascii="Times New Roman" w:hAnsi="Times New Roman" w:eastAsia="宋体" w:cs="Times New Roman"/>
                <w:sz w:val="22"/>
              </w:rPr>
              <w:t>2、评标基准价：有效投标报价算术平均值为评标基准价。若有效报价大于5家时，去掉一个最高报价和一个最低报价后进行计算。</w:t>
            </w:r>
          </w:p>
          <w:p w14:paraId="7F2F2D4A">
            <w:pPr>
              <w:bidi w:val="0"/>
              <w:jc w:val="both"/>
              <w:rPr>
                <w:rFonts w:hint="eastAsia" w:ascii="宋体" w:hAnsi="宋体" w:eastAsia="宋体" w:cs="宋体"/>
                <w:sz w:val="21"/>
                <w:szCs w:val="21"/>
                <w:lang w:val="en-US" w:eastAsia="zh-CN" w:bidi="zh-CN"/>
              </w:rPr>
            </w:pPr>
            <w:r>
              <w:rPr>
                <w:rFonts w:hint="default" w:ascii="Times New Roman" w:hAnsi="Times New Roman" w:eastAsia="宋体" w:cs="Times New Roman"/>
                <w:sz w:val="22"/>
              </w:rPr>
              <w:t>3、报价分计算标准：以评标基准价作为评标标准值，投标报价等于评标标准值的得</w:t>
            </w:r>
            <w:r>
              <w:rPr>
                <w:rFonts w:hint="eastAsia" w:ascii="Times New Roman" w:hAnsi="Times New Roman" w:cs="Times New Roman"/>
                <w:sz w:val="22"/>
                <w:lang w:val="en-US" w:eastAsia="zh-CN"/>
              </w:rPr>
              <w:t>10</w:t>
            </w:r>
            <w:r>
              <w:rPr>
                <w:rFonts w:hint="default" w:ascii="Times New Roman" w:hAnsi="Times New Roman" w:eastAsia="宋体" w:cs="Times New Roman"/>
                <w:sz w:val="22"/>
              </w:rPr>
              <w:t>分，投标报价每高于评标标准值 1%（含 1%）减 0.25分，投标报价每低于评标标准值 1%（含 1%）减 0.25分，中间值按插入法计算，保留小数点后2位。</w:t>
            </w:r>
          </w:p>
        </w:tc>
      </w:tr>
      <w:tr w14:paraId="7931A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5" w:hRule="atLeast"/>
          <w:jc w:val="center"/>
        </w:trPr>
        <w:tc>
          <w:tcPr>
            <w:tcW w:w="9182" w:type="dxa"/>
            <w:gridSpan w:val="7"/>
            <w:tcBorders>
              <w:top w:val="single" w:color="000000" w:sz="4" w:space="0"/>
              <w:left w:val="double" w:color="000000" w:sz="4" w:space="0"/>
              <w:bottom w:val="double" w:color="000000" w:sz="4" w:space="0"/>
              <w:right w:val="double" w:color="000000" w:sz="4" w:space="0"/>
            </w:tcBorders>
            <w:vAlign w:val="center"/>
          </w:tcPr>
          <w:p w14:paraId="038AC3C4">
            <w:pPr>
              <w:bidi w:val="0"/>
              <w:jc w:val="both"/>
              <w:rPr>
                <w:rFonts w:hint="eastAsia" w:ascii="宋体" w:hAnsi="宋体" w:eastAsia="宋体" w:cs="宋体"/>
                <w:sz w:val="21"/>
                <w:szCs w:val="21"/>
              </w:rPr>
            </w:pPr>
            <w:r>
              <w:rPr>
                <w:rFonts w:hint="eastAsia" w:ascii="宋体" w:hAnsi="宋体" w:eastAsia="宋体" w:cs="宋体"/>
                <w:sz w:val="21"/>
                <w:szCs w:val="21"/>
              </w:rPr>
              <w:t>需要补充的其他内容：</w:t>
            </w:r>
          </w:p>
          <w:p w14:paraId="57B43542">
            <w:pPr>
              <w:bidi w:val="0"/>
              <w:jc w:val="both"/>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、评标办法前附表内容与评标办法正文件不一致处，以评标办法前附表内容为准；前附表未规定部分以正文以准；</w:t>
            </w:r>
          </w:p>
        </w:tc>
      </w:tr>
    </w:tbl>
    <w:p w14:paraId="57E391B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6511"/>
    <w:multiLevelType w:val="singleLevel"/>
    <w:tmpl w:val="99726511"/>
    <w:lvl w:ilvl="0" w:tentative="0">
      <w:start w:val="1"/>
      <w:numFmt w:val="decimal"/>
      <w:lvlText w:val="(%1)"/>
      <w:lvlJc w:val="left"/>
      <w:pPr>
        <w:tabs>
          <w:tab w:val="left" w:pos="312"/>
        </w:tabs>
      </w:pPr>
    </w:lvl>
  </w:abstractNum>
  <w:abstractNum w:abstractNumId="1">
    <w:nsid w:val="12E874EA"/>
    <w:multiLevelType w:val="multilevel"/>
    <w:tmpl w:val="12E874EA"/>
    <w:lvl w:ilvl="0" w:tentative="0">
      <w:start w:val="1"/>
      <w:numFmt w:val="lowerLetter"/>
      <w:lvlText w:val="%1."/>
      <w:lvlJc w:val="left"/>
      <w:pPr>
        <w:ind w:left="104" w:hanging="148"/>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2">
    <w:nsid w:val="450C0CBC"/>
    <w:multiLevelType w:val="singleLevel"/>
    <w:tmpl w:val="450C0CBC"/>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D0402"/>
    <w:rsid w:val="073D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Date"/>
    <w:basedOn w:val="1"/>
    <w:next w:val="1"/>
    <w:qFormat/>
    <w:uiPriority w:val="0"/>
    <w:rPr>
      <w:rFonts w:ascii="宋体"/>
      <w:sz w:val="24"/>
    </w:rPr>
  </w:style>
  <w:style w:type="paragraph" w:styleId="4">
    <w:name w:val="index 9"/>
    <w:basedOn w:val="1"/>
    <w:next w:val="1"/>
    <w:qFormat/>
    <w:uiPriority w:val="0"/>
    <w:pPr>
      <w:ind w:left="336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style>
  <w:style w:type="paragraph" w:customStyle="1" w:styleId="9">
    <w:name w:val="正文文本 (2)"/>
    <w:basedOn w:val="1"/>
    <w:qFormat/>
    <w:uiPriority w:val="0"/>
    <w:pPr>
      <w:shd w:val="clear" w:color="auto" w:fill="FFFFFF"/>
      <w:spacing w:line="0" w:lineRule="atLeast"/>
      <w:jc w:val="left"/>
    </w:pPr>
    <w:rPr>
      <w:rFonts w:ascii="MingLiU" w:hAnsi="MingLiU" w:eastAsia="MingLiU" w:cs="MingLiU"/>
      <w:szCs w:val="21"/>
    </w:rPr>
  </w:style>
  <w:style w:type="character" w:customStyle="1" w:styleId="10">
    <w:name w:val="正文文本 (2) + 9.5 pt"/>
    <w:basedOn w:val="11"/>
    <w:qFormat/>
    <w:uiPriority w:val="0"/>
    <w:rPr>
      <w:rFonts w:ascii="MingLiU" w:hAnsi="MingLiU" w:eastAsia="MingLiU" w:cs="MingLiU"/>
      <w:color w:val="000000"/>
      <w:spacing w:val="0"/>
      <w:w w:val="100"/>
      <w:position w:val="0"/>
      <w:sz w:val="19"/>
      <w:szCs w:val="19"/>
      <w:shd w:val="clear" w:color="auto" w:fill="FFFFFF"/>
      <w:lang w:val="en-US" w:eastAsia="en-US" w:bidi="en-US"/>
    </w:rPr>
  </w:style>
  <w:style w:type="character" w:customStyle="1" w:styleId="11">
    <w:name w:val="正文文本 (2)_"/>
    <w:basedOn w:val="7"/>
    <w:qFormat/>
    <w:uiPriority w:val="0"/>
    <w:rPr>
      <w:rFonts w:ascii="MingLiU" w:hAnsi="MingLiU" w:eastAsia="MingLiU" w:cs="MingLiU"/>
      <w:b/>
      <w:bCs/>
      <w:sz w:val="20"/>
      <w:szCs w:val="2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2025-05-28T02:16:00Z</dcterms:created>
  <dc:creator>WM</dc:creator>
  <cp:lastModifiedBy>WM</cp:lastModifiedBy>
  <dcterms:modified xsi:type="dcterms:W3CDTF">2025-05-28T02:17:35Z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820CCD97AB6D426F96BC291C9875DB06_11</vt:lpwstr>
  </property>
  <property fmtid="{D5CDD505-2E9C-101B-9397-08002B2CF9AE}" pid="4" name="KSOTemplateDocerSaveRecord">
    <vt:lpwstr>eyJoZGlkIjoiNDBjNDNjMTJjZDQxNjk2YWY1OGQ2ZjVkNTAzYmQwYjIiLCJ1c2VySWQiOiIzODU4NTU5NjgifQ==</vt:lpwstr>
  </property>
</Properties>
</file>